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6F107" w14:textId="77777777" w:rsidR="009F5555" w:rsidRPr="009F5555" w:rsidRDefault="00E2770F" w:rsidP="009F5555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 </w:t>
      </w:r>
    </w:p>
    <w:tbl>
      <w:tblPr>
        <w:tblW w:w="8496" w:type="dxa"/>
        <w:tblInd w:w="72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496"/>
      </w:tblGrid>
      <w:tr w:rsidR="00607F90" w:rsidRPr="002B09D1" w14:paraId="3DB6F109" w14:textId="77777777" w:rsidTr="005F4DD9">
        <w:trPr>
          <w:trHeight w:val="1440"/>
        </w:trPr>
        <w:tc>
          <w:tcPr>
            <w:tcW w:w="8496" w:type="dxa"/>
          </w:tcPr>
          <w:p w14:paraId="3DB6F108" w14:textId="696ACE1A" w:rsidR="00607F90" w:rsidRPr="00CE78A0" w:rsidRDefault="006F1630" w:rsidP="00AE72BD">
            <w:pPr>
              <w:pStyle w:val="ProgramName"/>
              <w:spacing w:before="0" w:after="0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B6F595" wp14:editId="07A53EE7">
                      <wp:simplePos x="0" y="0"/>
                      <wp:positionH relativeFrom="column">
                        <wp:posOffset>2355215</wp:posOffset>
                      </wp:positionH>
                      <wp:positionV relativeFrom="paragraph">
                        <wp:posOffset>254635</wp:posOffset>
                      </wp:positionV>
                      <wp:extent cx="2751455" cy="154432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1455" cy="154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B6F5A6" w14:textId="77777777" w:rsidR="00767B18" w:rsidRPr="00AE72BD" w:rsidRDefault="00767B18">
                                  <w:pPr>
                                    <w:rPr>
                                      <w:b/>
                                      <w:color w:val="365F91" w:themeColor="accent1" w:themeShade="BF"/>
                                      <w:sz w:val="56"/>
                                      <w:szCs w:val="56"/>
                                    </w:rPr>
                                  </w:pPr>
                                  <w:r w:rsidRPr="00AE72BD">
                                    <w:rPr>
                                      <w:b/>
                                      <w:noProof/>
                                      <w:color w:val="365F91" w:themeColor="accent1" w:themeShade="BF"/>
                                      <w:sz w:val="56"/>
                                      <w:szCs w:val="56"/>
                                    </w:rPr>
                                    <w:t xml:space="preserve">Department of </w:t>
                                  </w:r>
                                  <w:r w:rsidRPr="00AE72BD">
                                    <w:rPr>
                                      <w:b/>
                                      <w:noProof/>
                                      <w:color w:val="365F91" w:themeColor="accent1" w:themeShade="BF"/>
                                      <w:sz w:val="56"/>
                                      <w:szCs w:val="56"/>
                                    </w:rPr>
                                    <w:br/>
                                    <w:t>Veterans Affairs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5.45pt;margin-top:20.05pt;width:216.65pt;height:1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" stroked="f">
                      <v:textbox>
                        <w:txbxContent>
                          <w:p w14:paraId="3DB6F5A6" w14:textId="77777777" w:rsidR="00767B18" w:rsidRPr="00AE72BD" w:rsidRDefault="00767B18">
                            <w:pPr>
                              <w:rPr>
                                <w:b/>
                                <w:color w:val="365F91" w:themeColor="accent1" w:themeShade="BF"/>
                                <w:sz w:val="56"/>
                                <w:szCs w:val="56"/>
                              </w:rPr>
                            </w:pPr>
                            <w:r w:rsidRPr="00AE72BD">
                              <w:rPr>
                                <w:b/>
                                <w:noProof/>
                                <w:color w:val="365F91" w:themeColor="accent1" w:themeShade="BF"/>
                                <w:sz w:val="56"/>
                                <w:szCs w:val="56"/>
                              </w:rPr>
                              <w:t xml:space="preserve">Department of </w:t>
                            </w:r>
                            <w:r w:rsidRPr="00AE72BD">
                              <w:rPr>
                                <w:b/>
                                <w:noProof/>
                                <w:color w:val="365F91" w:themeColor="accent1" w:themeShade="BF"/>
                                <w:sz w:val="56"/>
                                <w:szCs w:val="56"/>
                              </w:rPr>
                              <w:br/>
                              <w:t>Veterans Affairs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72BD">
              <w:rPr>
                <w:rFonts w:ascii="Calibri" w:hAnsi="Calibri" w:cs="Calibri"/>
                <w:noProof/>
                <w:sz w:val="48"/>
                <w:szCs w:val="48"/>
              </w:rPr>
              <w:drawing>
                <wp:inline distT="0" distB="0" distL="0" distR="0" wp14:anchorId="3DB6F596" wp14:editId="3DB6F597">
                  <wp:extent cx="1977247" cy="1977247"/>
                  <wp:effectExtent l="19050" t="0" r="3953" b="0"/>
                  <wp:docPr id="1" name="Picture 0" descr="US-DeptOfVeteransAffairs-Se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-DeptOfVeteransAffairs-Seal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570" cy="197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F90" w:rsidRPr="002B09D1" w14:paraId="3DB6F10E" w14:textId="77777777" w:rsidTr="00126523">
        <w:trPr>
          <w:trHeight w:val="4347"/>
        </w:trPr>
        <w:tc>
          <w:tcPr>
            <w:tcW w:w="8496" w:type="dxa"/>
          </w:tcPr>
          <w:p w14:paraId="3DB6F10A" w14:textId="77777777" w:rsidR="00ED2239" w:rsidRPr="00CE78A0" w:rsidRDefault="00ED2239" w:rsidP="00ED2239">
            <w:pPr>
              <w:pStyle w:val="DocTitle"/>
              <w:rPr>
                <w:rFonts w:ascii="Calibri" w:hAnsi="Calibri" w:cs="Calibri"/>
              </w:rPr>
            </w:pPr>
          </w:p>
          <w:p w14:paraId="3DB6F10B" w14:textId="77777777" w:rsidR="00D3084C" w:rsidRDefault="00E2770F" w:rsidP="00ED2239">
            <w:pPr>
              <w:pStyle w:val="DocTit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</w:t>
            </w:r>
            <w:r w:rsidR="00D37E5B">
              <w:rPr>
                <w:rFonts w:ascii="Calibri" w:hAnsi="Calibri" w:cs="Calibri"/>
              </w:rPr>
              <w:t xml:space="preserve">VA </w:t>
            </w:r>
            <w:r w:rsidR="00C16BFC">
              <w:rPr>
                <w:rFonts w:ascii="Calibri" w:hAnsi="Calibri" w:cs="Calibri"/>
              </w:rPr>
              <w:t xml:space="preserve">Contingency </w:t>
            </w:r>
            <w:r>
              <w:rPr>
                <w:rFonts w:ascii="Calibri" w:hAnsi="Calibri" w:cs="Calibri"/>
              </w:rPr>
              <w:t>Plan*</w:t>
            </w:r>
          </w:p>
          <w:p w14:paraId="3DB6F10C" w14:textId="77777777" w:rsidR="00D3084C" w:rsidRPr="00D3084C" w:rsidRDefault="00D3084C" w:rsidP="00D3084C">
            <w:pPr>
              <w:pStyle w:val="DocTitle"/>
              <w:ind w:left="720"/>
              <w:rPr>
                <w:rFonts w:ascii="Calibri" w:hAnsi="Calibri" w:cs="Calibri"/>
                <w:sz w:val="44"/>
                <w:szCs w:val="44"/>
              </w:rPr>
            </w:pPr>
            <w:r w:rsidRPr="00D3084C">
              <w:rPr>
                <w:rFonts w:ascii="Calibri" w:hAnsi="Calibri" w:cs="Calibri"/>
                <w:sz w:val="44"/>
                <w:szCs w:val="44"/>
              </w:rPr>
              <w:t>Agency Operations in the Absence of Appropriations</w:t>
            </w:r>
          </w:p>
          <w:p w14:paraId="3DB6F10D" w14:textId="77777777" w:rsidR="006B2EE1" w:rsidRPr="00CE78A0" w:rsidRDefault="006B2EE1" w:rsidP="00ED2239">
            <w:pPr>
              <w:pStyle w:val="DocTitle"/>
              <w:rPr>
                <w:rFonts w:ascii="Calibri" w:hAnsi="Calibri" w:cs="Calibri"/>
              </w:rPr>
            </w:pPr>
          </w:p>
        </w:tc>
      </w:tr>
      <w:tr w:rsidR="00607F90" w:rsidRPr="002B09D1" w14:paraId="3DB6F111" w14:textId="77777777" w:rsidTr="005F4DD9">
        <w:trPr>
          <w:trHeight w:val="1440"/>
        </w:trPr>
        <w:tc>
          <w:tcPr>
            <w:tcW w:w="8496" w:type="dxa"/>
          </w:tcPr>
          <w:p w14:paraId="3DB6F10F" w14:textId="1EA77EB6" w:rsidR="002049D3" w:rsidRDefault="00E2770F" w:rsidP="00770E9C">
            <w:pPr>
              <w:pStyle w:val="PubDate"/>
              <w:rPr>
                <w:rFonts w:ascii="Calibri" w:hAnsi="Calibri" w:cs="Calibri"/>
                <w:sz w:val="32"/>
              </w:rPr>
            </w:pPr>
            <w:r>
              <w:rPr>
                <w:rFonts w:ascii="Calibri" w:hAnsi="Calibri" w:cs="Calibri"/>
              </w:rPr>
              <w:t xml:space="preserve">           </w:t>
            </w:r>
            <w:r w:rsidR="0061509B">
              <w:rPr>
                <w:rFonts w:ascii="Calibri" w:hAnsi="Calibri" w:cs="Calibri"/>
                <w:sz w:val="32"/>
              </w:rPr>
              <w:t>October 11</w:t>
            </w:r>
            <w:r w:rsidR="00133016">
              <w:rPr>
                <w:rFonts w:ascii="Calibri" w:hAnsi="Calibri" w:cs="Calibri"/>
                <w:sz w:val="32"/>
              </w:rPr>
              <w:t>, 2013</w:t>
            </w:r>
          </w:p>
          <w:p w14:paraId="3DB6F110" w14:textId="69E08A88" w:rsidR="00ED2239" w:rsidRPr="00CE78A0" w:rsidRDefault="00175221" w:rsidP="00D86CD5">
            <w:pPr>
              <w:pStyle w:val="PubDate"/>
              <w:rPr>
                <w:rFonts w:ascii="Calibri" w:hAnsi="Calibri" w:cs="Calibri"/>
                <w:sz w:val="48"/>
                <w:szCs w:val="48"/>
              </w:rPr>
            </w:pPr>
            <w:r>
              <w:rPr>
                <w:rFonts w:ascii="Calibri" w:hAnsi="Calibri" w:cs="Calibri"/>
                <w:sz w:val="32"/>
              </w:rPr>
              <w:t xml:space="preserve">          </w:t>
            </w:r>
          </w:p>
        </w:tc>
      </w:tr>
      <w:tr w:rsidR="00607F90" w:rsidRPr="002B09D1" w14:paraId="3DB6F115" w14:textId="77777777" w:rsidTr="005F4DD9">
        <w:trPr>
          <w:trHeight w:val="1440"/>
        </w:trPr>
        <w:tc>
          <w:tcPr>
            <w:tcW w:w="8496" w:type="dxa"/>
          </w:tcPr>
          <w:p w14:paraId="3DB6F112" w14:textId="77777777" w:rsidR="009F5555" w:rsidRDefault="009F5555" w:rsidP="009F2F96">
            <w:pPr>
              <w:pStyle w:val="Classification"/>
              <w:rPr>
                <w:rFonts w:ascii="Calibri" w:hAnsi="Calibri" w:cs="Calibri"/>
              </w:rPr>
            </w:pPr>
          </w:p>
          <w:p w14:paraId="3DB6F113" w14:textId="77777777" w:rsidR="00E2770F" w:rsidRDefault="00E2770F" w:rsidP="00E2770F">
            <w:pPr>
              <w:pStyle w:val="PubDat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</w:t>
            </w:r>
          </w:p>
          <w:p w14:paraId="3DB6F114" w14:textId="77777777" w:rsidR="009F5555" w:rsidRPr="00CE78A0" w:rsidRDefault="009F5555" w:rsidP="00E2770F">
            <w:pPr>
              <w:pStyle w:val="PubDate"/>
              <w:rPr>
                <w:rFonts w:ascii="Calibri" w:hAnsi="Calibri" w:cs="Calibri"/>
              </w:rPr>
            </w:pPr>
          </w:p>
        </w:tc>
      </w:tr>
    </w:tbl>
    <w:p w14:paraId="3DB6F116" w14:textId="77777777" w:rsidR="00607F90" w:rsidRPr="00CE78A0" w:rsidRDefault="00E2770F" w:rsidP="00224E28">
      <w:pPr>
        <w:sectPr w:rsidR="00607F90" w:rsidRPr="00CE78A0" w:rsidSect="00576763">
          <w:footerReference w:type="first" r:id="rId13"/>
          <w:pgSz w:w="12240" w:h="15840"/>
          <w:pgMar w:top="1440" w:right="1440" w:bottom="1440" w:left="1440" w:header="504" w:footer="504" w:gutter="0"/>
          <w:cols w:space="720"/>
          <w:docGrid w:linePitch="360"/>
        </w:sectPr>
      </w:pPr>
      <w:r>
        <w:t xml:space="preserve">                          *As required by OMB Circular A-11</w:t>
      </w:r>
    </w:p>
    <w:p w14:paraId="3DB6F117" w14:textId="77777777" w:rsidR="0004437F" w:rsidRPr="008130AC" w:rsidRDefault="00CE78A0" w:rsidP="008130AC">
      <w:pPr>
        <w:pStyle w:val="Heading1"/>
      </w:pPr>
      <w:r w:rsidRPr="008130AC">
        <w:lastRenderedPageBreak/>
        <w:t>Introduction</w:t>
      </w:r>
    </w:p>
    <w:p w14:paraId="3DB6F118" w14:textId="0650D67D" w:rsidR="00C16BFC" w:rsidRDefault="00FE54BD" w:rsidP="00F3276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VA is committed to supporting Veterans and their families even during </w:t>
      </w:r>
      <w:r w:rsidR="008B28B2">
        <w:rPr>
          <w:rFonts w:asciiTheme="minorHAnsi" w:hAnsiTheme="minorHAnsi"/>
        </w:rPr>
        <w:t xml:space="preserve">limited </w:t>
      </w:r>
      <w:r w:rsidR="00E2770F">
        <w:rPr>
          <w:rFonts w:asciiTheme="minorHAnsi" w:hAnsiTheme="minorHAnsi"/>
        </w:rPr>
        <w:t>operation</w:t>
      </w:r>
      <w:r w:rsidR="008B28B2">
        <w:rPr>
          <w:rFonts w:asciiTheme="minorHAnsi" w:hAnsiTheme="minorHAnsi"/>
        </w:rPr>
        <w:t>s</w:t>
      </w:r>
      <w:r w:rsidR="00E2770F">
        <w:rPr>
          <w:rFonts w:asciiTheme="minorHAnsi" w:hAnsiTheme="minorHAnsi"/>
        </w:rPr>
        <w:t xml:space="preserve"> in absence of appropriation</w:t>
      </w:r>
      <w:r w:rsidR="008B28B2">
        <w:rPr>
          <w:rFonts w:asciiTheme="minorHAnsi" w:hAnsiTheme="minorHAnsi"/>
        </w:rPr>
        <w:t>s</w:t>
      </w:r>
      <w:r w:rsidR="00E2770F">
        <w:rPr>
          <w:rFonts w:asciiTheme="minorHAnsi" w:hAnsiTheme="minorHAnsi"/>
        </w:rPr>
        <w:t xml:space="preserve">, commonly known as a </w:t>
      </w:r>
      <w:r w:rsidR="008B28B2">
        <w:rPr>
          <w:rFonts w:asciiTheme="minorHAnsi" w:hAnsiTheme="minorHAnsi"/>
        </w:rPr>
        <w:t>government “</w:t>
      </w:r>
      <w:r>
        <w:rPr>
          <w:rFonts w:asciiTheme="minorHAnsi" w:hAnsiTheme="minorHAnsi"/>
        </w:rPr>
        <w:t>shutdown</w:t>
      </w:r>
      <w:r w:rsidR="00E2770F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. </w:t>
      </w:r>
      <w:r w:rsidR="00F3276C">
        <w:rPr>
          <w:rFonts w:asciiTheme="minorHAnsi" w:hAnsiTheme="minorHAnsi"/>
        </w:rPr>
        <w:t>The Department of Veterans Affairs (VA) is revising its shutdown plan, in accordance with Office of Management and Budget (</w:t>
      </w:r>
      <w:r w:rsidR="00F3276C" w:rsidRPr="00524682">
        <w:rPr>
          <w:rFonts w:asciiTheme="minorHAnsi" w:hAnsiTheme="minorHAnsi"/>
        </w:rPr>
        <w:t>OMB</w:t>
      </w:r>
      <w:r w:rsidR="00F3276C">
        <w:rPr>
          <w:rFonts w:asciiTheme="minorHAnsi" w:hAnsiTheme="minorHAnsi"/>
        </w:rPr>
        <w:t>)</w:t>
      </w:r>
      <w:r w:rsidR="00F3276C" w:rsidRPr="00524682">
        <w:rPr>
          <w:rFonts w:asciiTheme="minorHAnsi" w:hAnsiTheme="minorHAnsi"/>
        </w:rPr>
        <w:t xml:space="preserve"> Circular A–11, </w:t>
      </w:r>
      <w:r w:rsidR="00F3276C">
        <w:rPr>
          <w:rFonts w:asciiTheme="minorHAnsi" w:hAnsiTheme="minorHAnsi"/>
        </w:rPr>
        <w:t>S</w:t>
      </w:r>
      <w:r w:rsidR="00F3276C" w:rsidRPr="00524682">
        <w:rPr>
          <w:rFonts w:asciiTheme="minorHAnsi" w:hAnsiTheme="minorHAnsi"/>
        </w:rPr>
        <w:t>ection 124</w:t>
      </w:r>
      <w:r w:rsidR="00F3276C">
        <w:rPr>
          <w:rFonts w:asciiTheme="minorHAnsi" w:hAnsiTheme="minorHAnsi"/>
        </w:rPr>
        <w:t xml:space="preserve"> (dated </w:t>
      </w:r>
      <w:r w:rsidR="00F3276C" w:rsidRPr="00524682">
        <w:rPr>
          <w:rFonts w:asciiTheme="minorHAnsi" w:hAnsiTheme="minorHAnsi"/>
        </w:rPr>
        <w:t>July 21, 2010</w:t>
      </w:r>
      <w:r w:rsidR="00F3276C">
        <w:rPr>
          <w:rFonts w:asciiTheme="minorHAnsi" w:hAnsiTheme="minorHAnsi"/>
        </w:rPr>
        <w:t>)</w:t>
      </w:r>
      <w:r w:rsidR="00E531E3">
        <w:rPr>
          <w:rFonts w:asciiTheme="minorHAnsi" w:hAnsiTheme="minorHAnsi"/>
        </w:rPr>
        <w:t>, and OMB memorandum M-13-22 (dated September 17, 2013)</w:t>
      </w:r>
      <w:r w:rsidR="00F3276C">
        <w:rPr>
          <w:rFonts w:asciiTheme="minorHAnsi" w:hAnsiTheme="minorHAnsi"/>
        </w:rPr>
        <w:t xml:space="preserve">. Based on the instructions contained in Circular A-11, </w:t>
      </w:r>
      <w:r w:rsidR="00B97045">
        <w:rPr>
          <w:rFonts w:asciiTheme="minorHAnsi" w:hAnsiTheme="minorHAnsi"/>
        </w:rPr>
        <w:t>the Anti-Deficiency Act</w:t>
      </w:r>
      <w:r w:rsidR="00F3276C">
        <w:rPr>
          <w:rFonts w:asciiTheme="minorHAnsi" w:hAnsiTheme="minorHAnsi"/>
        </w:rPr>
        <w:t xml:space="preserve">, and </w:t>
      </w:r>
      <w:r w:rsidR="000D6A5C">
        <w:rPr>
          <w:rFonts w:asciiTheme="minorHAnsi" w:hAnsiTheme="minorHAnsi"/>
        </w:rPr>
        <w:t xml:space="preserve">on </w:t>
      </w:r>
      <w:r w:rsidR="00F3276C">
        <w:rPr>
          <w:rFonts w:asciiTheme="minorHAnsi" w:hAnsiTheme="minorHAnsi"/>
        </w:rPr>
        <w:t xml:space="preserve">guidance offered by VA’s Office of General Counsel, the attached document details VA’s </w:t>
      </w:r>
      <w:r w:rsidR="000454B3">
        <w:rPr>
          <w:rFonts w:asciiTheme="minorHAnsi" w:hAnsiTheme="minorHAnsi"/>
        </w:rPr>
        <w:t>analysis</w:t>
      </w:r>
      <w:r w:rsidR="00F3276C">
        <w:rPr>
          <w:rFonts w:asciiTheme="minorHAnsi" w:hAnsiTheme="minorHAnsi"/>
        </w:rPr>
        <w:t xml:space="preserve"> for a potential government shutdown.</w:t>
      </w:r>
      <w:r w:rsidR="000A02D3">
        <w:rPr>
          <w:rFonts w:asciiTheme="minorHAnsi" w:hAnsiTheme="minorHAnsi"/>
        </w:rPr>
        <w:t xml:space="preserve">  </w:t>
      </w:r>
      <w:r w:rsidR="00C16BFC">
        <w:rPr>
          <w:rFonts w:asciiTheme="minorHAnsi" w:hAnsiTheme="minorHAnsi"/>
        </w:rPr>
        <w:t xml:space="preserve">This </w:t>
      </w:r>
      <w:r w:rsidR="000454B3">
        <w:rPr>
          <w:rFonts w:asciiTheme="minorHAnsi" w:hAnsiTheme="minorHAnsi"/>
        </w:rPr>
        <w:t>contingency document</w:t>
      </w:r>
      <w:r w:rsidR="00C16BFC">
        <w:rPr>
          <w:rFonts w:asciiTheme="minorHAnsi" w:hAnsiTheme="minorHAnsi"/>
        </w:rPr>
        <w:t xml:space="preserve"> is provided for a short-term shutdown. A long-term event will require further analysis and development.</w:t>
      </w:r>
    </w:p>
    <w:p w14:paraId="3DB6F119" w14:textId="77777777" w:rsidR="0099419C" w:rsidRDefault="0099419C" w:rsidP="00224E28">
      <w:r>
        <w:t xml:space="preserve">This document outlines the </w:t>
      </w:r>
      <w:r w:rsidR="000454B3">
        <w:t>activities</w:t>
      </w:r>
      <w:r>
        <w:t xml:space="preserve"> being undertaken by VA in anticipation of a potential government shutdown due to a lapse in appropriations. This </w:t>
      </w:r>
      <w:r w:rsidR="000454B3">
        <w:t>document</w:t>
      </w:r>
      <w:r>
        <w:t xml:space="preserve"> is intended to ensure that </w:t>
      </w:r>
      <w:r w:rsidR="00D3084C" w:rsidRPr="00D3084C">
        <w:t xml:space="preserve">VA </w:t>
      </w:r>
      <w:r w:rsidR="00CE1ACA">
        <w:t>c</w:t>
      </w:r>
      <w:r w:rsidR="0068738D">
        <w:t>an perform an orderly suspension of its programs and</w:t>
      </w:r>
      <w:r w:rsidR="00CE1ACA">
        <w:t xml:space="preserve"> operations in the </w:t>
      </w:r>
      <w:r w:rsidR="00C16BFC">
        <w:t xml:space="preserve">unlikely </w:t>
      </w:r>
      <w:r w:rsidR="00CE1ACA">
        <w:t xml:space="preserve">event </w:t>
      </w:r>
      <w:r>
        <w:t>of a shutdown.</w:t>
      </w:r>
    </w:p>
    <w:p w14:paraId="3DB6F11A" w14:textId="77777777" w:rsidR="000A02D3" w:rsidRDefault="0068738D" w:rsidP="00D3084C">
      <w:r>
        <w:t xml:space="preserve">This </w:t>
      </w:r>
      <w:r w:rsidR="000454B3">
        <w:t>document</w:t>
      </w:r>
      <w:r>
        <w:t xml:space="preserve"> outlines programs</w:t>
      </w:r>
      <w:r w:rsidR="00D3084C" w:rsidRPr="00D3084C">
        <w:t xml:space="preserve"> and resources necessary to ensure the shutdown of VA’s functions if normal operations are suspended.</w:t>
      </w:r>
      <w:r w:rsidR="00307054">
        <w:t xml:space="preserve"> It also </w:t>
      </w:r>
      <w:r w:rsidR="00D3084C" w:rsidRPr="00D3084C">
        <w:t xml:space="preserve">applies to all personnel and contractors assigned </w:t>
      </w:r>
      <w:r w:rsidR="00CE1ACA">
        <w:t xml:space="preserve">to </w:t>
      </w:r>
      <w:r w:rsidR="00D3084C" w:rsidRPr="00D3084C">
        <w:t>or performing services for VA.</w:t>
      </w:r>
      <w:r w:rsidR="000A02D3">
        <w:t xml:space="preserve"> </w:t>
      </w:r>
    </w:p>
    <w:p w14:paraId="3DB6F11B" w14:textId="77777777" w:rsidR="00D3084C" w:rsidRDefault="00FE3125" w:rsidP="00D3084C">
      <w:pPr>
        <w:pStyle w:val="Heading1"/>
      </w:pPr>
      <w:r>
        <w:t xml:space="preserve">Shutdown </w:t>
      </w:r>
      <w:r w:rsidR="000454B3">
        <w:t>Contingency</w:t>
      </w:r>
      <w:r w:rsidR="00C16BFC">
        <w:t xml:space="preserve"> Overview</w:t>
      </w:r>
    </w:p>
    <w:p w14:paraId="3DB6F11C" w14:textId="77777777" w:rsidR="007636F0" w:rsidRDefault="00AB58F8" w:rsidP="007636F0">
      <w:r>
        <w:t xml:space="preserve">The Department </w:t>
      </w:r>
      <w:r w:rsidR="0099419C" w:rsidRPr="0099419C">
        <w:t xml:space="preserve">is pursuing a comprehensive approach for a potential shutdown, which includes identifying functions </w:t>
      </w:r>
      <w:r w:rsidR="0068738D">
        <w:t xml:space="preserve">and programs </w:t>
      </w:r>
      <w:r w:rsidR="0099419C" w:rsidRPr="0099419C">
        <w:t>for which there is a</w:t>
      </w:r>
      <w:r w:rsidR="00F679C4">
        <w:t xml:space="preserve"> legal</w:t>
      </w:r>
      <w:r w:rsidR="0099419C" w:rsidRPr="0099419C">
        <w:t xml:space="preserve"> basis for exception, including </w:t>
      </w:r>
      <w:r w:rsidR="00C70268">
        <w:t>those required</w:t>
      </w:r>
      <w:r w:rsidR="0068738D">
        <w:t xml:space="preserve"> by “</w:t>
      </w:r>
      <w:r w:rsidR="0099419C" w:rsidRPr="0099419C">
        <w:t>necessary implication</w:t>
      </w:r>
      <w:r w:rsidR="0068738D">
        <w:t>”</w:t>
      </w:r>
      <w:r w:rsidR="0099419C" w:rsidRPr="0099419C">
        <w:t xml:space="preserve"> and protection of life and property.  VA Administrations and Staff Offices were asked to review their organizations and identify these </w:t>
      </w:r>
      <w:r w:rsidR="0068738D">
        <w:t xml:space="preserve">specific </w:t>
      </w:r>
      <w:r w:rsidR="0099419C" w:rsidRPr="0099419C">
        <w:t>functions</w:t>
      </w:r>
      <w:r w:rsidR="0068738D">
        <w:t xml:space="preserve"> and programs</w:t>
      </w:r>
      <w:r w:rsidR="0099419C" w:rsidRPr="0099419C">
        <w:t xml:space="preserve"> (and the employees required to support them)</w:t>
      </w:r>
      <w:r w:rsidR="001102DF">
        <w:t>. Their decisions were</w:t>
      </w:r>
      <w:r w:rsidR="0099419C" w:rsidRPr="0099419C">
        <w:t xml:space="preserve"> based on long-standing OMB and Justice Department </w:t>
      </w:r>
      <w:r w:rsidR="00742D2F">
        <w:t xml:space="preserve">guidance, </w:t>
      </w:r>
      <w:r w:rsidR="0068738D">
        <w:t>and the legal opinions</w:t>
      </w:r>
      <w:r w:rsidR="00742D2F">
        <w:t xml:space="preserve"> of VA’s Office of General Counsel (OGC). </w:t>
      </w:r>
      <w:r w:rsidR="007636F0">
        <w:t xml:space="preserve">  VA’s OGC has reviewed this </w:t>
      </w:r>
      <w:r w:rsidR="000454B3">
        <w:t>document</w:t>
      </w:r>
      <w:r w:rsidR="007636F0">
        <w:t xml:space="preserve"> t</w:t>
      </w:r>
      <w:r w:rsidR="0099419C" w:rsidRPr="0099419C">
        <w:t>o ensure compliance with the</w:t>
      </w:r>
      <w:r w:rsidR="00742D2F">
        <w:t>se</w:t>
      </w:r>
      <w:r w:rsidR="0099419C" w:rsidRPr="0099419C">
        <w:t xml:space="preserve"> criteria</w:t>
      </w:r>
      <w:r w:rsidR="007636F0">
        <w:t>.</w:t>
      </w:r>
    </w:p>
    <w:p w14:paraId="3DB6F11D" w14:textId="77777777" w:rsidR="001102DF" w:rsidRDefault="00D8718D" w:rsidP="00D8718D">
      <w:r>
        <w:t xml:space="preserve">In its </w:t>
      </w:r>
      <w:r w:rsidR="00F91FF8">
        <w:t xml:space="preserve">shutdown </w:t>
      </w:r>
      <w:r w:rsidR="000454B3">
        <w:t>contingency</w:t>
      </w:r>
      <w:r w:rsidR="00F91FF8">
        <w:t xml:space="preserve"> </w:t>
      </w:r>
      <w:r>
        <w:t xml:space="preserve">deliberations, </w:t>
      </w:r>
      <w:r w:rsidR="00F91FF8">
        <w:t>V</w:t>
      </w:r>
      <w:r>
        <w:t xml:space="preserve">A has consistently </w:t>
      </w:r>
      <w:r w:rsidR="002C306C">
        <w:t xml:space="preserve">worked </w:t>
      </w:r>
      <w:r>
        <w:t xml:space="preserve">to </w:t>
      </w:r>
      <w:r w:rsidR="00CE7B64">
        <w:t>establish whi</w:t>
      </w:r>
      <w:r w:rsidR="000A02D3">
        <w:t xml:space="preserve">ch of its functions are legally </w:t>
      </w:r>
      <w:proofErr w:type="gramStart"/>
      <w:r w:rsidR="000A02D3">
        <w:t>excepted</w:t>
      </w:r>
      <w:proofErr w:type="gramEnd"/>
      <w:r w:rsidR="000A02D3">
        <w:t xml:space="preserve"> </w:t>
      </w:r>
      <w:r w:rsidR="0068738D">
        <w:t xml:space="preserve">for carrying out </w:t>
      </w:r>
      <w:r w:rsidR="005629BB">
        <w:t>services</w:t>
      </w:r>
      <w:r w:rsidR="00CE7B64">
        <w:t xml:space="preserve"> the Department is obligated to provide </w:t>
      </w:r>
      <w:r w:rsidR="001C239F">
        <w:t xml:space="preserve">to </w:t>
      </w:r>
      <w:r w:rsidR="00CE7B64">
        <w:t xml:space="preserve">the nation’s Veterans and their families. </w:t>
      </w:r>
      <w:r w:rsidR="0068738D">
        <w:t>These include the provision of</w:t>
      </w:r>
      <w:r w:rsidR="002C306C">
        <w:t xml:space="preserve"> high-quality medical care</w:t>
      </w:r>
      <w:r w:rsidR="0068738D">
        <w:t xml:space="preserve">, </w:t>
      </w:r>
      <w:r w:rsidR="002C306C">
        <w:t>compensation</w:t>
      </w:r>
      <w:r w:rsidR="00D27359">
        <w:t xml:space="preserve"> and </w:t>
      </w:r>
      <w:r w:rsidR="002C306C">
        <w:t>pension</w:t>
      </w:r>
      <w:r w:rsidR="00D27359">
        <w:t xml:space="preserve"> benef</w:t>
      </w:r>
      <w:r w:rsidR="0068738D">
        <w:t>its, housing, and burial service</w:t>
      </w:r>
      <w:r w:rsidR="00D27359">
        <w:t>s</w:t>
      </w:r>
      <w:r w:rsidR="002C306C">
        <w:t xml:space="preserve">.     </w:t>
      </w:r>
    </w:p>
    <w:p w14:paraId="3DB6F11E" w14:textId="77777777" w:rsidR="00CE7B64" w:rsidRDefault="00D27359" w:rsidP="00D8718D">
      <w:proofErr w:type="gramStart"/>
      <w:r>
        <w:t>E</w:t>
      </w:r>
      <w:r w:rsidR="002C306C">
        <w:t>xcepted</w:t>
      </w:r>
      <w:proofErr w:type="gramEnd"/>
      <w:r w:rsidR="002C306C">
        <w:t xml:space="preserve"> </w:t>
      </w:r>
      <w:r w:rsidR="00F65076">
        <w:t xml:space="preserve">functions </w:t>
      </w:r>
      <w:r>
        <w:t xml:space="preserve">that </w:t>
      </w:r>
      <w:r w:rsidR="00F65076">
        <w:t xml:space="preserve">relate to the Department’s need to protect </w:t>
      </w:r>
      <w:r w:rsidR="000454B3">
        <w:t xml:space="preserve">life and property including </w:t>
      </w:r>
      <w:r>
        <w:t xml:space="preserve">the Office of Information Technology (OI&amp;T)’s information systems that support the provision of health services at </w:t>
      </w:r>
      <w:r w:rsidR="00F65076">
        <w:t>the Veterans Health Administration</w:t>
      </w:r>
      <w:r w:rsidR="00E06012">
        <w:t xml:space="preserve"> (VHA)</w:t>
      </w:r>
      <w:r>
        <w:t xml:space="preserve">’s facilities.  </w:t>
      </w:r>
    </w:p>
    <w:p w14:paraId="3DB6F11F" w14:textId="77777777" w:rsidR="00CE7B64" w:rsidRDefault="00F65076" w:rsidP="00D8718D">
      <w:r>
        <w:t>During the 1995-96 government shutdowns,</w:t>
      </w:r>
      <w:r w:rsidR="00CE7B64">
        <w:t xml:space="preserve"> </w:t>
      </w:r>
      <w:r w:rsidR="00E95BD0">
        <w:t xml:space="preserve">a number of </w:t>
      </w:r>
      <w:r>
        <w:t>V</w:t>
      </w:r>
      <w:r w:rsidR="00CE7B64">
        <w:t xml:space="preserve">A </w:t>
      </w:r>
      <w:r w:rsidR="00E95BD0">
        <w:t>functions were impacted by the l</w:t>
      </w:r>
      <w:r w:rsidR="006A05E5">
        <w:t>apse in appropriation</w:t>
      </w:r>
      <w:r w:rsidR="00E95BD0">
        <w:t xml:space="preserve">: </w:t>
      </w:r>
    </w:p>
    <w:p w14:paraId="3DB6F120" w14:textId="77777777" w:rsidR="00F65076" w:rsidRPr="00E95BD0" w:rsidRDefault="00F65076" w:rsidP="00F94099">
      <w:pPr>
        <w:pStyle w:val="Bullet1"/>
        <w:spacing w:before="120" w:after="120"/>
        <w:rPr>
          <w:sz w:val="24"/>
          <w:szCs w:val="24"/>
        </w:rPr>
      </w:pPr>
      <w:r w:rsidRPr="00E95BD0">
        <w:rPr>
          <w:sz w:val="24"/>
          <w:szCs w:val="24"/>
        </w:rPr>
        <w:lastRenderedPageBreak/>
        <w:t xml:space="preserve">VHA did not have </w:t>
      </w:r>
      <w:r w:rsidR="00E95BD0">
        <w:rPr>
          <w:sz w:val="24"/>
          <w:szCs w:val="24"/>
        </w:rPr>
        <w:t xml:space="preserve">an </w:t>
      </w:r>
      <w:r w:rsidRPr="00E95BD0">
        <w:rPr>
          <w:sz w:val="24"/>
          <w:szCs w:val="24"/>
        </w:rPr>
        <w:t>advance appropriation</w:t>
      </w:r>
      <w:r w:rsidR="00E95BD0">
        <w:rPr>
          <w:sz w:val="24"/>
          <w:szCs w:val="24"/>
        </w:rPr>
        <w:t xml:space="preserve"> </w:t>
      </w:r>
      <w:r w:rsidR="008C0935">
        <w:rPr>
          <w:sz w:val="24"/>
          <w:szCs w:val="24"/>
        </w:rPr>
        <w:t>–</w:t>
      </w:r>
      <w:r w:rsidR="00E95BD0">
        <w:rPr>
          <w:sz w:val="24"/>
          <w:szCs w:val="24"/>
        </w:rPr>
        <w:t xml:space="preserve"> </w:t>
      </w:r>
      <w:r w:rsidR="008C0935">
        <w:rPr>
          <w:sz w:val="24"/>
          <w:szCs w:val="24"/>
        </w:rPr>
        <w:t>m</w:t>
      </w:r>
      <w:r w:rsidRPr="00E95BD0">
        <w:rPr>
          <w:sz w:val="24"/>
          <w:szCs w:val="24"/>
        </w:rPr>
        <w:t xml:space="preserve">edical service, support </w:t>
      </w:r>
      <w:r w:rsidR="00E95BD0">
        <w:rPr>
          <w:sz w:val="24"/>
          <w:szCs w:val="24"/>
        </w:rPr>
        <w:t xml:space="preserve">and </w:t>
      </w:r>
      <w:r w:rsidR="00C16BFC">
        <w:rPr>
          <w:sz w:val="24"/>
          <w:szCs w:val="24"/>
        </w:rPr>
        <w:t>compliance and medical facilities</w:t>
      </w:r>
      <w:r w:rsidRPr="00E95BD0">
        <w:rPr>
          <w:sz w:val="24"/>
          <w:szCs w:val="24"/>
        </w:rPr>
        <w:t xml:space="preserve"> </w:t>
      </w:r>
      <w:r w:rsidR="00E95BD0">
        <w:rPr>
          <w:sz w:val="24"/>
          <w:szCs w:val="24"/>
        </w:rPr>
        <w:t xml:space="preserve">were </w:t>
      </w:r>
      <w:r w:rsidRPr="00E95BD0">
        <w:rPr>
          <w:sz w:val="24"/>
          <w:szCs w:val="24"/>
        </w:rPr>
        <w:t>limited to those deemed excepted for protection of life and property</w:t>
      </w:r>
      <w:r w:rsidR="00C16BFC">
        <w:rPr>
          <w:sz w:val="24"/>
          <w:szCs w:val="24"/>
        </w:rPr>
        <w:t>.</w:t>
      </w:r>
    </w:p>
    <w:p w14:paraId="3DB6F121" w14:textId="77777777" w:rsidR="00E95BD0" w:rsidRPr="00E2770F" w:rsidRDefault="00F65076" w:rsidP="00F94099">
      <w:pPr>
        <w:pStyle w:val="Bullet1"/>
        <w:spacing w:before="120" w:after="120"/>
        <w:rPr>
          <w:rFonts w:asciiTheme="minorHAnsi" w:hAnsiTheme="minorHAnsi"/>
          <w:sz w:val="24"/>
          <w:szCs w:val="24"/>
        </w:rPr>
      </w:pPr>
      <w:r w:rsidRPr="00E2770F">
        <w:rPr>
          <w:rFonts w:asciiTheme="minorHAnsi" w:hAnsiTheme="minorHAnsi"/>
          <w:sz w:val="24"/>
          <w:szCs w:val="24"/>
        </w:rPr>
        <w:t>Some benefit activities and payments (e.g., Readjustment, Insurance) were delayed</w:t>
      </w:r>
      <w:r w:rsidR="00C16BFC" w:rsidRPr="00E2770F">
        <w:rPr>
          <w:rFonts w:asciiTheme="minorHAnsi" w:hAnsiTheme="minorHAnsi"/>
          <w:sz w:val="24"/>
          <w:szCs w:val="24"/>
        </w:rPr>
        <w:t>.</w:t>
      </w:r>
      <w:r w:rsidRPr="00E2770F">
        <w:rPr>
          <w:rFonts w:asciiTheme="minorHAnsi" w:hAnsiTheme="minorHAnsi"/>
          <w:sz w:val="24"/>
          <w:szCs w:val="24"/>
        </w:rPr>
        <w:t xml:space="preserve"> </w:t>
      </w:r>
    </w:p>
    <w:p w14:paraId="3DB6F122" w14:textId="77777777" w:rsidR="00E95BD0" w:rsidRPr="00E2770F" w:rsidRDefault="00F65076" w:rsidP="00F94099">
      <w:pPr>
        <w:pStyle w:val="Bullet1"/>
        <w:spacing w:before="120" w:after="120"/>
        <w:rPr>
          <w:rFonts w:asciiTheme="minorHAnsi" w:hAnsiTheme="minorHAnsi"/>
          <w:sz w:val="24"/>
          <w:szCs w:val="24"/>
        </w:rPr>
      </w:pPr>
      <w:r w:rsidRPr="00E2770F">
        <w:rPr>
          <w:rFonts w:asciiTheme="minorHAnsi" w:hAnsiTheme="minorHAnsi"/>
          <w:sz w:val="24"/>
          <w:szCs w:val="24"/>
        </w:rPr>
        <w:t xml:space="preserve">Loan Guaranty certificates of eligibility and certificates of reasonable value </w:t>
      </w:r>
      <w:r w:rsidR="00E95BD0" w:rsidRPr="00E2770F">
        <w:rPr>
          <w:rFonts w:asciiTheme="minorHAnsi" w:hAnsiTheme="minorHAnsi"/>
          <w:sz w:val="24"/>
          <w:szCs w:val="24"/>
        </w:rPr>
        <w:t xml:space="preserve">were </w:t>
      </w:r>
      <w:r w:rsidR="000A02D3" w:rsidRPr="00E2770F">
        <w:rPr>
          <w:rFonts w:asciiTheme="minorHAnsi" w:hAnsiTheme="minorHAnsi"/>
          <w:sz w:val="24"/>
          <w:szCs w:val="24"/>
        </w:rPr>
        <w:t>delayed</w:t>
      </w:r>
      <w:r w:rsidR="009F0382" w:rsidRPr="00E2770F">
        <w:rPr>
          <w:rFonts w:asciiTheme="minorHAnsi" w:hAnsiTheme="minorHAnsi"/>
          <w:sz w:val="24"/>
          <w:szCs w:val="24"/>
        </w:rPr>
        <w:t>.</w:t>
      </w:r>
      <w:r w:rsidRPr="00E2770F">
        <w:rPr>
          <w:rFonts w:asciiTheme="minorHAnsi" w:hAnsiTheme="minorHAnsi"/>
          <w:sz w:val="24"/>
          <w:szCs w:val="24"/>
        </w:rPr>
        <w:t xml:space="preserve"> </w:t>
      </w:r>
    </w:p>
    <w:p w14:paraId="3DB6F123" w14:textId="6D91D011" w:rsidR="00CE7B64" w:rsidRPr="00E2770F" w:rsidRDefault="00F94099" w:rsidP="00E95BD0">
      <w:pPr>
        <w:rPr>
          <w:rFonts w:asciiTheme="minorHAnsi" w:hAnsiTheme="minorHAnsi"/>
        </w:rPr>
      </w:pPr>
      <w:r w:rsidRPr="00E2770F">
        <w:rPr>
          <w:rFonts w:asciiTheme="minorHAnsi" w:hAnsiTheme="minorHAnsi"/>
        </w:rPr>
        <w:t>However, i</w:t>
      </w:r>
      <w:r w:rsidR="00D11AF4" w:rsidRPr="00E2770F">
        <w:rPr>
          <w:rFonts w:asciiTheme="minorHAnsi" w:hAnsiTheme="minorHAnsi"/>
        </w:rPr>
        <w:t>n anticipating a pote</w:t>
      </w:r>
      <w:r w:rsidRPr="00E2770F">
        <w:rPr>
          <w:rFonts w:asciiTheme="minorHAnsi" w:hAnsiTheme="minorHAnsi"/>
        </w:rPr>
        <w:t>ntial shutdown in 201</w:t>
      </w:r>
      <w:r w:rsidR="00E531E3">
        <w:rPr>
          <w:rFonts w:asciiTheme="minorHAnsi" w:hAnsiTheme="minorHAnsi"/>
        </w:rPr>
        <w:t>3</w:t>
      </w:r>
      <w:r w:rsidRPr="00E2770F">
        <w:rPr>
          <w:rFonts w:asciiTheme="minorHAnsi" w:hAnsiTheme="minorHAnsi"/>
        </w:rPr>
        <w:t>,</w:t>
      </w:r>
      <w:r w:rsidR="00D11AF4" w:rsidRPr="00E2770F">
        <w:rPr>
          <w:rFonts w:asciiTheme="minorHAnsi" w:hAnsiTheme="minorHAnsi"/>
        </w:rPr>
        <w:t xml:space="preserve"> VA must take into account several factors that are different from the 1990s</w:t>
      </w:r>
      <w:r w:rsidR="0045034D" w:rsidRPr="00E2770F">
        <w:rPr>
          <w:rFonts w:asciiTheme="minorHAnsi" w:hAnsiTheme="minorHAnsi"/>
        </w:rPr>
        <w:t xml:space="preserve"> experience</w:t>
      </w:r>
      <w:r w:rsidR="00D11AF4" w:rsidRPr="00E2770F">
        <w:rPr>
          <w:rFonts w:asciiTheme="minorHAnsi" w:hAnsiTheme="minorHAnsi"/>
        </w:rPr>
        <w:t xml:space="preserve">.  </w:t>
      </w:r>
      <w:r w:rsidR="00E735E0" w:rsidRPr="00E2770F">
        <w:rPr>
          <w:rFonts w:asciiTheme="minorHAnsi" w:hAnsiTheme="minorHAnsi"/>
        </w:rPr>
        <w:t xml:space="preserve">The Department </w:t>
      </w:r>
      <w:r w:rsidR="0045034D" w:rsidRPr="00E2770F">
        <w:rPr>
          <w:rFonts w:asciiTheme="minorHAnsi" w:hAnsiTheme="minorHAnsi"/>
        </w:rPr>
        <w:t xml:space="preserve">believes these factors </w:t>
      </w:r>
      <w:r w:rsidR="00E735E0" w:rsidRPr="00E2770F">
        <w:rPr>
          <w:rFonts w:asciiTheme="minorHAnsi" w:hAnsiTheme="minorHAnsi"/>
        </w:rPr>
        <w:t xml:space="preserve">provide ample justification for what will be a significant increase in </w:t>
      </w:r>
      <w:r w:rsidR="009F0382" w:rsidRPr="00E2770F">
        <w:rPr>
          <w:rFonts w:asciiTheme="minorHAnsi" w:hAnsiTheme="minorHAnsi"/>
        </w:rPr>
        <w:t xml:space="preserve">the </w:t>
      </w:r>
      <w:r w:rsidR="00CE7B64" w:rsidRPr="00E2770F">
        <w:rPr>
          <w:rFonts w:asciiTheme="minorHAnsi" w:hAnsiTheme="minorHAnsi"/>
        </w:rPr>
        <w:t xml:space="preserve">number of excepted VA </w:t>
      </w:r>
      <w:r w:rsidRPr="00E2770F">
        <w:rPr>
          <w:rFonts w:asciiTheme="minorHAnsi" w:hAnsiTheme="minorHAnsi"/>
        </w:rPr>
        <w:t xml:space="preserve">employees and </w:t>
      </w:r>
      <w:r w:rsidR="00CE7B64" w:rsidRPr="00E2770F">
        <w:rPr>
          <w:rFonts w:asciiTheme="minorHAnsi" w:hAnsiTheme="minorHAnsi"/>
        </w:rPr>
        <w:t>functions</w:t>
      </w:r>
      <w:r w:rsidR="00497D72" w:rsidRPr="00E2770F">
        <w:rPr>
          <w:rFonts w:asciiTheme="minorHAnsi" w:hAnsiTheme="minorHAnsi"/>
        </w:rPr>
        <w:t xml:space="preserve"> </w:t>
      </w:r>
      <w:r w:rsidR="0095401E" w:rsidRPr="00E2770F">
        <w:rPr>
          <w:rFonts w:asciiTheme="minorHAnsi" w:hAnsiTheme="minorHAnsi"/>
        </w:rPr>
        <w:t xml:space="preserve">in </w:t>
      </w:r>
      <w:r w:rsidR="00497D72" w:rsidRPr="00E2770F">
        <w:rPr>
          <w:rFonts w:asciiTheme="minorHAnsi" w:hAnsiTheme="minorHAnsi"/>
        </w:rPr>
        <w:t>the event of a shutdown</w:t>
      </w:r>
      <w:r w:rsidR="00E735E0" w:rsidRPr="00E2770F">
        <w:rPr>
          <w:rFonts w:asciiTheme="minorHAnsi" w:hAnsiTheme="minorHAnsi"/>
        </w:rPr>
        <w:t xml:space="preserve">. </w:t>
      </w:r>
      <w:r w:rsidR="00CE7B64" w:rsidRPr="00E2770F">
        <w:rPr>
          <w:rFonts w:asciiTheme="minorHAnsi" w:hAnsiTheme="minorHAnsi"/>
        </w:rPr>
        <w:t xml:space="preserve">They include:   </w:t>
      </w:r>
    </w:p>
    <w:p w14:paraId="3DB6F124" w14:textId="77777777" w:rsidR="000A6A0C" w:rsidRPr="00E2770F" w:rsidRDefault="00497D72" w:rsidP="00F94099">
      <w:pPr>
        <w:pStyle w:val="Bullet1"/>
        <w:spacing w:before="120" w:after="120"/>
        <w:rPr>
          <w:rFonts w:asciiTheme="minorHAnsi" w:hAnsiTheme="minorHAnsi"/>
          <w:sz w:val="24"/>
          <w:szCs w:val="24"/>
        </w:rPr>
      </w:pPr>
      <w:r w:rsidRPr="00E2770F">
        <w:rPr>
          <w:rFonts w:asciiTheme="minorHAnsi" w:hAnsiTheme="minorHAnsi"/>
          <w:sz w:val="24"/>
          <w:szCs w:val="24"/>
        </w:rPr>
        <w:t>A</w:t>
      </w:r>
      <w:r w:rsidR="00CE7B64" w:rsidRPr="00E2770F">
        <w:rPr>
          <w:rFonts w:asciiTheme="minorHAnsi" w:hAnsiTheme="minorHAnsi"/>
          <w:sz w:val="24"/>
          <w:szCs w:val="24"/>
        </w:rPr>
        <w:t>dvance appropriation</w:t>
      </w:r>
      <w:r w:rsidRPr="00E2770F">
        <w:rPr>
          <w:rFonts w:asciiTheme="minorHAnsi" w:hAnsiTheme="minorHAnsi"/>
          <w:sz w:val="24"/>
          <w:szCs w:val="24"/>
        </w:rPr>
        <w:t>s</w:t>
      </w:r>
      <w:r w:rsidR="00CE7B64" w:rsidRPr="00E2770F">
        <w:rPr>
          <w:rFonts w:asciiTheme="minorHAnsi" w:hAnsiTheme="minorHAnsi"/>
          <w:sz w:val="24"/>
          <w:szCs w:val="24"/>
        </w:rPr>
        <w:t xml:space="preserve"> fo</w:t>
      </w:r>
      <w:r w:rsidR="00752B25" w:rsidRPr="00E2770F">
        <w:rPr>
          <w:rFonts w:asciiTheme="minorHAnsi" w:hAnsiTheme="minorHAnsi"/>
          <w:sz w:val="24"/>
          <w:szCs w:val="24"/>
        </w:rPr>
        <w:t xml:space="preserve">r VHA, which </w:t>
      </w:r>
      <w:r w:rsidR="005F54F8" w:rsidRPr="00E2770F">
        <w:rPr>
          <w:rFonts w:asciiTheme="minorHAnsi" w:hAnsiTheme="minorHAnsi"/>
          <w:sz w:val="24"/>
          <w:szCs w:val="24"/>
        </w:rPr>
        <w:t xml:space="preserve">accounts </w:t>
      </w:r>
      <w:r w:rsidR="005F54F8" w:rsidRPr="00BF5F7F">
        <w:rPr>
          <w:rFonts w:asciiTheme="minorHAnsi" w:hAnsiTheme="minorHAnsi"/>
          <w:sz w:val="24"/>
          <w:szCs w:val="24"/>
        </w:rPr>
        <w:t xml:space="preserve">for </w:t>
      </w:r>
      <w:r w:rsidR="000454B3" w:rsidRPr="00BF5F7F">
        <w:rPr>
          <w:rFonts w:asciiTheme="minorHAnsi" w:hAnsiTheme="minorHAnsi"/>
          <w:sz w:val="24"/>
          <w:szCs w:val="24"/>
        </w:rPr>
        <w:t>86%</w:t>
      </w:r>
      <w:r w:rsidR="000454B3" w:rsidRPr="00E2770F">
        <w:rPr>
          <w:rFonts w:asciiTheme="minorHAnsi" w:hAnsiTheme="minorHAnsi"/>
          <w:sz w:val="24"/>
          <w:szCs w:val="24"/>
        </w:rPr>
        <w:t xml:space="preserve"> of the VA’s discretionary budget. </w:t>
      </w:r>
      <w:r w:rsidR="00F36090" w:rsidRPr="00E2770F">
        <w:rPr>
          <w:rFonts w:asciiTheme="minorHAnsi" w:hAnsiTheme="minorHAnsi"/>
          <w:sz w:val="24"/>
          <w:szCs w:val="24"/>
        </w:rPr>
        <w:t xml:space="preserve"> </w:t>
      </w:r>
      <w:r w:rsidR="00752B25" w:rsidRPr="00E2770F">
        <w:rPr>
          <w:rFonts w:asciiTheme="minorHAnsi" w:hAnsiTheme="minorHAnsi"/>
          <w:sz w:val="24"/>
          <w:szCs w:val="24"/>
        </w:rPr>
        <w:t>VA believes that certain key</w:t>
      </w:r>
      <w:r w:rsidR="00651F03" w:rsidRPr="00E2770F">
        <w:rPr>
          <w:rFonts w:asciiTheme="minorHAnsi" w:hAnsiTheme="minorHAnsi"/>
          <w:sz w:val="24"/>
          <w:szCs w:val="24"/>
        </w:rPr>
        <w:t xml:space="preserve"> f</w:t>
      </w:r>
      <w:r w:rsidR="00752B25" w:rsidRPr="00E2770F">
        <w:rPr>
          <w:rFonts w:asciiTheme="minorHAnsi" w:hAnsiTheme="minorHAnsi"/>
          <w:sz w:val="24"/>
          <w:szCs w:val="24"/>
        </w:rPr>
        <w:t>unction</w:t>
      </w:r>
      <w:r w:rsidR="00BD235D" w:rsidRPr="00E2770F">
        <w:rPr>
          <w:rFonts w:asciiTheme="minorHAnsi" w:hAnsiTheme="minorHAnsi"/>
          <w:sz w:val="24"/>
          <w:szCs w:val="24"/>
        </w:rPr>
        <w:t>s that support</w:t>
      </w:r>
      <w:r w:rsidR="00752B25" w:rsidRPr="00E2770F">
        <w:rPr>
          <w:rFonts w:asciiTheme="minorHAnsi" w:hAnsiTheme="minorHAnsi"/>
          <w:sz w:val="24"/>
          <w:szCs w:val="24"/>
        </w:rPr>
        <w:t xml:space="preserve"> VHA’s </w:t>
      </w:r>
      <w:r w:rsidR="00217E78" w:rsidRPr="00E2770F">
        <w:rPr>
          <w:rFonts w:asciiTheme="minorHAnsi" w:hAnsiTheme="minorHAnsi"/>
          <w:sz w:val="24"/>
          <w:szCs w:val="24"/>
        </w:rPr>
        <w:t xml:space="preserve">research </w:t>
      </w:r>
      <w:r w:rsidR="00752B25" w:rsidRPr="00E2770F">
        <w:rPr>
          <w:rFonts w:asciiTheme="minorHAnsi" w:hAnsiTheme="minorHAnsi"/>
          <w:sz w:val="24"/>
          <w:szCs w:val="24"/>
        </w:rPr>
        <w:t xml:space="preserve">operations </w:t>
      </w:r>
      <w:r w:rsidR="000454B3" w:rsidRPr="00E2770F">
        <w:rPr>
          <w:rFonts w:asciiTheme="minorHAnsi" w:hAnsiTheme="minorHAnsi"/>
          <w:sz w:val="24"/>
          <w:szCs w:val="24"/>
        </w:rPr>
        <w:t>also</w:t>
      </w:r>
      <w:r w:rsidR="00752B25" w:rsidRPr="00E2770F">
        <w:rPr>
          <w:rFonts w:asciiTheme="minorHAnsi" w:hAnsiTheme="minorHAnsi"/>
          <w:sz w:val="24"/>
          <w:szCs w:val="24"/>
        </w:rPr>
        <w:t xml:space="preserve"> </w:t>
      </w:r>
      <w:r w:rsidR="00217E78" w:rsidRPr="00E2770F">
        <w:rPr>
          <w:rFonts w:asciiTheme="minorHAnsi" w:hAnsiTheme="minorHAnsi"/>
          <w:sz w:val="24"/>
          <w:szCs w:val="24"/>
        </w:rPr>
        <w:t>qualify for exception for protection of</w:t>
      </w:r>
      <w:r w:rsidR="00651F03" w:rsidRPr="00E2770F">
        <w:rPr>
          <w:rFonts w:asciiTheme="minorHAnsi" w:hAnsiTheme="minorHAnsi"/>
          <w:sz w:val="24"/>
          <w:szCs w:val="24"/>
        </w:rPr>
        <w:t xml:space="preserve"> </w:t>
      </w:r>
      <w:r w:rsidR="00217E78" w:rsidRPr="00E2770F">
        <w:rPr>
          <w:rFonts w:asciiTheme="minorHAnsi" w:hAnsiTheme="minorHAnsi"/>
          <w:sz w:val="24"/>
          <w:szCs w:val="24"/>
        </w:rPr>
        <w:t>life and property</w:t>
      </w:r>
      <w:r w:rsidR="00651F03" w:rsidRPr="00E2770F">
        <w:rPr>
          <w:rFonts w:asciiTheme="minorHAnsi" w:hAnsiTheme="minorHAnsi"/>
          <w:sz w:val="24"/>
          <w:szCs w:val="24"/>
        </w:rPr>
        <w:t xml:space="preserve">.   </w:t>
      </w:r>
    </w:p>
    <w:p w14:paraId="3DB6F125" w14:textId="77777777" w:rsidR="00CE7B64" w:rsidRPr="00E2770F" w:rsidRDefault="0095401E" w:rsidP="00F94099">
      <w:pPr>
        <w:pStyle w:val="Bullet1"/>
        <w:spacing w:before="120" w:after="120"/>
        <w:rPr>
          <w:rFonts w:asciiTheme="minorHAnsi" w:hAnsiTheme="minorHAnsi"/>
          <w:sz w:val="24"/>
          <w:szCs w:val="24"/>
        </w:rPr>
      </w:pPr>
      <w:r w:rsidRPr="00E2770F">
        <w:rPr>
          <w:rFonts w:asciiTheme="minorHAnsi" w:hAnsiTheme="minorHAnsi"/>
          <w:sz w:val="24"/>
          <w:szCs w:val="24"/>
        </w:rPr>
        <w:t>Review</w:t>
      </w:r>
      <w:r w:rsidR="009C1D4E" w:rsidRPr="00E2770F">
        <w:rPr>
          <w:rFonts w:asciiTheme="minorHAnsi" w:hAnsiTheme="minorHAnsi"/>
          <w:sz w:val="24"/>
          <w:szCs w:val="24"/>
        </w:rPr>
        <w:t xml:space="preserve"> by OGC and VA program offices</w:t>
      </w:r>
      <w:r w:rsidR="006055FD" w:rsidRPr="00E2770F">
        <w:rPr>
          <w:rFonts w:asciiTheme="minorHAnsi" w:hAnsiTheme="minorHAnsi"/>
          <w:sz w:val="24"/>
          <w:szCs w:val="24"/>
        </w:rPr>
        <w:t xml:space="preserve"> </w:t>
      </w:r>
      <w:r w:rsidR="006F3BE4" w:rsidRPr="00E2770F">
        <w:rPr>
          <w:rFonts w:asciiTheme="minorHAnsi" w:hAnsiTheme="minorHAnsi"/>
          <w:sz w:val="24"/>
          <w:szCs w:val="24"/>
        </w:rPr>
        <w:t xml:space="preserve">determined </w:t>
      </w:r>
      <w:r w:rsidR="006055FD" w:rsidRPr="00E2770F">
        <w:rPr>
          <w:rFonts w:asciiTheme="minorHAnsi" w:hAnsiTheme="minorHAnsi"/>
          <w:sz w:val="24"/>
          <w:szCs w:val="24"/>
        </w:rPr>
        <w:t xml:space="preserve">that if there are balances in </w:t>
      </w:r>
      <w:r w:rsidR="00AA27DB" w:rsidRPr="00E2770F">
        <w:rPr>
          <w:rFonts w:asciiTheme="minorHAnsi" w:hAnsiTheme="minorHAnsi"/>
          <w:sz w:val="24"/>
          <w:szCs w:val="24"/>
        </w:rPr>
        <w:t>d</w:t>
      </w:r>
      <w:r w:rsidR="00217E78" w:rsidRPr="00E2770F">
        <w:rPr>
          <w:rFonts w:asciiTheme="minorHAnsi" w:hAnsiTheme="minorHAnsi"/>
          <w:sz w:val="24"/>
          <w:szCs w:val="24"/>
        </w:rPr>
        <w:t>iscretionary accounts (due to</w:t>
      </w:r>
      <w:r w:rsidR="00AA27DB" w:rsidRPr="00E2770F">
        <w:rPr>
          <w:rFonts w:asciiTheme="minorHAnsi" w:hAnsiTheme="minorHAnsi"/>
          <w:sz w:val="24"/>
          <w:szCs w:val="24"/>
        </w:rPr>
        <w:t xml:space="preserve"> prior year carryover</w:t>
      </w:r>
      <w:r w:rsidR="00F36090" w:rsidRPr="00E2770F">
        <w:rPr>
          <w:rFonts w:asciiTheme="minorHAnsi" w:hAnsiTheme="minorHAnsi"/>
          <w:sz w:val="24"/>
          <w:szCs w:val="24"/>
        </w:rPr>
        <w:t>)</w:t>
      </w:r>
      <w:r w:rsidR="00217E78" w:rsidRPr="00E2770F">
        <w:rPr>
          <w:rFonts w:asciiTheme="minorHAnsi" w:hAnsiTheme="minorHAnsi"/>
          <w:sz w:val="24"/>
          <w:szCs w:val="24"/>
        </w:rPr>
        <w:t xml:space="preserve"> this </w:t>
      </w:r>
      <w:r w:rsidR="00AA27DB" w:rsidRPr="00E2770F">
        <w:rPr>
          <w:rFonts w:asciiTheme="minorHAnsi" w:hAnsiTheme="minorHAnsi"/>
          <w:sz w:val="24"/>
          <w:szCs w:val="24"/>
        </w:rPr>
        <w:t xml:space="preserve">funding </w:t>
      </w:r>
      <w:r w:rsidR="00D02A67" w:rsidRPr="00E2770F">
        <w:rPr>
          <w:rFonts w:asciiTheme="minorHAnsi" w:hAnsiTheme="minorHAnsi"/>
          <w:sz w:val="24"/>
          <w:szCs w:val="24"/>
        </w:rPr>
        <w:t>must</w:t>
      </w:r>
      <w:r w:rsidR="00AA27DB" w:rsidRPr="00E2770F">
        <w:rPr>
          <w:rFonts w:asciiTheme="minorHAnsi" w:hAnsiTheme="minorHAnsi"/>
          <w:sz w:val="24"/>
          <w:szCs w:val="24"/>
        </w:rPr>
        <w:t xml:space="preserve"> be used to continue operations until the balances are depleted.</w:t>
      </w:r>
    </w:p>
    <w:p w14:paraId="2BD0A27D" w14:textId="57A3AC65" w:rsidR="006154D4" w:rsidRPr="006154D4" w:rsidRDefault="006154D4" w:rsidP="006154D4">
      <w:pPr>
        <w:pStyle w:val="Bullet1"/>
        <w:numPr>
          <w:ilvl w:val="0"/>
          <w:numId w:val="0"/>
        </w:numPr>
        <w:ind w:left="288"/>
        <w:rPr>
          <w:sz w:val="24"/>
          <w:szCs w:val="24"/>
        </w:rPr>
      </w:pPr>
      <w:r w:rsidRPr="006154D4">
        <w:rPr>
          <w:sz w:val="24"/>
          <w:szCs w:val="24"/>
        </w:rPr>
        <w:t xml:space="preserve">As a result, the Department’s current projection is </w:t>
      </w:r>
      <w:r w:rsidRPr="009F7354">
        <w:rPr>
          <w:sz w:val="24"/>
          <w:szCs w:val="24"/>
        </w:rPr>
        <w:t xml:space="preserve">that </w:t>
      </w:r>
      <w:r w:rsidR="000C02A0" w:rsidRPr="009F7354">
        <w:rPr>
          <w:sz w:val="24"/>
          <w:szCs w:val="24"/>
        </w:rPr>
        <w:t>95</w:t>
      </w:r>
      <w:r w:rsidRPr="009F7354">
        <w:rPr>
          <w:sz w:val="24"/>
          <w:szCs w:val="24"/>
        </w:rPr>
        <w:t xml:space="preserve"> percent of VA employees would be either fully funded or required to perform excepted functions during a shutdown event.  Approximately </w:t>
      </w:r>
      <w:r w:rsidR="000C02A0" w:rsidRPr="009F7354">
        <w:rPr>
          <w:sz w:val="24"/>
          <w:szCs w:val="24"/>
        </w:rPr>
        <w:t>289,279</w:t>
      </w:r>
      <w:r w:rsidR="006A3B39" w:rsidRPr="009F7354">
        <w:rPr>
          <w:sz w:val="24"/>
          <w:szCs w:val="24"/>
        </w:rPr>
        <w:t xml:space="preserve"> employees</w:t>
      </w:r>
      <w:r w:rsidRPr="009F7354">
        <w:rPr>
          <w:sz w:val="24"/>
          <w:szCs w:val="24"/>
        </w:rPr>
        <w:t xml:space="preserve"> (out of a pre-shutdown total of </w:t>
      </w:r>
      <w:r w:rsidR="000A4EE9">
        <w:rPr>
          <w:sz w:val="24"/>
          <w:szCs w:val="24"/>
        </w:rPr>
        <w:t>331,996</w:t>
      </w:r>
      <w:r w:rsidRPr="009F7354">
        <w:rPr>
          <w:sz w:val="24"/>
          <w:szCs w:val="24"/>
        </w:rPr>
        <w:t xml:space="preserve">) are VHA and funded by advance appropriations. Therefore, the number of employees to be retained under the plan meeting A-11, Section 124.2 criteria is </w:t>
      </w:r>
      <w:r w:rsidR="00C74297">
        <w:rPr>
          <w:sz w:val="24"/>
          <w:szCs w:val="24"/>
        </w:rPr>
        <w:t>315,867</w:t>
      </w:r>
      <w:r w:rsidRPr="009F7354">
        <w:rPr>
          <w:sz w:val="24"/>
          <w:szCs w:val="24"/>
        </w:rPr>
        <w:t xml:space="preserve"> (of which </w:t>
      </w:r>
      <w:r w:rsidR="00C74297">
        <w:rPr>
          <w:sz w:val="24"/>
          <w:szCs w:val="24"/>
        </w:rPr>
        <w:t>292,457</w:t>
      </w:r>
      <w:r w:rsidRPr="009F7354">
        <w:rPr>
          <w:sz w:val="24"/>
          <w:szCs w:val="24"/>
        </w:rPr>
        <w:t xml:space="preserve"> are funded), and number of employees, not otherwise exempt is </w:t>
      </w:r>
      <w:r w:rsidR="00C74297">
        <w:rPr>
          <w:sz w:val="24"/>
          <w:szCs w:val="24"/>
        </w:rPr>
        <w:t>16,099</w:t>
      </w:r>
      <w:r w:rsidRPr="009F7354">
        <w:rPr>
          <w:sz w:val="24"/>
          <w:szCs w:val="24"/>
        </w:rPr>
        <w:t>.</w:t>
      </w:r>
      <w:r w:rsidRPr="006154D4">
        <w:rPr>
          <w:sz w:val="24"/>
          <w:szCs w:val="24"/>
        </w:rPr>
        <w:t xml:space="preserve"> </w:t>
      </w:r>
    </w:p>
    <w:p w14:paraId="3DB6F127" w14:textId="77777777" w:rsidR="00C347AB" w:rsidRDefault="00C347AB" w:rsidP="00296319">
      <w:pPr>
        <w:rPr>
          <w:b/>
        </w:rPr>
      </w:pPr>
    </w:p>
    <w:p w14:paraId="3DB6F128" w14:textId="77777777" w:rsidR="00090FE7" w:rsidRDefault="00D37E5B" w:rsidP="00296319">
      <w:r w:rsidRPr="009C1D4E">
        <w:rPr>
          <w:b/>
        </w:rPr>
        <w:t>A</w:t>
      </w:r>
      <w:r w:rsidR="00296319" w:rsidRPr="009C1D4E">
        <w:rPr>
          <w:b/>
        </w:rPr>
        <w:t xml:space="preserve">ppendix </w:t>
      </w:r>
      <w:r w:rsidRPr="009C1D4E">
        <w:rPr>
          <w:b/>
        </w:rPr>
        <w:t>A</w:t>
      </w:r>
      <w:r>
        <w:t xml:space="preserve"> </w:t>
      </w:r>
      <w:r w:rsidR="00A71AA3">
        <w:t>provides a summary table identifying impact of the shutdown on the workforce to each VA organization</w:t>
      </w:r>
    </w:p>
    <w:p w14:paraId="3DB6F129" w14:textId="77777777" w:rsidR="00090FE7" w:rsidRPr="00A71AA3" w:rsidRDefault="009C1D4E" w:rsidP="00296319">
      <w:r w:rsidRPr="009C1D4E">
        <w:rPr>
          <w:b/>
        </w:rPr>
        <w:t xml:space="preserve">Appendix B </w:t>
      </w:r>
      <w:r w:rsidR="00A71AA3">
        <w:t>provides additional detail concerning VA’s excepted functions along with the Department’s current projected shutdown staffing totals</w:t>
      </w:r>
    </w:p>
    <w:p w14:paraId="3DB6F12A" w14:textId="77777777" w:rsidR="00A71AA3" w:rsidRDefault="009C1D4E" w:rsidP="009C1D4E">
      <w:pPr>
        <w:rPr>
          <w:b/>
        </w:rPr>
      </w:pPr>
      <w:r w:rsidRPr="009C1D4E">
        <w:rPr>
          <w:b/>
        </w:rPr>
        <w:t xml:space="preserve">Appendix </w:t>
      </w:r>
      <w:r w:rsidR="00054BA7">
        <w:rPr>
          <w:b/>
        </w:rPr>
        <w:t>C</w:t>
      </w:r>
      <w:r w:rsidRPr="009C1D4E">
        <w:rPr>
          <w:b/>
        </w:rPr>
        <w:t xml:space="preserve"> </w:t>
      </w:r>
      <w:r w:rsidR="00A71AA3">
        <w:t>provides a summary o</w:t>
      </w:r>
      <w:r w:rsidR="00E2770F">
        <w:t>f suspended functions within VA</w:t>
      </w:r>
    </w:p>
    <w:p w14:paraId="3DB6F12C" w14:textId="77777777" w:rsidR="00A91A20" w:rsidRDefault="00A91A20" w:rsidP="00296319">
      <w:pPr>
        <w:sectPr w:rsidR="00A91A20" w:rsidSect="00576763">
          <w:headerReference w:type="default" r:id="rId14"/>
          <w:footerReference w:type="default" r:id="rId15"/>
          <w:headerReference w:type="first" r:id="rId16"/>
          <w:pgSz w:w="12240" w:h="15840"/>
          <w:pgMar w:top="1440" w:right="1440" w:bottom="1440" w:left="1440" w:header="720" w:footer="504" w:gutter="0"/>
          <w:pgNumType w:start="1"/>
          <w:cols w:space="720"/>
          <w:titlePg/>
          <w:docGrid w:linePitch="360"/>
        </w:sectPr>
      </w:pPr>
    </w:p>
    <w:p w14:paraId="3DB6F12D" w14:textId="77777777" w:rsidR="00ED1B3F" w:rsidRPr="002C3B7A" w:rsidRDefault="00EF69F1" w:rsidP="006F3BE4">
      <w:pPr>
        <w:pStyle w:val="Heading-Appendix1"/>
        <w:numPr>
          <w:ilvl w:val="0"/>
          <w:numId w:val="14"/>
        </w:numPr>
        <w:spacing w:after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Impact of the Shutdown on the Workforce</w:t>
      </w:r>
    </w:p>
    <w:tbl>
      <w:tblPr>
        <w:tblW w:w="1119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3450"/>
        <w:gridCol w:w="2070"/>
        <w:gridCol w:w="1949"/>
        <w:gridCol w:w="2250"/>
        <w:gridCol w:w="1471"/>
      </w:tblGrid>
      <w:tr w:rsidR="007507F4" w:rsidRPr="007507F4" w14:paraId="3DB6F133" w14:textId="77777777" w:rsidTr="00D02A67">
        <w:trPr>
          <w:trHeight w:val="1354"/>
        </w:trPr>
        <w:tc>
          <w:tcPr>
            <w:tcW w:w="3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66CC" w:fill="auto"/>
            <w:vAlign w:val="center"/>
          </w:tcPr>
          <w:p w14:paraId="3DB6F12E" w14:textId="77777777" w:rsidR="007507F4" w:rsidRPr="007507F4" w:rsidRDefault="007507F4" w:rsidP="00E9623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color w:val="FFFFFF"/>
              </w:rPr>
            </w:pPr>
            <w:bookmarkStart w:id="0" w:name="OLE_LINK1"/>
            <w:r w:rsidRPr="007507F4">
              <w:rPr>
                <w:b/>
                <w:bCs/>
                <w:color w:val="FFFFFF"/>
              </w:rPr>
              <w:t>VA ORGANIZATION</w:t>
            </w:r>
          </w:p>
        </w:tc>
        <w:tc>
          <w:tcPr>
            <w:tcW w:w="20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0066CC" w:fill="auto"/>
            <w:vAlign w:val="center"/>
          </w:tcPr>
          <w:p w14:paraId="3DB6F12F" w14:textId="77777777" w:rsidR="007507F4" w:rsidRPr="007507F4" w:rsidRDefault="007507F4" w:rsidP="00E9623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color w:val="FFFFFF"/>
              </w:rPr>
            </w:pPr>
            <w:r w:rsidRPr="007507F4">
              <w:rPr>
                <w:b/>
                <w:bCs/>
                <w:color w:val="FFFFFF"/>
              </w:rPr>
              <w:t>EMPLOYEES DURING NORMAL OPERATIONS</w:t>
            </w:r>
          </w:p>
        </w:tc>
        <w:tc>
          <w:tcPr>
            <w:tcW w:w="194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0066CC" w:fill="auto"/>
            <w:vAlign w:val="center"/>
          </w:tcPr>
          <w:p w14:paraId="3DB6F130" w14:textId="04330B6D" w:rsidR="007507F4" w:rsidRPr="007507F4" w:rsidRDefault="002F3378" w:rsidP="00D07C5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 </w:t>
            </w:r>
            <w:r w:rsidR="00D07C50">
              <w:rPr>
                <w:b/>
                <w:bCs/>
                <w:color w:val="FFFFFF"/>
              </w:rPr>
              <w:t>FULLY FUNDED: WILL CONTINUE TO WORK</w:t>
            </w:r>
          </w:p>
        </w:tc>
        <w:tc>
          <w:tcPr>
            <w:tcW w:w="22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0066CC" w:fill="auto"/>
            <w:vAlign w:val="center"/>
          </w:tcPr>
          <w:p w14:paraId="3DB6F131" w14:textId="49ACE966" w:rsidR="007507F4" w:rsidRPr="007507F4" w:rsidRDefault="00D07C50" w:rsidP="00D02A6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EXCEPTED EMPLOYEES (OTHER LEGAL BASIS: WILL CONTINUE TO WORK)</w:t>
            </w:r>
          </w:p>
        </w:tc>
        <w:tc>
          <w:tcPr>
            <w:tcW w:w="14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0066CC" w:fill="auto"/>
          </w:tcPr>
          <w:p w14:paraId="3DB6F132" w14:textId="7C210C7E" w:rsidR="007507F4" w:rsidRPr="007507F4" w:rsidRDefault="007507F4" w:rsidP="007507F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color w:val="FFFFFF"/>
              </w:rPr>
            </w:pPr>
            <w:r w:rsidRPr="007507F4">
              <w:rPr>
                <w:b/>
                <w:bCs/>
                <w:color w:val="FFFFFF"/>
              </w:rPr>
              <w:t>NON-EXCEPTED EMPLOYEES</w:t>
            </w:r>
            <w:r w:rsidR="00D07C50">
              <w:rPr>
                <w:b/>
                <w:bCs/>
                <w:color w:val="FFFFFF"/>
              </w:rPr>
              <w:t xml:space="preserve"> (SUBJECT TO FURLOUGH)</w:t>
            </w:r>
            <w:r w:rsidRPr="007507F4">
              <w:rPr>
                <w:b/>
                <w:bCs/>
                <w:color w:val="FFFFFF"/>
              </w:rPr>
              <w:t xml:space="preserve"> </w:t>
            </w:r>
          </w:p>
        </w:tc>
      </w:tr>
      <w:tr w:rsidR="00CE550B" w:rsidRPr="007507F4" w14:paraId="3DB6F139" w14:textId="77777777" w:rsidTr="00942FC3">
        <w:trPr>
          <w:trHeight w:val="511"/>
        </w:trPr>
        <w:tc>
          <w:tcPr>
            <w:tcW w:w="34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6F134" w14:textId="77777777" w:rsidR="00CE550B" w:rsidRPr="007507F4" w:rsidRDefault="00CE550B" w:rsidP="007507F4">
            <w:pPr>
              <w:autoSpaceDE w:val="0"/>
              <w:autoSpaceDN w:val="0"/>
              <w:adjustRightInd w:val="0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 w:rsidRPr="007507F4">
              <w:rPr>
                <w:b/>
                <w:bCs/>
                <w:color w:val="000000"/>
                <w:sz w:val="20"/>
                <w:szCs w:val="20"/>
              </w:rPr>
              <w:t>Veterans Health Administration (VHA)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3DB6F135" w14:textId="6EC0205A" w:rsidR="00CE550B" w:rsidRPr="00E531E3" w:rsidRDefault="00CE550B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295,486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3DB6F136" w14:textId="63C9DC23" w:rsidR="00CE550B" w:rsidRPr="00E531E3" w:rsidRDefault="00B20E88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289,</w:t>
            </w:r>
            <w:r w:rsidR="00BD24B8">
              <w:rPr>
                <w:rFonts w:asciiTheme="minorHAnsi" w:hAnsiTheme="minorHAnsi" w:cs="Arial"/>
                <w:sz w:val="20"/>
                <w:szCs w:val="20"/>
              </w:rPr>
              <w:t>279</w:t>
            </w:r>
          </w:p>
        </w:tc>
        <w:tc>
          <w:tcPr>
            <w:tcW w:w="22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DB6F137" w14:textId="0F8DD920" w:rsidR="00CE550B" w:rsidRPr="00E531E3" w:rsidRDefault="00B20E88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5,</w:t>
            </w:r>
            <w:r w:rsidR="00BD24B8">
              <w:rPr>
                <w:rFonts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14:paraId="3DB6F138" w14:textId="2199CDEF" w:rsidR="00CE550B" w:rsidRPr="00E531E3" w:rsidRDefault="00B03317" w:rsidP="00B03317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986</w:t>
            </w:r>
          </w:p>
        </w:tc>
      </w:tr>
      <w:tr w:rsidR="005660AC" w:rsidRPr="007507F4" w14:paraId="3DB6F13F" w14:textId="77777777" w:rsidTr="00767B18">
        <w:trPr>
          <w:trHeight w:val="511"/>
        </w:trPr>
        <w:tc>
          <w:tcPr>
            <w:tcW w:w="34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6F13A" w14:textId="77777777" w:rsidR="005660AC" w:rsidRPr="007507F4" w:rsidRDefault="005660AC" w:rsidP="007507F4">
            <w:pPr>
              <w:autoSpaceDE w:val="0"/>
              <w:autoSpaceDN w:val="0"/>
              <w:adjustRightInd w:val="0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 w:rsidRPr="007507F4">
              <w:rPr>
                <w:b/>
                <w:bCs/>
                <w:color w:val="000000"/>
                <w:sz w:val="20"/>
                <w:szCs w:val="20"/>
              </w:rPr>
              <w:t xml:space="preserve">Veterans Benefits Administration (VBA)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DB6F13B" w14:textId="24AC92E9" w:rsidR="005660AC" w:rsidRPr="00845760" w:rsidRDefault="005660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21,237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DB6F13C" w14:textId="30A70194" w:rsidR="005660AC" w:rsidRPr="00845760" w:rsidRDefault="005660AC">
            <w:pPr>
              <w:jc w:val="right"/>
              <w:rPr>
                <w:color w:val="000000"/>
                <w:sz w:val="20"/>
                <w:szCs w:val="20"/>
              </w:rPr>
            </w:pPr>
            <w:r w:rsidRPr="00FA7240">
              <w:rPr>
                <w:color w:val="000000"/>
                <w:sz w:val="20"/>
                <w:szCs w:val="20"/>
                <w:highlight w:val="yellow"/>
              </w:rPr>
              <w:t>126</w:t>
            </w:r>
          </w:p>
        </w:tc>
        <w:tc>
          <w:tcPr>
            <w:tcW w:w="225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3DB6F13D" w14:textId="01CD01C6" w:rsidR="005660AC" w:rsidRPr="009F7354" w:rsidRDefault="005660AC">
            <w:pPr>
              <w:jc w:val="right"/>
              <w:rPr>
                <w:color w:val="000000"/>
                <w:sz w:val="20"/>
                <w:szCs w:val="20"/>
              </w:rPr>
            </w:pPr>
            <w:r w:rsidRPr="00FA7240">
              <w:rPr>
                <w:color w:val="000000"/>
                <w:sz w:val="20"/>
                <w:szCs w:val="20"/>
                <w:highlight w:val="yellow"/>
              </w:rPr>
              <w:t>13,356*</w:t>
            </w:r>
          </w:p>
        </w:tc>
        <w:tc>
          <w:tcPr>
            <w:tcW w:w="1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B6F13E" w14:textId="1247FBBE" w:rsidR="005660AC" w:rsidRPr="00845760" w:rsidRDefault="005660AC" w:rsidP="005660AC">
            <w:pPr>
              <w:jc w:val="right"/>
              <w:rPr>
                <w:color w:val="000000"/>
                <w:sz w:val="20"/>
                <w:szCs w:val="20"/>
              </w:rPr>
            </w:pPr>
            <w:r w:rsidRPr="00FA7240">
              <w:rPr>
                <w:color w:val="000000"/>
                <w:sz w:val="20"/>
                <w:szCs w:val="20"/>
                <w:highlight w:val="yellow"/>
              </w:rPr>
              <w:t>7,755</w:t>
            </w:r>
          </w:p>
        </w:tc>
      </w:tr>
      <w:tr w:rsidR="000D3DC6" w:rsidRPr="007507F4" w14:paraId="3DB6F145" w14:textId="77777777" w:rsidTr="00942FC3">
        <w:trPr>
          <w:trHeight w:val="511"/>
        </w:trPr>
        <w:tc>
          <w:tcPr>
            <w:tcW w:w="34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6F140" w14:textId="77777777" w:rsidR="000D3DC6" w:rsidRPr="007507F4" w:rsidRDefault="000D3DC6" w:rsidP="007507F4">
            <w:pPr>
              <w:autoSpaceDE w:val="0"/>
              <w:autoSpaceDN w:val="0"/>
              <w:adjustRightInd w:val="0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 w:rsidRPr="007507F4">
              <w:rPr>
                <w:b/>
                <w:bCs/>
                <w:color w:val="000000"/>
                <w:sz w:val="20"/>
                <w:szCs w:val="20"/>
              </w:rPr>
              <w:t xml:space="preserve">National Cemetery Administration (NCA)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3DB6F141" w14:textId="7CC0A92A" w:rsidR="000D3DC6" w:rsidRPr="00845760" w:rsidRDefault="00FC1E02">
            <w:pPr>
              <w:jc w:val="right"/>
              <w:rPr>
                <w:color w:val="000000"/>
                <w:sz w:val="20"/>
                <w:szCs w:val="20"/>
              </w:rPr>
            </w:pPr>
            <w:r w:rsidRPr="00FA7240">
              <w:rPr>
                <w:color w:val="000000"/>
                <w:sz w:val="20"/>
                <w:szCs w:val="20"/>
                <w:highlight w:val="yellow"/>
              </w:rPr>
              <w:t>1</w:t>
            </w:r>
            <w:r w:rsidR="00BD24B8" w:rsidRPr="00FA7240">
              <w:rPr>
                <w:color w:val="000000"/>
                <w:sz w:val="20"/>
                <w:szCs w:val="20"/>
                <w:highlight w:val="yellow"/>
              </w:rPr>
              <w:t>,</w:t>
            </w:r>
            <w:r w:rsidR="00FB6BD9" w:rsidRPr="00FA7240">
              <w:rPr>
                <w:color w:val="000000"/>
                <w:sz w:val="20"/>
                <w:szCs w:val="20"/>
                <w:highlight w:val="yellow"/>
              </w:rPr>
              <w:t>796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3DB6F142" w14:textId="3E3FAB88" w:rsidR="000D3DC6" w:rsidRPr="00845760" w:rsidRDefault="00FC1E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DB6F143" w14:textId="69BEFC31" w:rsidR="000D3DC6" w:rsidRPr="009F7354" w:rsidRDefault="00FC1E02">
            <w:pPr>
              <w:jc w:val="right"/>
              <w:rPr>
                <w:color w:val="000000"/>
                <w:sz w:val="20"/>
                <w:szCs w:val="20"/>
              </w:rPr>
            </w:pPr>
            <w:r w:rsidRPr="00FA7240">
              <w:rPr>
                <w:color w:val="000000"/>
                <w:sz w:val="20"/>
                <w:szCs w:val="20"/>
                <w:highlight w:val="yellow"/>
              </w:rPr>
              <w:t>7</w:t>
            </w:r>
            <w:r w:rsidR="00FB6BD9" w:rsidRPr="00FA7240">
              <w:rPr>
                <w:color w:val="000000"/>
                <w:sz w:val="20"/>
                <w:szCs w:val="20"/>
                <w:highlight w:val="yellow"/>
              </w:rPr>
              <w:t>55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3DB6F144" w14:textId="1E9A08F5" w:rsidR="000D3DC6" w:rsidRPr="00845760" w:rsidRDefault="00FC1E02">
            <w:pPr>
              <w:jc w:val="right"/>
              <w:rPr>
                <w:color w:val="000000"/>
                <w:sz w:val="20"/>
                <w:szCs w:val="20"/>
              </w:rPr>
            </w:pPr>
            <w:r w:rsidRPr="00FA7240">
              <w:rPr>
                <w:color w:val="000000"/>
                <w:sz w:val="20"/>
                <w:szCs w:val="20"/>
                <w:highlight w:val="yellow"/>
              </w:rPr>
              <w:t>1</w:t>
            </w:r>
            <w:r w:rsidR="00054112" w:rsidRPr="00FA7240">
              <w:rPr>
                <w:color w:val="000000"/>
                <w:sz w:val="20"/>
                <w:szCs w:val="20"/>
                <w:highlight w:val="yellow"/>
              </w:rPr>
              <w:t>,</w:t>
            </w:r>
            <w:r w:rsidRPr="00FA7240">
              <w:rPr>
                <w:color w:val="000000"/>
                <w:sz w:val="20"/>
                <w:szCs w:val="20"/>
                <w:highlight w:val="yellow"/>
              </w:rPr>
              <w:t>0</w:t>
            </w:r>
            <w:r w:rsidR="00FB6BD9" w:rsidRPr="00FA7240">
              <w:rPr>
                <w:color w:val="000000"/>
                <w:sz w:val="20"/>
                <w:szCs w:val="20"/>
                <w:highlight w:val="yellow"/>
              </w:rPr>
              <w:t>41</w:t>
            </w:r>
          </w:p>
        </w:tc>
      </w:tr>
      <w:tr w:rsidR="00AE55A9" w:rsidRPr="007507F4" w14:paraId="3DB6F14B" w14:textId="77777777" w:rsidTr="00C2294F">
        <w:trPr>
          <w:trHeight w:val="511"/>
        </w:trPr>
        <w:tc>
          <w:tcPr>
            <w:tcW w:w="34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6F146" w14:textId="77777777" w:rsidR="00AE55A9" w:rsidRPr="007507F4" w:rsidRDefault="00AE55A9" w:rsidP="007507F4">
            <w:pPr>
              <w:autoSpaceDE w:val="0"/>
              <w:autoSpaceDN w:val="0"/>
              <w:adjustRightInd w:val="0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 w:rsidRPr="007507F4">
              <w:rPr>
                <w:b/>
                <w:bCs/>
                <w:color w:val="000000"/>
                <w:sz w:val="20"/>
                <w:szCs w:val="20"/>
              </w:rPr>
              <w:t xml:space="preserve">Office of Information &amp; Technology (OI&amp;T)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B6F147" w14:textId="793D4DD4" w:rsidR="00AE55A9" w:rsidRPr="00B75E73" w:rsidRDefault="00AE55A9">
            <w:pPr>
              <w:jc w:val="right"/>
              <w:rPr>
                <w:color w:val="000000"/>
                <w:sz w:val="20"/>
                <w:szCs w:val="20"/>
              </w:rPr>
            </w:pPr>
            <w:r w:rsidRPr="00FA7240">
              <w:rPr>
                <w:color w:val="000000"/>
                <w:sz w:val="20"/>
                <w:szCs w:val="20"/>
                <w:highlight w:val="yellow"/>
              </w:rPr>
              <w:t>7,977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B6F148" w14:textId="061B35E3" w:rsidR="00AE55A9" w:rsidRPr="00B75E73" w:rsidRDefault="00AE55A9">
            <w:pPr>
              <w:jc w:val="right"/>
              <w:rPr>
                <w:color w:val="000000"/>
                <w:sz w:val="20"/>
                <w:szCs w:val="20"/>
              </w:rPr>
            </w:pPr>
            <w:r w:rsidRPr="00FA7240">
              <w:rPr>
                <w:color w:val="000000"/>
                <w:sz w:val="20"/>
                <w:szCs w:val="20"/>
                <w:highlight w:val="yellow"/>
              </w:rPr>
              <w:t>596</w:t>
            </w:r>
          </w:p>
        </w:tc>
        <w:tc>
          <w:tcPr>
            <w:tcW w:w="22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B6F149" w14:textId="029C660A" w:rsidR="00AE55A9" w:rsidRPr="009F7354" w:rsidRDefault="00AE55A9" w:rsidP="00BA073E">
            <w:pPr>
              <w:jc w:val="right"/>
              <w:rPr>
                <w:color w:val="000000"/>
                <w:sz w:val="20"/>
                <w:szCs w:val="20"/>
              </w:rPr>
            </w:pPr>
            <w:r w:rsidRPr="00FA7240">
              <w:rPr>
                <w:color w:val="000000"/>
                <w:sz w:val="20"/>
                <w:szCs w:val="20"/>
                <w:highlight w:val="yellow"/>
              </w:rPr>
              <w:t>3,769*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3DB6F14A" w14:textId="236ADC48" w:rsidR="00AE55A9" w:rsidRPr="00B75E73" w:rsidRDefault="00AE55A9" w:rsidP="00AE55A9">
            <w:pPr>
              <w:jc w:val="right"/>
              <w:rPr>
                <w:color w:val="000000"/>
                <w:sz w:val="20"/>
                <w:szCs w:val="20"/>
              </w:rPr>
            </w:pPr>
            <w:r w:rsidRPr="00FA7240">
              <w:rPr>
                <w:color w:val="000000"/>
                <w:sz w:val="20"/>
                <w:szCs w:val="20"/>
                <w:highlight w:val="yellow"/>
              </w:rPr>
              <w:t>3,612</w:t>
            </w:r>
          </w:p>
        </w:tc>
      </w:tr>
      <w:tr w:rsidR="000D3DC6" w:rsidRPr="007507F4" w14:paraId="3DB6F151" w14:textId="77777777" w:rsidTr="00942FC3">
        <w:trPr>
          <w:trHeight w:val="511"/>
        </w:trPr>
        <w:tc>
          <w:tcPr>
            <w:tcW w:w="34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6F14C" w14:textId="77777777" w:rsidR="000D3DC6" w:rsidRPr="007507F4" w:rsidRDefault="000D3DC6" w:rsidP="007507F4">
            <w:pPr>
              <w:autoSpaceDE w:val="0"/>
              <w:autoSpaceDN w:val="0"/>
              <w:adjustRightInd w:val="0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 w:rsidRPr="007507F4">
              <w:rPr>
                <w:b/>
                <w:bCs/>
                <w:color w:val="000000"/>
                <w:sz w:val="20"/>
                <w:szCs w:val="20"/>
              </w:rPr>
              <w:t xml:space="preserve">Board of Veterans Appeals (BVA)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3DB6F14D" w14:textId="0CE32C95" w:rsidR="000D3DC6" w:rsidRPr="00845760" w:rsidRDefault="00FC1E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3DB6F14E" w14:textId="0231F932" w:rsidR="000D3DC6" w:rsidRPr="00845760" w:rsidRDefault="00FC1E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DB6F14F" w14:textId="67987184" w:rsidR="000D3DC6" w:rsidRPr="00845760" w:rsidRDefault="009F008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3DB6F150" w14:textId="7FCFCA7E" w:rsidR="000D3DC6" w:rsidRPr="00845760" w:rsidRDefault="00FC1E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  <w:r w:rsidR="009F0082">
              <w:rPr>
                <w:color w:val="000000"/>
                <w:sz w:val="20"/>
                <w:szCs w:val="20"/>
              </w:rPr>
              <w:t>6</w:t>
            </w:r>
          </w:p>
        </w:tc>
      </w:tr>
      <w:tr w:rsidR="000D3DC6" w:rsidRPr="007507F4" w14:paraId="3DB6F157" w14:textId="77777777" w:rsidTr="00942FC3">
        <w:trPr>
          <w:trHeight w:val="511"/>
        </w:trPr>
        <w:tc>
          <w:tcPr>
            <w:tcW w:w="34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6F152" w14:textId="77777777" w:rsidR="000D3DC6" w:rsidRPr="007507F4" w:rsidRDefault="000D3DC6" w:rsidP="007507F4">
            <w:pPr>
              <w:autoSpaceDE w:val="0"/>
              <w:autoSpaceDN w:val="0"/>
              <w:adjustRightInd w:val="0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 w:rsidRPr="007507F4">
              <w:rPr>
                <w:b/>
                <w:bCs/>
                <w:color w:val="000000"/>
                <w:sz w:val="20"/>
                <w:szCs w:val="20"/>
              </w:rPr>
              <w:t xml:space="preserve">Human Resources &amp; Administration (HRA)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3DB6F153" w14:textId="0100025E" w:rsidR="000D3DC6" w:rsidRPr="00845760" w:rsidRDefault="000E7C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BD24B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3DB6F154" w14:textId="25F89468" w:rsidR="000D3DC6" w:rsidRPr="00845760" w:rsidRDefault="00BD24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BC3365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2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DB6F155" w14:textId="41FB1872" w:rsidR="000D3DC6" w:rsidRPr="00845760" w:rsidRDefault="00AA6379">
            <w:pPr>
              <w:jc w:val="right"/>
              <w:rPr>
                <w:color w:val="000000"/>
                <w:sz w:val="20"/>
                <w:szCs w:val="20"/>
              </w:rPr>
            </w:pPr>
            <w:r w:rsidRPr="00FA7240">
              <w:rPr>
                <w:color w:val="000000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3DB6F156" w14:textId="194BA915" w:rsidR="000D3DC6" w:rsidRPr="00845760" w:rsidRDefault="000E7CBD">
            <w:pPr>
              <w:jc w:val="right"/>
              <w:rPr>
                <w:color w:val="000000"/>
                <w:sz w:val="20"/>
                <w:szCs w:val="20"/>
              </w:rPr>
            </w:pPr>
            <w:r w:rsidRPr="00FA7240">
              <w:rPr>
                <w:color w:val="000000"/>
                <w:sz w:val="20"/>
                <w:szCs w:val="20"/>
                <w:highlight w:val="yellow"/>
              </w:rPr>
              <w:t>2</w:t>
            </w:r>
            <w:r w:rsidR="00BC3365" w:rsidRPr="00FA7240">
              <w:rPr>
                <w:color w:val="000000"/>
                <w:sz w:val="20"/>
                <w:szCs w:val="20"/>
                <w:highlight w:val="yellow"/>
              </w:rPr>
              <w:t>6</w:t>
            </w:r>
            <w:r w:rsidR="00F91303" w:rsidRPr="00FA7240">
              <w:rPr>
                <w:color w:val="000000"/>
                <w:sz w:val="20"/>
                <w:szCs w:val="20"/>
                <w:highlight w:val="yellow"/>
              </w:rPr>
              <w:t>0</w:t>
            </w:r>
          </w:p>
        </w:tc>
      </w:tr>
      <w:tr w:rsidR="000D3DC6" w:rsidRPr="007507F4" w14:paraId="3DB6F15D" w14:textId="77777777" w:rsidTr="00942FC3">
        <w:trPr>
          <w:trHeight w:val="511"/>
        </w:trPr>
        <w:tc>
          <w:tcPr>
            <w:tcW w:w="34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6F158" w14:textId="77777777" w:rsidR="000D3DC6" w:rsidRPr="007507F4" w:rsidRDefault="000D3DC6" w:rsidP="007507F4">
            <w:pPr>
              <w:autoSpaceDE w:val="0"/>
              <w:autoSpaceDN w:val="0"/>
              <w:adjustRightInd w:val="0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 w:rsidRPr="007507F4">
              <w:rPr>
                <w:b/>
                <w:bCs/>
                <w:color w:val="000000"/>
                <w:sz w:val="20"/>
                <w:szCs w:val="20"/>
              </w:rPr>
              <w:t xml:space="preserve">Office of Acquisitions, Logistics, &amp; Construction (OALC)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3DB6F159" w14:textId="1BF01272" w:rsidR="000D3DC6" w:rsidRPr="00845760" w:rsidRDefault="00FC1E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5411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3DB6F15A" w14:textId="226CE3A1" w:rsidR="000D3DC6" w:rsidRPr="00845760" w:rsidRDefault="00AF65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1,053</w:t>
            </w:r>
          </w:p>
        </w:tc>
        <w:tc>
          <w:tcPr>
            <w:tcW w:w="22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DB6F15B" w14:textId="5D93C7F0" w:rsidR="000D3DC6" w:rsidRPr="00845760" w:rsidRDefault="00FC1E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3DB6F15C" w14:textId="73BDE6B6" w:rsidR="000D3DC6" w:rsidRPr="00845760" w:rsidRDefault="00AF65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</w:t>
            </w:r>
          </w:p>
        </w:tc>
      </w:tr>
      <w:tr w:rsidR="00077462" w:rsidRPr="007507F4" w14:paraId="3DB6F163" w14:textId="77777777" w:rsidTr="00767B18">
        <w:trPr>
          <w:trHeight w:val="511"/>
        </w:trPr>
        <w:tc>
          <w:tcPr>
            <w:tcW w:w="34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6F15E" w14:textId="77777777" w:rsidR="00077462" w:rsidRPr="007507F4" w:rsidRDefault="00077462" w:rsidP="007507F4">
            <w:pPr>
              <w:autoSpaceDE w:val="0"/>
              <w:autoSpaceDN w:val="0"/>
              <w:adjustRightInd w:val="0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 w:rsidRPr="007507F4">
              <w:rPr>
                <w:b/>
                <w:bCs/>
                <w:color w:val="000000"/>
                <w:sz w:val="20"/>
                <w:szCs w:val="20"/>
              </w:rPr>
              <w:t xml:space="preserve">General Counsel (OGC)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3DB6F15F" w14:textId="37714982" w:rsidR="00077462" w:rsidRPr="00845760" w:rsidRDefault="000774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DB6F160" w14:textId="72B62A1C" w:rsidR="00077462" w:rsidRPr="00845760" w:rsidRDefault="00077462">
            <w:pPr>
              <w:jc w:val="right"/>
              <w:rPr>
                <w:color w:val="000000"/>
                <w:sz w:val="20"/>
                <w:szCs w:val="20"/>
              </w:rPr>
            </w:pPr>
            <w:r w:rsidRPr="00FA7240">
              <w:rPr>
                <w:color w:val="000000"/>
                <w:sz w:val="20"/>
                <w:szCs w:val="20"/>
                <w:highlight w:val="yellow"/>
              </w:rPr>
              <w:t>136</w:t>
            </w:r>
          </w:p>
        </w:tc>
        <w:tc>
          <w:tcPr>
            <w:tcW w:w="22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B6F161" w14:textId="5F11F82D" w:rsidR="00077462" w:rsidRPr="009F7354" w:rsidRDefault="00077462">
            <w:pPr>
              <w:jc w:val="right"/>
              <w:rPr>
                <w:color w:val="000000"/>
                <w:sz w:val="20"/>
                <w:szCs w:val="20"/>
              </w:rPr>
            </w:pPr>
            <w:r w:rsidRPr="00FA7240">
              <w:rPr>
                <w:color w:val="000000"/>
                <w:sz w:val="20"/>
                <w:szCs w:val="20"/>
                <w:highlight w:val="yellow"/>
              </w:rPr>
              <w:t>85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3DB6F162" w14:textId="366FD521" w:rsidR="00077462" w:rsidRPr="009F7354" w:rsidRDefault="00077462">
            <w:pPr>
              <w:jc w:val="right"/>
              <w:rPr>
                <w:color w:val="000000"/>
                <w:sz w:val="20"/>
                <w:szCs w:val="20"/>
              </w:rPr>
            </w:pPr>
            <w:r w:rsidRPr="009F7354">
              <w:rPr>
                <w:color w:val="000000"/>
                <w:sz w:val="20"/>
                <w:szCs w:val="20"/>
              </w:rPr>
              <w:t>491</w:t>
            </w:r>
          </w:p>
        </w:tc>
      </w:tr>
      <w:tr w:rsidR="000D3DC6" w:rsidRPr="007507F4" w14:paraId="3DB6F169" w14:textId="77777777" w:rsidTr="00942FC3">
        <w:trPr>
          <w:trHeight w:val="511"/>
        </w:trPr>
        <w:tc>
          <w:tcPr>
            <w:tcW w:w="34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6F164" w14:textId="305F7C45" w:rsidR="000D3DC6" w:rsidRPr="007507F4" w:rsidRDefault="000D3DC6" w:rsidP="007507F4">
            <w:pPr>
              <w:autoSpaceDE w:val="0"/>
              <w:autoSpaceDN w:val="0"/>
              <w:adjustRightInd w:val="0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 w:rsidRPr="007507F4">
              <w:rPr>
                <w:b/>
                <w:bCs/>
                <w:color w:val="000000"/>
                <w:sz w:val="20"/>
                <w:szCs w:val="20"/>
              </w:rPr>
              <w:t xml:space="preserve">Office of Management (OM)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3DB6F165" w14:textId="4906B017" w:rsidR="000D3DC6" w:rsidRPr="00845760" w:rsidRDefault="00FC1E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3DB6F166" w14:textId="65C012B8" w:rsidR="000D3DC6" w:rsidRPr="00845760" w:rsidRDefault="00E014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</w:t>
            </w:r>
          </w:p>
        </w:tc>
        <w:tc>
          <w:tcPr>
            <w:tcW w:w="22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DB6F167" w14:textId="732188B1" w:rsidR="000D3DC6" w:rsidRPr="00845760" w:rsidRDefault="00FC1E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3DB6F168" w14:textId="1AE1C7A0" w:rsidR="000D3DC6" w:rsidRPr="00845760" w:rsidRDefault="00FC1E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E014E8">
              <w:rPr>
                <w:color w:val="000000"/>
                <w:sz w:val="20"/>
                <w:szCs w:val="20"/>
              </w:rPr>
              <w:t>3</w:t>
            </w:r>
          </w:p>
        </w:tc>
      </w:tr>
      <w:tr w:rsidR="000D3DC6" w:rsidRPr="007507F4" w14:paraId="3DB6F16F" w14:textId="77777777" w:rsidTr="00942FC3">
        <w:trPr>
          <w:trHeight w:val="511"/>
        </w:trPr>
        <w:tc>
          <w:tcPr>
            <w:tcW w:w="34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6F16A" w14:textId="77777777" w:rsidR="000D3DC6" w:rsidRPr="007507F4" w:rsidRDefault="000D3DC6" w:rsidP="007507F4">
            <w:pPr>
              <w:autoSpaceDE w:val="0"/>
              <w:autoSpaceDN w:val="0"/>
              <w:adjustRightInd w:val="0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 w:rsidRPr="007507F4">
              <w:rPr>
                <w:b/>
                <w:bCs/>
                <w:color w:val="000000"/>
                <w:sz w:val="20"/>
                <w:szCs w:val="20"/>
              </w:rPr>
              <w:t xml:space="preserve">Office of Public and Inter-Governmental Affairs (OPIA)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3DB6F16B" w14:textId="6ADD997C" w:rsidR="000D3DC6" w:rsidRPr="00845760" w:rsidRDefault="00845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3DB6F16C" w14:textId="7F059EED" w:rsidR="000D3DC6" w:rsidRPr="00845760" w:rsidRDefault="00DE7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DB6F16D" w14:textId="7000D8EE" w:rsidR="000D3DC6" w:rsidRPr="00845760" w:rsidRDefault="00DE73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3DB6F16E" w14:textId="439125E3" w:rsidR="000D3DC6" w:rsidRPr="00845760" w:rsidRDefault="00845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0D3DC6" w:rsidRPr="007507F4" w14:paraId="3DB6F175" w14:textId="77777777" w:rsidTr="00AF6549">
        <w:trPr>
          <w:trHeight w:val="511"/>
        </w:trPr>
        <w:tc>
          <w:tcPr>
            <w:tcW w:w="34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DB6F170" w14:textId="77777777" w:rsidR="000D3DC6" w:rsidRPr="007507F4" w:rsidRDefault="000D3DC6" w:rsidP="007507F4">
            <w:pPr>
              <w:autoSpaceDE w:val="0"/>
              <w:autoSpaceDN w:val="0"/>
              <w:adjustRightInd w:val="0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 w:rsidRPr="007507F4">
              <w:rPr>
                <w:b/>
                <w:bCs/>
                <w:color w:val="000000"/>
                <w:sz w:val="20"/>
                <w:szCs w:val="20"/>
              </w:rPr>
              <w:t xml:space="preserve">Office of Congressional and Legislative Affairs (OCLA)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3DB6F171" w14:textId="32674CE8" w:rsidR="000D3DC6" w:rsidRPr="00845760" w:rsidRDefault="00845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3DB6F172" w14:textId="3FFE3926" w:rsidR="000D3DC6" w:rsidRPr="00845760" w:rsidRDefault="00845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3DB6F173" w14:textId="16E32A9E" w:rsidR="000D3DC6" w:rsidRPr="00845760" w:rsidRDefault="00845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3DB6F174" w14:textId="23E6B1A3" w:rsidR="000D3DC6" w:rsidRPr="00845760" w:rsidRDefault="008457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</w:tr>
      <w:tr w:rsidR="000D3DC6" w:rsidRPr="007507F4" w14:paraId="3DB6F17B" w14:textId="77777777" w:rsidTr="00942FC3">
        <w:trPr>
          <w:trHeight w:val="511"/>
        </w:trPr>
        <w:tc>
          <w:tcPr>
            <w:tcW w:w="34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6F176" w14:textId="77777777" w:rsidR="000D3DC6" w:rsidRPr="007507F4" w:rsidRDefault="000D3DC6" w:rsidP="007507F4">
            <w:pPr>
              <w:autoSpaceDE w:val="0"/>
              <w:autoSpaceDN w:val="0"/>
              <w:adjustRightInd w:val="0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 w:rsidRPr="007507F4">
              <w:rPr>
                <w:b/>
                <w:bCs/>
                <w:color w:val="000000"/>
                <w:sz w:val="20"/>
                <w:szCs w:val="20"/>
              </w:rPr>
              <w:t xml:space="preserve">Office of the Inspector General (OIG)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3DB6F177" w14:textId="759FD6A8" w:rsidR="000D3DC6" w:rsidRPr="00845760" w:rsidRDefault="00FC1E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3DB6F178" w14:textId="7934DDD8" w:rsidR="000D3DC6" w:rsidRPr="00845760" w:rsidRDefault="00A941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2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DB6F179" w14:textId="176C57AD" w:rsidR="000D3DC6" w:rsidRPr="00845760" w:rsidRDefault="00A941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3DB6F17A" w14:textId="3574F031" w:rsidR="000D3DC6" w:rsidRPr="00845760" w:rsidRDefault="00FC1E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</w:t>
            </w:r>
          </w:p>
        </w:tc>
      </w:tr>
      <w:tr w:rsidR="000D3DC6" w:rsidRPr="007507F4" w14:paraId="3DB6F181" w14:textId="77777777" w:rsidTr="00942FC3">
        <w:trPr>
          <w:trHeight w:val="511"/>
        </w:trPr>
        <w:tc>
          <w:tcPr>
            <w:tcW w:w="34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6F17C" w14:textId="77777777" w:rsidR="000D3DC6" w:rsidRPr="007507F4" w:rsidRDefault="000D3DC6" w:rsidP="007507F4">
            <w:pPr>
              <w:autoSpaceDE w:val="0"/>
              <w:autoSpaceDN w:val="0"/>
              <w:adjustRightInd w:val="0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 w:rsidRPr="007507F4">
              <w:rPr>
                <w:b/>
                <w:bCs/>
                <w:color w:val="000000"/>
                <w:sz w:val="20"/>
                <w:szCs w:val="20"/>
              </w:rPr>
              <w:t xml:space="preserve">Office of Operations, Security, and Preparedness (OSP)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3DB6F17D" w14:textId="294C5C88" w:rsidR="000D3DC6" w:rsidRPr="00845760" w:rsidRDefault="00BD24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3DB6F17E" w14:textId="648ECD45" w:rsidR="000D3DC6" w:rsidRPr="009F7354" w:rsidRDefault="00BD254B" w:rsidP="00BD24B8">
            <w:pPr>
              <w:jc w:val="right"/>
              <w:rPr>
                <w:color w:val="000000"/>
                <w:sz w:val="20"/>
                <w:szCs w:val="20"/>
              </w:rPr>
            </w:pPr>
            <w:r w:rsidRPr="009F7354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2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DB6F17F" w14:textId="738833C7" w:rsidR="000D3DC6" w:rsidRPr="009F7354" w:rsidRDefault="00BD254B">
            <w:pPr>
              <w:jc w:val="right"/>
              <w:rPr>
                <w:color w:val="000000"/>
                <w:sz w:val="20"/>
                <w:szCs w:val="20"/>
              </w:rPr>
            </w:pPr>
            <w:r w:rsidRPr="009F735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3DB6F180" w14:textId="19EC0E15" w:rsidR="000D3DC6" w:rsidRPr="009F7354" w:rsidRDefault="00BD254B">
            <w:pPr>
              <w:jc w:val="right"/>
              <w:rPr>
                <w:color w:val="000000"/>
                <w:sz w:val="20"/>
                <w:szCs w:val="20"/>
              </w:rPr>
            </w:pPr>
            <w:r w:rsidRPr="009F7354">
              <w:rPr>
                <w:color w:val="000000"/>
                <w:sz w:val="20"/>
                <w:szCs w:val="20"/>
              </w:rPr>
              <w:t>79</w:t>
            </w:r>
          </w:p>
        </w:tc>
      </w:tr>
      <w:tr w:rsidR="000D3DC6" w:rsidRPr="007507F4" w14:paraId="3DB6F187" w14:textId="77777777" w:rsidTr="00942FC3">
        <w:trPr>
          <w:trHeight w:val="511"/>
        </w:trPr>
        <w:tc>
          <w:tcPr>
            <w:tcW w:w="34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6F182" w14:textId="77777777" w:rsidR="000D3DC6" w:rsidRPr="007507F4" w:rsidRDefault="000D3DC6" w:rsidP="007507F4">
            <w:pPr>
              <w:autoSpaceDE w:val="0"/>
              <w:autoSpaceDN w:val="0"/>
              <w:adjustRightInd w:val="0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 w:rsidRPr="007507F4">
              <w:rPr>
                <w:b/>
                <w:bCs/>
                <w:color w:val="000000"/>
                <w:sz w:val="20"/>
                <w:szCs w:val="20"/>
              </w:rPr>
              <w:t xml:space="preserve">Office of Policy and Planning (OPP)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3DB6F183" w14:textId="717B0026" w:rsidR="000D3DC6" w:rsidRPr="00845760" w:rsidRDefault="00FC1E02">
            <w:pPr>
              <w:jc w:val="right"/>
              <w:rPr>
                <w:color w:val="000000"/>
                <w:sz w:val="20"/>
                <w:szCs w:val="20"/>
              </w:rPr>
            </w:pPr>
            <w:r w:rsidRPr="00FA7240">
              <w:rPr>
                <w:color w:val="000000"/>
                <w:sz w:val="20"/>
                <w:szCs w:val="20"/>
                <w:highlight w:val="yellow"/>
              </w:rPr>
              <w:t>1</w:t>
            </w:r>
            <w:r w:rsidR="00304F6F" w:rsidRPr="00FA7240">
              <w:rPr>
                <w:color w:val="000000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3DB6F184" w14:textId="4DD5ECDB" w:rsidR="000D3DC6" w:rsidRPr="00845760" w:rsidRDefault="00FC1E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DB6F185" w14:textId="1F5E0DE8" w:rsidR="000D3DC6" w:rsidRPr="00845760" w:rsidRDefault="00304F6F" w:rsidP="00304F6F">
            <w:pPr>
              <w:jc w:val="right"/>
              <w:rPr>
                <w:color w:val="000000"/>
                <w:sz w:val="20"/>
                <w:szCs w:val="20"/>
              </w:rPr>
            </w:pPr>
            <w:r w:rsidRPr="00FA7240">
              <w:rPr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3DB6F186" w14:textId="013E6B1D" w:rsidR="000D3DC6" w:rsidRPr="00845760" w:rsidRDefault="00FC1E02">
            <w:pPr>
              <w:jc w:val="right"/>
              <w:rPr>
                <w:color w:val="000000"/>
                <w:sz w:val="20"/>
                <w:szCs w:val="20"/>
              </w:rPr>
            </w:pPr>
            <w:r w:rsidRPr="00FA7240">
              <w:rPr>
                <w:color w:val="000000"/>
                <w:sz w:val="20"/>
                <w:szCs w:val="20"/>
                <w:highlight w:val="yellow"/>
              </w:rPr>
              <w:t>1</w:t>
            </w:r>
            <w:r w:rsidR="00304F6F" w:rsidRPr="00FA7240">
              <w:rPr>
                <w:color w:val="000000"/>
                <w:sz w:val="20"/>
                <w:szCs w:val="20"/>
                <w:highlight w:val="yellow"/>
              </w:rPr>
              <w:t>10</w:t>
            </w:r>
          </w:p>
        </w:tc>
      </w:tr>
      <w:tr w:rsidR="000D3DC6" w:rsidRPr="007507F4" w14:paraId="3DB6F18D" w14:textId="77777777" w:rsidTr="00942FC3">
        <w:trPr>
          <w:trHeight w:val="511"/>
        </w:trPr>
        <w:tc>
          <w:tcPr>
            <w:tcW w:w="34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6F188" w14:textId="77777777" w:rsidR="000D3DC6" w:rsidRPr="007507F4" w:rsidRDefault="000D3DC6" w:rsidP="007507F4">
            <w:pPr>
              <w:autoSpaceDE w:val="0"/>
              <w:autoSpaceDN w:val="0"/>
              <w:adjustRightInd w:val="0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 w:rsidRPr="007507F4">
              <w:rPr>
                <w:b/>
                <w:bCs/>
                <w:color w:val="000000"/>
                <w:sz w:val="20"/>
                <w:szCs w:val="20"/>
              </w:rPr>
              <w:t>Office of the Secretary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3DB6F189" w14:textId="3F5DD384" w:rsidR="000D3DC6" w:rsidRPr="00845760" w:rsidRDefault="003A5E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3DB6F18A" w14:textId="613E2BEA" w:rsidR="000D3DC6" w:rsidRPr="00845760" w:rsidRDefault="003A5E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DB6F18B" w14:textId="3F574499" w:rsidR="000D3DC6" w:rsidRPr="00845760" w:rsidRDefault="00FC1E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3DB6F18C" w14:textId="11EF682B" w:rsidR="000D3DC6" w:rsidRPr="00845760" w:rsidRDefault="00FC1E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</w:tr>
      <w:tr w:rsidR="00D02CA4" w:rsidRPr="007507F4" w14:paraId="0083811E" w14:textId="77777777" w:rsidTr="00942FC3">
        <w:trPr>
          <w:trHeight w:val="511"/>
        </w:trPr>
        <w:tc>
          <w:tcPr>
            <w:tcW w:w="34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8FAEFE" w14:textId="14DF273B" w:rsidR="00D02CA4" w:rsidRPr="007507F4" w:rsidRDefault="00D02CA4" w:rsidP="007507F4">
            <w:pPr>
              <w:autoSpaceDE w:val="0"/>
              <w:autoSpaceDN w:val="0"/>
              <w:adjustRightInd w:val="0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 w:rsidRPr="00D02CA4">
              <w:rPr>
                <w:b/>
                <w:bCs/>
                <w:color w:val="000000"/>
                <w:sz w:val="20"/>
                <w:szCs w:val="20"/>
              </w:rPr>
              <w:t>Office of Employment Discrimination Complaint Adjudication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3B395097" w14:textId="1EDF1AD0" w:rsidR="00D02CA4" w:rsidRDefault="00D02C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20D59689" w14:textId="70145B3A" w:rsidR="00D02CA4" w:rsidRDefault="00D02C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CFCCBE7" w14:textId="57FCACB7" w:rsidR="00D02CA4" w:rsidRDefault="00D02C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4927375B" w14:textId="137AD0DC" w:rsidR="00D02CA4" w:rsidRDefault="00D02C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02CA4" w:rsidRPr="007507F4" w14:paraId="5369DA0E" w14:textId="77777777" w:rsidTr="00942FC3">
        <w:trPr>
          <w:trHeight w:val="511"/>
        </w:trPr>
        <w:tc>
          <w:tcPr>
            <w:tcW w:w="34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26DFBB" w14:textId="2E18CDE9" w:rsidR="00D02CA4" w:rsidRPr="007507F4" w:rsidRDefault="009B3F16" w:rsidP="007507F4">
            <w:pPr>
              <w:autoSpaceDE w:val="0"/>
              <w:autoSpaceDN w:val="0"/>
              <w:adjustRightInd w:val="0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 w:rsidRPr="009B3F16">
              <w:rPr>
                <w:b/>
                <w:bCs/>
                <w:color w:val="000000"/>
                <w:sz w:val="20"/>
                <w:szCs w:val="20"/>
              </w:rPr>
              <w:t>Office of Small and Disadvantaged Business Utilization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4661CA59" w14:textId="08A021C4" w:rsidR="00D02CA4" w:rsidRDefault="009B3F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309C81C3" w14:textId="023BFF93" w:rsidR="00D02CA4" w:rsidRDefault="009B3F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2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7F2AEFFA" w14:textId="028FD175" w:rsidR="00D02CA4" w:rsidRDefault="005F73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2D45375E" w14:textId="6263296D" w:rsidR="00D02CA4" w:rsidRDefault="005F73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5AF6" w:rsidRPr="007507F4" w14:paraId="3DB6F193" w14:textId="77777777" w:rsidTr="0040266B">
        <w:trPr>
          <w:trHeight w:val="269"/>
        </w:trPr>
        <w:tc>
          <w:tcPr>
            <w:tcW w:w="34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3DB6F18E" w14:textId="77777777" w:rsidR="002C5AF6" w:rsidRPr="007507F4" w:rsidRDefault="002C5AF6" w:rsidP="007507F4">
            <w:pPr>
              <w:autoSpaceDE w:val="0"/>
              <w:autoSpaceDN w:val="0"/>
              <w:adjustRightInd w:val="0"/>
              <w:spacing w:before="0" w:after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507F4">
              <w:rPr>
                <w:b/>
                <w:bCs/>
                <w:color w:val="000000"/>
                <w:sz w:val="22"/>
                <w:szCs w:val="22"/>
              </w:rPr>
              <w:t xml:space="preserve">Total Department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DB6F18F" w14:textId="769A2808" w:rsidR="002C5AF6" w:rsidRPr="00DA71DC" w:rsidRDefault="002C5AF6" w:rsidP="00340977">
            <w:pPr>
              <w:autoSpaceDE w:val="0"/>
              <w:autoSpaceDN w:val="0"/>
              <w:adjustRightInd w:val="0"/>
              <w:spacing w:before="0" w:after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7240">
              <w:rPr>
                <w:b/>
                <w:bCs/>
                <w:color w:val="000000"/>
                <w:sz w:val="22"/>
                <w:szCs w:val="22"/>
                <w:highlight w:val="yellow"/>
              </w:rPr>
              <w:t>331,966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DB6F190" w14:textId="12FEA41C" w:rsidR="002C5AF6" w:rsidRPr="009F7354" w:rsidRDefault="002C5AF6" w:rsidP="00340977">
            <w:pPr>
              <w:autoSpaceDE w:val="0"/>
              <w:autoSpaceDN w:val="0"/>
              <w:adjustRightInd w:val="0"/>
              <w:spacing w:before="0" w:after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7240">
              <w:rPr>
                <w:b/>
                <w:bCs/>
                <w:color w:val="000000"/>
                <w:sz w:val="22"/>
                <w:szCs w:val="22"/>
                <w:highlight w:val="yellow"/>
              </w:rPr>
              <w:t>292,457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DB6F191" w14:textId="4DEA7A8C" w:rsidR="002C5AF6" w:rsidRPr="009F7354" w:rsidRDefault="002C5AF6" w:rsidP="004145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7240">
              <w:rPr>
                <w:b/>
                <w:bCs/>
                <w:color w:val="000000"/>
                <w:sz w:val="22"/>
                <w:szCs w:val="22"/>
                <w:highlight w:val="yellow"/>
              </w:rPr>
              <w:t>23,410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DB6F192" w14:textId="457B3CEE" w:rsidR="002C5AF6" w:rsidRPr="009F7354" w:rsidRDefault="002C5AF6" w:rsidP="002C5AF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7240">
              <w:rPr>
                <w:b/>
                <w:bCs/>
                <w:color w:val="000000"/>
                <w:sz w:val="22"/>
                <w:szCs w:val="22"/>
                <w:highlight w:val="yellow"/>
              </w:rPr>
              <w:t>16,099</w:t>
            </w:r>
            <w:bookmarkStart w:id="1" w:name="_GoBack"/>
            <w:bookmarkEnd w:id="1"/>
          </w:p>
        </w:tc>
      </w:tr>
      <w:bookmarkEnd w:id="0"/>
    </w:tbl>
    <w:p w14:paraId="3DB6F194" w14:textId="77777777" w:rsidR="009737D5" w:rsidRDefault="009737D5" w:rsidP="007E4C10">
      <w:pPr>
        <w:spacing w:before="0" w:after="0"/>
        <w:ind w:left="1440" w:firstLine="720"/>
        <w:rPr>
          <w:bCs/>
          <w:kern w:val="32"/>
          <w:sz w:val="20"/>
          <w:szCs w:val="32"/>
        </w:rPr>
      </w:pPr>
    </w:p>
    <w:p w14:paraId="3DB6F196" w14:textId="07185B32" w:rsidR="009737D5" w:rsidRDefault="00BD254B" w:rsidP="00C130EA">
      <w:pPr>
        <w:spacing w:before="0" w:after="0"/>
        <w:ind w:left="720"/>
        <w:rPr>
          <w:bCs/>
          <w:kern w:val="32"/>
          <w:sz w:val="20"/>
          <w:szCs w:val="32"/>
        </w:rPr>
      </w:pPr>
      <w:r w:rsidRPr="009F7354">
        <w:rPr>
          <w:bCs/>
          <w:kern w:val="32"/>
          <w:sz w:val="20"/>
          <w:szCs w:val="32"/>
        </w:rPr>
        <w:t xml:space="preserve">*In the event of a prolonged shutdown, VA would need to begin furloughing </w:t>
      </w:r>
      <w:proofErr w:type="gramStart"/>
      <w:r w:rsidRPr="009F7354">
        <w:rPr>
          <w:bCs/>
          <w:kern w:val="32"/>
          <w:sz w:val="20"/>
          <w:szCs w:val="32"/>
        </w:rPr>
        <w:t>Excepted</w:t>
      </w:r>
      <w:proofErr w:type="gramEnd"/>
      <w:r w:rsidRPr="009F7354">
        <w:rPr>
          <w:bCs/>
          <w:kern w:val="32"/>
          <w:sz w:val="20"/>
          <w:szCs w:val="32"/>
        </w:rPr>
        <w:t xml:space="preserve"> employees in VBA and OI&amp;T, and the agency’s Contingency Plan would be updated.</w:t>
      </w:r>
    </w:p>
    <w:p w14:paraId="3DB6F198" w14:textId="77777777" w:rsidR="009737D5" w:rsidRDefault="009737D5" w:rsidP="007E4C10">
      <w:pPr>
        <w:spacing w:before="0" w:after="0"/>
        <w:ind w:left="1440" w:firstLine="720"/>
        <w:rPr>
          <w:bCs/>
          <w:kern w:val="32"/>
          <w:sz w:val="20"/>
          <w:szCs w:val="32"/>
        </w:rPr>
      </w:pPr>
    </w:p>
    <w:p w14:paraId="3DB6F19A" w14:textId="77777777" w:rsidR="009737D5" w:rsidRDefault="009737D5" w:rsidP="007E4C10">
      <w:pPr>
        <w:spacing w:before="0" w:after="0"/>
        <w:ind w:left="1440" w:firstLine="720"/>
        <w:rPr>
          <w:bCs/>
          <w:kern w:val="32"/>
          <w:sz w:val="20"/>
          <w:szCs w:val="32"/>
        </w:rPr>
      </w:pPr>
    </w:p>
    <w:p w14:paraId="3DB6F19B" w14:textId="77777777" w:rsidR="009737D5" w:rsidRDefault="009737D5" w:rsidP="007E4C10">
      <w:pPr>
        <w:spacing w:before="0" w:after="0"/>
        <w:ind w:left="1440" w:firstLine="720"/>
        <w:rPr>
          <w:bCs/>
          <w:kern w:val="32"/>
          <w:sz w:val="20"/>
          <w:szCs w:val="32"/>
        </w:rPr>
      </w:pPr>
    </w:p>
    <w:p w14:paraId="3DB6F19C" w14:textId="77777777" w:rsidR="009737D5" w:rsidRDefault="009737D5" w:rsidP="007E4C10">
      <w:pPr>
        <w:spacing w:before="0" w:after="0"/>
        <w:ind w:left="1440" w:firstLine="720"/>
        <w:rPr>
          <w:bCs/>
          <w:kern w:val="32"/>
          <w:sz w:val="20"/>
          <w:szCs w:val="32"/>
        </w:rPr>
      </w:pPr>
    </w:p>
    <w:p w14:paraId="3DB6F19F" w14:textId="77777777" w:rsidR="009737D5" w:rsidRDefault="009737D5" w:rsidP="009737D5">
      <w:pPr>
        <w:spacing w:before="0" w:after="0"/>
        <w:rPr>
          <w:bCs/>
          <w:kern w:val="32"/>
          <w:szCs w:val="32"/>
        </w:rPr>
        <w:sectPr w:rsidR="009737D5" w:rsidSect="009737D5">
          <w:footerReference w:type="first" r:id="rId17"/>
          <w:pgSz w:w="12240" w:h="15840"/>
          <w:pgMar w:top="720" w:right="540" w:bottom="720" w:left="720" w:header="720" w:footer="504" w:gutter="0"/>
          <w:cols w:space="720"/>
          <w:docGrid w:linePitch="360"/>
        </w:sectPr>
      </w:pPr>
    </w:p>
    <w:p w14:paraId="3DB6F1A0" w14:textId="77777777" w:rsidR="009737D5" w:rsidRDefault="005D613D" w:rsidP="005D613D">
      <w:pPr>
        <w:pStyle w:val="Heading-Appendix1"/>
        <w:numPr>
          <w:ilvl w:val="0"/>
          <w:numId w:val="14"/>
        </w:numPr>
        <w:spacing w:after="0"/>
        <w:jc w:val="center"/>
        <w:rPr>
          <w:rFonts w:asciiTheme="minorHAnsi" w:hAnsiTheme="minorHAnsi"/>
        </w:rPr>
      </w:pPr>
      <w:r w:rsidRPr="002C3B7A">
        <w:rPr>
          <w:rFonts w:asciiTheme="minorHAnsi" w:hAnsiTheme="minorHAnsi"/>
        </w:rPr>
        <w:lastRenderedPageBreak/>
        <w:t>Effect of Lapse of Funding on VA Activities</w:t>
      </w:r>
    </w:p>
    <w:p w14:paraId="417AF953" w14:textId="18955E7E" w:rsidR="002F3378" w:rsidRPr="00D41575" w:rsidRDefault="002F3378" w:rsidP="002F3378">
      <w:pPr>
        <w:rPr>
          <w:rFonts w:asciiTheme="minorHAnsi" w:hAnsiTheme="minorHAnsi" w:cs="Times New Roman"/>
          <w:b/>
          <w:bCs/>
          <w:color w:val="1F497D"/>
          <w:sz w:val="32"/>
          <w:szCs w:val="28"/>
        </w:rPr>
      </w:pPr>
      <w:r w:rsidRPr="00D41575">
        <w:rPr>
          <w:rFonts w:asciiTheme="minorHAnsi" w:hAnsiTheme="minorHAnsi" w:cs="Times New Roman"/>
          <w:b/>
          <w:bCs/>
          <w:color w:val="1F497D"/>
          <w:sz w:val="32"/>
          <w:szCs w:val="28"/>
        </w:rPr>
        <w:t>Veterans Health Administration</w:t>
      </w:r>
    </w:p>
    <w:tbl>
      <w:tblPr>
        <w:tblW w:w="1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1923"/>
        <w:gridCol w:w="1400"/>
        <w:gridCol w:w="1455"/>
        <w:gridCol w:w="2850"/>
        <w:gridCol w:w="3398"/>
        <w:gridCol w:w="2009"/>
      </w:tblGrid>
      <w:tr w:rsidR="008D1D4C" w:rsidRPr="0016105B" w14:paraId="77089447" w14:textId="77777777" w:rsidTr="002E09A4">
        <w:tc>
          <w:tcPr>
            <w:tcW w:w="1785" w:type="dxa"/>
            <w:shd w:val="clear" w:color="auto" w:fill="auto"/>
          </w:tcPr>
          <w:p w14:paraId="08F66832" w14:textId="77777777" w:rsidR="008D1D4C" w:rsidRPr="005D0272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7007FF68" w14:textId="77777777" w:rsidR="008D1D4C" w:rsidRPr="005D0272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1514238D" w14:textId="7DDE304A" w:rsidR="008D1D4C" w:rsidRPr="00C15786" w:rsidRDefault="008D1D4C" w:rsidP="002E09A4">
            <w:pPr>
              <w:spacing w:before="0" w:after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VA Unit</w:t>
            </w:r>
          </w:p>
        </w:tc>
        <w:tc>
          <w:tcPr>
            <w:tcW w:w="1923" w:type="dxa"/>
            <w:shd w:val="clear" w:color="auto" w:fill="auto"/>
          </w:tcPr>
          <w:p w14:paraId="31803B5D" w14:textId="77777777" w:rsidR="008D1D4C" w:rsidRPr="005D0272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1F722AC4" w14:textId="77777777" w:rsidR="008D1D4C" w:rsidRPr="005D0272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514C5FF0" w14:textId="79DF5BB8" w:rsidR="008D1D4C" w:rsidRPr="00C15786" w:rsidRDefault="008D1D4C" w:rsidP="002E09A4">
            <w:pPr>
              <w:spacing w:before="0" w:after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Total</w:t>
            </w: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 </w:t>
            </w: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# of Employees</w:t>
            </w:r>
          </w:p>
        </w:tc>
        <w:tc>
          <w:tcPr>
            <w:tcW w:w="1400" w:type="dxa"/>
          </w:tcPr>
          <w:p w14:paraId="5619BD7C" w14:textId="795F6136" w:rsidR="008D1D4C" w:rsidRPr="00C15786" w:rsidRDefault="008D1D4C" w:rsidP="002E09A4">
            <w:pPr>
              <w:spacing w:before="0" w:after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# of Fully Funded (not subject to lapse; will continue to work)</w:t>
            </w:r>
          </w:p>
        </w:tc>
        <w:tc>
          <w:tcPr>
            <w:tcW w:w="1455" w:type="dxa"/>
            <w:shd w:val="clear" w:color="auto" w:fill="auto"/>
          </w:tcPr>
          <w:p w14:paraId="34872A52" w14:textId="26898771" w:rsidR="008D1D4C" w:rsidRPr="00C15786" w:rsidRDefault="008D1D4C" w:rsidP="002E09A4">
            <w:pPr>
              <w:spacing w:before="0" w:after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# of Excepted Employees (legal basis; will continue to work)</w:t>
            </w:r>
          </w:p>
        </w:tc>
        <w:tc>
          <w:tcPr>
            <w:tcW w:w="2850" w:type="dxa"/>
            <w:shd w:val="clear" w:color="auto" w:fill="auto"/>
          </w:tcPr>
          <w:p w14:paraId="5F743BC1" w14:textId="77777777" w:rsidR="008D1D4C" w:rsidRPr="005D0272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09255074" w14:textId="77777777" w:rsidR="008D1D4C" w:rsidRPr="005D0272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66E81CEA" w14:textId="778C36D9" w:rsidR="008D1D4C" w:rsidRPr="00C15786" w:rsidRDefault="008D1D4C" w:rsidP="002E09A4">
            <w:pPr>
              <w:spacing w:before="0" w:after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Legal Basis for Decision or Full Funding Source</w:t>
            </w:r>
          </w:p>
        </w:tc>
        <w:tc>
          <w:tcPr>
            <w:tcW w:w="3398" w:type="dxa"/>
            <w:shd w:val="clear" w:color="auto" w:fill="auto"/>
          </w:tcPr>
          <w:p w14:paraId="64C8DEC7" w14:textId="77777777" w:rsidR="008D1D4C" w:rsidRPr="005D0272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09177653" w14:textId="77777777" w:rsidR="008D1D4C" w:rsidRPr="005D0272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234C7369" w14:textId="6423158F" w:rsidR="008D1D4C" w:rsidRPr="00C15786" w:rsidRDefault="008D1D4C" w:rsidP="002E09A4">
            <w:pPr>
              <w:spacing w:before="0" w:after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Functions to be Performed</w:t>
            </w:r>
          </w:p>
        </w:tc>
        <w:tc>
          <w:tcPr>
            <w:tcW w:w="2009" w:type="dxa"/>
          </w:tcPr>
          <w:p w14:paraId="3ECDB833" w14:textId="77777777" w:rsidR="008D1D4C" w:rsidRPr="005D0272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42D81774" w14:textId="752061AD" w:rsidR="008D1D4C" w:rsidRPr="00C15786" w:rsidRDefault="008D1D4C" w:rsidP="002E09A4">
            <w:pPr>
              <w:spacing w:before="0" w:after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# of Non-Excepted Employees (subject to furlough)</w:t>
            </w:r>
          </w:p>
        </w:tc>
      </w:tr>
      <w:tr w:rsidR="00C15786" w:rsidRPr="0016105B" w14:paraId="280639F1" w14:textId="77777777" w:rsidTr="002E09A4">
        <w:trPr>
          <w:cantSplit/>
        </w:trPr>
        <w:tc>
          <w:tcPr>
            <w:tcW w:w="1785" w:type="dxa"/>
            <w:vMerge w:val="restart"/>
            <w:shd w:val="clear" w:color="auto" w:fill="auto"/>
          </w:tcPr>
          <w:p w14:paraId="1F2D7183" w14:textId="77777777" w:rsidR="00C15786" w:rsidRPr="00C15786" w:rsidRDefault="00C15786" w:rsidP="002E09A4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C157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Veterans Health Administration (VHA)</w:t>
            </w:r>
          </w:p>
          <w:p w14:paraId="2D6882E3" w14:textId="77777777" w:rsidR="00C15786" w:rsidRPr="00C15786" w:rsidRDefault="00C15786" w:rsidP="002E09A4">
            <w:pPr>
              <w:numPr>
                <w:ilvl w:val="0"/>
                <w:numId w:val="22"/>
              </w:numPr>
              <w:tabs>
                <w:tab w:val="num" w:pos="153"/>
              </w:tabs>
              <w:spacing w:before="0" w:after="80"/>
              <w:ind w:left="158" w:hanging="158"/>
              <w:rPr>
                <w:rFonts w:asciiTheme="minorHAnsi" w:hAnsiTheme="minorHAnsi" w:cs="Arial"/>
                <w:sz w:val="20"/>
                <w:szCs w:val="20"/>
              </w:rPr>
            </w:pPr>
            <w:r w:rsidRPr="00C15786">
              <w:rPr>
                <w:rFonts w:asciiTheme="minorHAnsi" w:hAnsiTheme="minorHAnsi" w:cs="Arial"/>
                <w:sz w:val="20"/>
                <w:szCs w:val="20"/>
              </w:rPr>
              <w:t>Medical services</w:t>
            </w:r>
          </w:p>
          <w:p w14:paraId="1D71FF35" w14:textId="77777777" w:rsidR="00C15786" w:rsidRPr="00C15786" w:rsidRDefault="00C15786" w:rsidP="002E09A4">
            <w:pPr>
              <w:numPr>
                <w:ilvl w:val="0"/>
                <w:numId w:val="22"/>
              </w:numPr>
              <w:tabs>
                <w:tab w:val="num" w:pos="153"/>
              </w:tabs>
              <w:spacing w:before="0" w:after="80"/>
              <w:ind w:left="158" w:hanging="158"/>
              <w:rPr>
                <w:rFonts w:asciiTheme="minorHAnsi" w:hAnsiTheme="minorHAnsi" w:cs="Arial"/>
                <w:sz w:val="20"/>
                <w:szCs w:val="20"/>
              </w:rPr>
            </w:pPr>
            <w:r w:rsidRPr="00C15786">
              <w:rPr>
                <w:rFonts w:asciiTheme="minorHAnsi" w:hAnsiTheme="minorHAnsi" w:cs="Arial"/>
                <w:sz w:val="20"/>
                <w:szCs w:val="20"/>
              </w:rPr>
              <w:t>Medical support and compliance</w:t>
            </w:r>
          </w:p>
          <w:p w14:paraId="39584555" w14:textId="77777777" w:rsidR="00C15786" w:rsidRPr="00C15786" w:rsidRDefault="00C15786" w:rsidP="002E09A4">
            <w:pPr>
              <w:numPr>
                <w:ilvl w:val="0"/>
                <w:numId w:val="22"/>
              </w:numPr>
              <w:tabs>
                <w:tab w:val="num" w:pos="153"/>
              </w:tabs>
              <w:spacing w:before="0" w:after="80"/>
              <w:ind w:left="158" w:hanging="158"/>
              <w:rPr>
                <w:rFonts w:asciiTheme="minorHAnsi" w:hAnsiTheme="minorHAnsi" w:cs="Arial"/>
                <w:sz w:val="20"/>
                <w:szCs w:val="20"/>
              </w:rPr>
            </w:pPr>
            <w:r w:rsidRPr="00C15786">
              <w:rPr>
                <w:rFonts w:asciiTheme="minorHAnsi" w:hAnsiTheme="minorHAnsi" w:cs="Arial"/>
                <w:sz w:val="20"/>
                <w:szCs w:val="20"/>
              </w:rPr>
              <w:t>Medical facilities</w:t>
            </w:r>
          </w:p>
          <w:p w14:paraId="0A68A6BF" w14:textId="77777777" w:rsidR="00C15786" w:rsidRPr="00C15786" w:rsidRDefault="00C15786" w:rsidP="002E09A4">
            <w:pPr>
              <w:numPr>
                <w:ilvl w:val="0"/>
                <w:numId w:val="22"/>
              </w:numPr>
              <w:tabs>
                <w:tab w:val="num" w:pos="153"/>
              </w:tabs>
              <w:spacing w:before="0" w:after="80"/>
              <w:ind w:left="158" w:hanging="158"/>
              <w:rPr>
                <w:rFonts w:asciiTheme="minorHAnsi" w:hAnsiTheme="minorHAnsi" w:cs="Arial"/>
                <w:sz w:val="20"/>
                <w:szCs w:val="20"/>
              </w:rPr>
            </w:pPr>
            <w:r w:rsidRPr="00C15786">
              <w:rPr>
                <w:rFonts w:asciiTheme="minorHAnsi" w:hAnsiTheme="minorHAnsi" w:cs="Arial"/>
                <w:sz w:val="20"/>
                <w:szCs w:val="20"/>
              </w:rPr>
              <w:t>Medical and prosthetic research</w:t>
            </w:r>
          </w:p>
        </w:tc>
        <w:tc>
          <w:tcPr>
            <w:tcW w:w="1923" w:type="dxa"/>
            <w:vMerge w:val="restart"/>
            <w:shd w:val="clear" w:color="auto" w:fill="auto"/>
          </w:tcPr>
          <w:p w14:paraId="6BD1B132" w14:textId="77777777" w:rsidR="00C15786" w:rsidRPr="00C15786" w:rsidRDefault="00C15786" w:rsidP="002E09A4">
            <w:pPr>
              <w:numPr>
                <w:ilvl w:val="0"/>
                <w:numId w:val="22"/>
              </w:numPr>
              <w:tabs>
                <w:tab w:val="num" w:pos="150"/>
              </w:tabs>
              <w:spacing w:before="0" w:after="100"/>
              <w:ind w:left="144" w:hanging="144"/>
              <w:rPr>
                <w:rFonts w:asciiTheme="minorHAnsi" w:hAnsiTheme="minorHAnsi" w:cs="Arial"/>
                <w:sz w:val="20"/>
                <w:szCs w:val="20"/>
              </w:rPr>
            </w:pPr>
            <w:r w:rsidRPr="00C157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Total: </w:t>
            </w:r>
            <w:r w:rsidRPr="00C157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br/>
            </w:r>
            <w:r w:rsidRPr="00C15786">
              <w:rPr>
                <w:rFonts w:asciiTheme="minorHAnsi" w:hAnsiTheme="minorHAnsi" w:cs="Arial"/>
                <w:sz w:val="20"/>
                <w:szCs w:val="20"/>
              </w:rPr>
              <w:t>295,486</w:t>
            </w:r>
          </w:p>
          <w:p w14:paraId="7C5DBD80" w14:textId="77777777" w:rsidR="007E5C49" w:rsidRPr="007E5C49" w:rsidRDefault="007E5C49" w:rsidP="007E5C49">
            <w:pPr>
              <w:numPr>
                <w:ilvl w:val="0"/>
                <w:numId w:val="22"/>
              </w:numPr>
              <w:tabs>
                <w:tab w:val="num" w:pos="150"/>
              </w:tabs>
              <w:spacing w:before="0" w:after="100"/>
              <w:ind w:left="144" w:hanging="144"/>
              <w:rPr>
                <w:rFonts w:asciiTheme="minorHAnsi" w:hAnsiTheme="minorHAnsi" w:cs="Arial"/>
                <w:sz w:val="20"/>
                <w:szCs w:val="20"/>
              </w:rPr>
            </w:pPr>
            <w:r w:rsidRPr="007E5C4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Fully Funded:</w:t>
            </w:r>
          </w:p>
          <w:p w14:paraId="533E731D" w14:textId="02B11DF4" w:rsidR="007E5C49" w:rsidRPr="007E5C49" w:rsidRDefault="00CB6BF5" w:rsidP="007E5C49">
            <w:pPr>
              <w:spacing w:before="0" w:after="100"/>
              <w:ind w:left="144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289,279</w:t>
            </w:r>
          </w:p>
          <w:p w14:paraId="6687B3C3" w14:textId="1896A862" w:rsidR="00C15786" w:rsidRPr="00C15786" w:rsidRDefault="00C15786" w:rsidP="002E09A4">
            <w:pPr>
              <w:numPr>
                <w:ilvl w:val="0"/>
                <w:numId w:val="22"/>
              </w:numPr>
              <w:tabs>
                <w:tab w:val="num" w:pos="150"/>
              </w:tabs>
              <w:spacing w:before="0" w:after="100"/>
              <w:ind w:left="144" w:hanging="144"/>
              <w:rPr>
                <w:rFonts w:asciiTheme="minorHAnsi" w:hAnsiTheme="minorHAnsi" w:cs="Arial"/>
                <w:sz w:val="20"/>
                <w:szCs w:val="20"/>
              </w:rPr>
            </w:pPr>
            <w:r w:rsidRPr="00C157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Excepted: </w:t>
            </w:r>
            <w:r w:rsidRPr="00C15786">
              <w:rPr>
                <w:rFonts w:asciiTheme="minorHAnsi" w:hAnsiTheme="minorHAnsi" w:cs="Arial"/>
                <w:sz w:val="20"/>
                <w:szCs w:val="20"/>
              </w:rPr>
              <w:br/>
            </w:r>
            <w:r w:rsidR="00CB6BF5">
              <w:rPr>
                <w:rFonts w:asciiTheme="minorHAnsi" w:hAnsiTheme="minorHAnsi" w:cs="Arial"/>
                <w:sz w:val="20"/>
                <w:szCs w:val="20"/>
              </w:rPr>
              <w:t>3,045</w:t>
            </w:r>
          </w:p>
          <w:p w14:paraId="7F082F8E" w14:textId="77777777" w:rsidR="00C15786" w:rsidRPr="00C15786" w:rsidRDefault="00C15786" w:rsidP="002E09A4">
            <w:pPr>
              <w:numPr>
                <w:ilvl w:val="0"/>
                <w:numId w:val="22"/>
              </w:numPr>
              <w:tabs>
                <w:tab w:val="num" w:pos="150"/>
              </w:tabs>
              <w:spacing w:before="0" w:after="100"/>
              <w:ind w:left="144" w:hanging="144"/>
              <w:rPr>
                <w:rFonts w:asciiTheme="minorHAnsi" w:hAnsiTheme="minorHAnsi" w:cs="Arial"/>
                <w:sz w:val="20"/>
                <w:szCs w:val="20"/>
              </w:rPr>
            </w:pPr>
            <w:r w:rsidRPr="00C157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Non-Excepted: </w:t>
            </w:r>
          </w:p>
          <w:p w14:paraId="7815541E" w14:textId="10AA72CA" w:rsidR="00C15786" w:rsidRPr="00C15786" w:rsidRDefault="007E5C49" w:rsidP="002E09A4">
            <w:pPr>
              <w:spacing w:before="0" w:after="100"/>
              <w:ind w:left="144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986</w:t>
            </w:r>
          </w:p>
          <w:p w14:paraId="3ADB2748" w14:textId="0EB4E8C7" w:rsidR="00C15786" w:rsidRPr="007E5C49" w:rsidRDefault="00C15786" w:rsidP="007E5C49">
            <w:pPr>
              <w:numPr>
                <w:ilvl w:val="0"/>
                <w:numId w:val="22"/>
              </w:numPr>
              <w:tabs>
                <w:tab w:val="num" w:pos="150"/>
              </w:tabs>
              <w:spacing w:before="0" w:after="100"/>
              <w:ind w:left="144" w:hanging="144"/>
              <w:rPr>
                <w:rFonts w:asciiTheme="minorHAnsi" w:hAnsiTheme="minorHAnsi" w:cs="Arial"/>
                <w:sz w:val="20"/>
                <w:szCs w:val="20"/>
              </w:rPr>
            </w:pPr>
            <w:r w:rsidRPr="00C157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Other  support organizations required: </w:t>
            </w:r>
            <w:r w:rsidRPr="00C15786">
              <w:rPr>
                <w:rFonts w:asciiTheme="minorHAnsi" w:hAnsiTheme="minorHAnsi" w:cs="Arial"/>
                <w:sz w:val="20"/>
                <w:szCs w:val="20"/>
              </w:rPr>
              <w:t xml:space="preserve">OI&amp;T, OGC, OALC </w:t>
            </w:r>
          </w:p>
        </w:tc>
        <w:tc>
          <w:tcPr>
            <w:tcW w:w="1400" w:type="dxa"/>
          </w:tcPr>
          <w:p w14:paraId="047ECF60" w14:textId="08B9FCDB" w:rsidR="00C15786" w:rsidRPr="00C15786" w:rsidRDefault="007E5C49" w:rsidP="002E09A4">
            <w:pPr>
              <w:spacing w:before="0" w:after="0"/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289,</w:t>
            </w:r>
            <w:r w:rsidR="00CB6BF5">
              <w:rPr>
                <w:rFonts w:asciiTheme="minorHAnsi" w:hAnsiTheme="minorHAnsi" w:cs="Arial"/>
                <w:sz w:val="20"/>
                <w:szCs w:val="20"/>
              </w:rPr>
              <w:t>279</w:t>
            </w:r>
          </w:p>
        </w:tc>
        <w:tc>
          <w:tcPr>
            <w:tcW w:w="1455" w:type="dxa"/>
            <w:shd w:val="clear" w:color="auto" w:fill="auto"/>
          </w:tcPr>
          <w:p w14:paraId="0FE63DAA" w14:textId="5A5ACA9A" w:rsidR="00C15786" w:rsidRPr="00C15786" w:rsidRDefault="00C15786" w:rsidP="002E09A4">
            <w:pPr>
              <w:spacing w:before="0" w:after="0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</w:tcPr>
          <w:p w14:paraId="0ED8678C" w14:textId="77777777" w:rsidR="00C15786" w:rsidRPr="00C15786" w:rsidRDefault="00C15786" w:rsidP="002E09A4">
            <w:pPr>
              <w:spacing w:before="0" w:after="0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C15786">
              <w:rPr>
                <w:rFonts w:asciiTheme="minorHAnsi" w:hAnsiTheme="minorHAnsi" w:cs="Arial"/>
                <w:sz w:val="20"/>
                <w:szCs w:val="20"/>
              </w:rPr>
              <w:t>Advance Appropriation</w:t>
            </w:r>
          </w:p>
        </w:tc>
        <w:tc>
          <w:tcPr>
            <w:tcW w:w="3398" w:type="dxa"/>
            <w:shd w:val="clear" w:color="auto" w:fill="auto"/>
          </w:tcPr>
          <w:p w14:paraId="1F090F99" w14:textId="77777777" w:rsidR="00C15786" w:rsidRPr="00C15786" w:rsidRDefault="00C15786" w:rsidP="002E09A4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C15786">
              <w:rPr>
                <w:rFonts w:asciiTheme="minorHAnsi" w:hAnsiTheme="minorHAnsi" w:cs="Arial"/>
                <w:sz w:val="20"/>
                <w:szCs w:val="20"/>
              </w:rPr>
              <w:t>Medical services,</w:t>
            </w:r>
          </w:p>
          <w:p w14:paraId="39A81ABA" w14:textId="77777777" w:rsidR="00C15786" w:rsidRPr="00C15786" w:rsidRDefault="00C15786" w:rsidP="002E09A4">
            <w:pPr>
              <w:spacing w:before="0" w:after="0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C15786">
              <w:rPr>
                <w:rFonts w:asciiTheme="minorHAnsi" w:hAnsiTheme="minorHAnsi" w:cs="Arial"/>
                <w:sz w:val="20"/>
                <w:szCs w:val="20"/>
              </w:rPr>
              <w:t>Medical support and compliance, Medical facilities</w:t>
            </w:r>
          </w:p>
        </w:tc>
        <w:tc>
          <w:tcPr>
            <w:tcW w:w="2009" w:type="dxa"/>
          </w:tcPr>
          <w:p w14:paraId="0116299D" w14:textId="77777777" w:rsidR="00C15786" w:rsidRPr="00C15786" w:rsidRDefault="00C15786" w:rsidP="002E09A4">
            <w:pPr>
              <w:spacing w:before="0" w:after="0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  <w:p w14:paraId="4A472FEB" w14:textId="77777777" w:rsidR="00C15786" w:rsidRPr="00C15786" w:rsidRDefault="00C15786" w:rsidP="002E09A4">
            <w:pPr>
              <w:spacing w:before="0" w:after="0"/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C15786">
              <w:rPr>
                <w:rFonts w:asciiTheme="minorHAnsi" w:eastAsia="Calibri" w:hAnsiTheme="minorHAnsi" w:cs="Arial"/>
                <w:sz w:val="20"/>
                <w:szCs w:val="20"/>
              </w:rPr>
              <w:t>0</w:t>
            </w:r>
          </w:p>
        </w:tc>
      </w:tr>
      <w:tr w:rsidR="00C15786" w:rsidRPr="0016105B" w14:paraId="12C046E0" w14:textId="77777777" w:rsidTr="002E09A4">
        <w:tc>
          <w:tcPr>
            <w:tcW w:w="1785" w:type="dxa"/>
            <w:vMerge/>
            <w:shd w:val="clear" w:color="auto" w:fill="auto"/>
          </w:tcPr>
          <w:p w14:paraId="11E9A340" w14:textId="1DD2F4BB" w:rsidR="00C15786" w:rsidRPr="00C15786" w:rsidRDefault="00C15786" w:rsidP="002E09A4">
            <w:pPr>
              <w:spacing w:before="0" w:after="0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14:paraId="4B2899C7" w14:textId="77777777" w:rsidR="00C15786" w:rsidRPr="00C15786" w:rsidRDefault="00C15786" w:rsidP="002E09A4">
            <w:pPr>
              <w:spacing w:before="0" w:after="0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400" w:type="dxa"/>
          </w:tcPr>
          <w:p w14:paraId="6FA044BA" w14:textId="55C947AB" w:rsidR="00C15786" w:rsidRPr="00C15786" w:rsidRDefault="00C15786" w:rsidP="002E09A4">
            <w:pPr>
              <w:spacing w:before="0" w:after="0"/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727980D0" w14:textId="289F2B73" w:rsidR="00C15786" w:rsidRPr="00C15786" w:rsidRDefault="00CB6BF5" w:rsidP="002E09A4">
            <w:pPr>
              <w:spacing w:before="0" w:after="0"/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3,045</w:t>
            </w:r>
          </w:p>
        </w:tc>
        <w:tc>
          <w:tcPr>
            <w:tcW w:w="2850" w:type="dxa"/>
            <w:shd w:val="clear" w:color="auto" w:fill="auto"/>
          </w:tcPr>
          <w:p w14:paraId="3A4FA552" w14:textId="70780A64" w:rsidR="00C15786" w:rsidRPr="00C15786" w:rsidRDefault="002C5458" w:rsidP="002E09A4">
            <w:pPr>
              <w:spacing w:before="0" w:after="0"/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2-year </w:t>
            </w:r>
            <w:r w:rsidR="00C15786" w:rsidRPr="00C15786">
              <w:rPr>
                <w:rFonts w:asciiTheme="minorHAnsi" w:eastAsia="Calibri" w:hAnsiTheme="minorHAnsi" w:cs="Arial"/>
                <w:sz w:val="20"/>
                <w:szCs w:val="20"/>
              </w:rPr>
              <w:t>Appropriation Prior Year Balance</w:t>
            </w:r>
          </w:p>
          <w:p w14:paraId="1C861B13" w14:textId="77777777" w:rsidR="00C15786" w:rsidRPr="00C15786" w:rsidRDefault="00C15786" w:rsidP="002E09A4">
            <w:pPr>
              <w:spacing w:before="0" w:after="0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3398" w:type="dxa"/>
            <w:shd w:val="clear" w:color="auto" w:fill="auto"/>
          </w:tcPr>
          <w:p w14:paraId="5FC96B09" w14:textId="77777777" w:rsidR="00C15786" w:rsidRPr="00C15786" w:rsidRDefault="00C15786" w:rsidP="002E09A4">
            <w:pPr>
              <w:spacing w:before="0" w:after="0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C15786">
              <w:rPr>
                <w:rFonts w:asciiTheme="minorHAnsi" w:eastAsia="Calibri" w:hAnsiTheme="minorHAnsi" w:cs="Arial"/>
                <w:sz w:val="20"/>
                <w:szCs w:val="20"/>
              </w:rPr>
              <w:t>Medical and prosthetic research</w:t>
            </w:r>
          </w:p>
        </w:tc>
        <w:tc>
          <w:tcPr>
            <w:tcW w:w="2009" w:type="dxa"/>
          </w:tcPr>
          <w:p w14:paraId="4D1C2EE1" w14:textId="77777777" w:rsidR="00C15786" w:rsidRPr="00C15786" w:rsidRDefault="00C15786" w:rsidP="002E09A4">
            <w:pPr>
              <w:spacing w:before="0" w:after="0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  <w:p w14:paraId="260E8660" w14:textId="77777777" w:rsidR="00C15786" w:rsidRDefault="00C15786" w:rsidP="002E09A4">
            <w:pPr>
              <w:spacing w:before="0" w:after="0"/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C15786">
              <w:rPr>
                <w:rFonts w:asciiTheme="minorHAnsi" w:eastAsia="Calibri" w:hAnsiTheme="minorHAnsi" w:cs="Arial"/>
                <w:sz w:val="20"/>
                <w:szCs w:val="20"/>
              </w:rPr>
              <w:t>986</w:t>
            </w:r>
            <w:r w:rsidR="00B03317">
              <w:rPr>
                <w:rFonts w:asciiTheme="minorHAnsi" w:eastAsia="Calibri" w:hAnsiTheme="minorHAnsi" w:cs="Arial"/>
                <w:sz w:val="20"/>
                <w:szCs w:val="20"/>
              </w:rPr>
              <w:t xml:space="preserve">* </w:t>
            </w:r>
          </w:p>
          <w:p w14:paraId="4D3F5C2F" w14:textId="0E3CBA5A" w:rsidR="00B03317" w:rsidRPr="00C15786" w:rsidRDefault="00B03317" w:rsidP="00B03317">
            <w:pPr>
              <w:spacing w:before="0" w:after="0"/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These employees will work until prior year funding runs out</w:t>
            </w:r>
          </w:p>
        </w:tc>
      </w:tr>
      <w:tr w:rsidR="00C15786" w:rsidRPr="00C15786" w14:paraId="28F25677" w14:textId="77777777" w:rsidTr="002E09A4">
        <w:tc>
          <w:tcPr>
            <w:tcW w:w="1785" w:type="dxa"/>
            <w:shd w:val="clear" w:color="auto" w:fill="auto"/>
          </w:tcPr>
          <w:p w14:paraId="342EB267" w14:textId="1645C900" w:rsidR="00C15786" w:rsidRPr="00C15786" w:rsidRDefault="00C15786" w:rsidP="002E09A4">
            <w:pPr>
              <w:spacing w:before="0" w:after="80"/>
              <w:ind w:left="158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1578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VHA North Chicago, Captain James A. Lovell Federal Health Care Center (Lovell FHCC)* </w:t>
            </w:r>
          </w:p>
          <w:p w14:paraId="7E7ED74E" w14:textId="77777777" w:rsidR="00C15786" w:rsidRPr="00C15786" w:rsidRDefault="00C15786" w:rsidP="002E09A4">
            <w:pPr>
              <w:numPr>
                <w:ilvl w:val="0"/>
                <w:numId w:val="22"/>
              </w:numPr>
              <w:tabs>
                <w:tab w:val="num" w:pos="153"/>
              </w:tabs>
              <w:spacing w:before="0" w:after="80"/>
              <w:ind w:left="158" w:hanging="158"/>
              <w:rPr>
                <w:rFonts w:asciiTheme="minorHAnsi" w:hAnsiTheme="minorHAnsi" w:cs="Arial"/>
                <w:sz w:val="20"/>
                <w:szCs w:val="20"/>
              </w:rPr>
            </w:pPr>
            <w:r w:rsidRPr="00C15786">
              <w:rPr>
                <w:rFonts w:asciiTheme="minorHAnsi" w:hAnsiTheme="minorHAnsi" w:cs="Arial"/>
                <w:sz w:val="20"/>
                <w:szCs w:val="20"/>
              </w:rPr>
              <w:t>Medical services</w:t>
            </w:r>
          </w:p>
          <w:p w14:paraId="6316CCE3" w14:textId="77777777" w:rsidR="00C15786" w:rsidRPr="00C15786" w:rsidRDefault="00C15786" w:rsidP="002E09A4">
            <w:pPr>
              <w:numPr>
                <w:ilvl w:val="0"/>
                <w:numId w:val="22"/>
              </w:numPr>
              <w:tabs>
                <w:tab w:val="num" w:pos="153"/>
              </w:tabs>
              <w:spacing w:before="0" w:after="80"/>
              <w:ind w:left="158" w:hanging="158"/>
              <w:rPr>
                <w:rFonts w:asciiTheme="minorHAnsi" w:hAnsiTheme="minorHAnsi" w:cs="Arial"/>
                <w:sz w:val="20"/>
                <w:szCs w:val="20"/>
              </w:rPr>
            </w:pPr>
            <w:r w:rsidRPr="00C15786">
              <w:rPr>
                <w:rFonts w:asciiTheme="minorHAnsi" w:hAnsiTheme="minorHAnsi" w:cs="Arial"/>
                <w:sz w:val="20"/>
                <w:szCs w:val="20"/>
              </w:rPr>
              <w:t>Medical support and compliance</w:t>
            </w:r>
          </w:p>
          <w:p w14:paraId="7CBEFC8C" w14:textId="77777777" w:rsidR="00C15786" w:rsidRPr="00C15786" w:rsidRDefault="00C15786" w:rsidP="002E09A4">
            <w:pPr>
              <w:numPr>
                <w:ilvl w:val="0"/>
                <w:numId w:val="22"/>
              </w:numPr>
              <w:tabs>
                <w:tab w:val="num" w:pos="153"/>
              </w:tabs>
              <w:spacing w:before="0" w:after="80"/>
              <w:ind w:left="158" w:hanging="158"/>
              <w:rPr>
                <w:rFonts w:asciiTheme="minorHAnsi" w:hAnsiTheme="minorHAnsi" w:cs="Arial"/>
                <w:sz w:val="20"/>
                <w:szCs w:val="20"/>
              </w:rPr>
            </w:pPr>
            <w:r w:rsidRPr="00C15786">
              <w:rPr>
                <w:rFonts w:asciiTheme="minorHAnsi" w:hAnsiTheme="minorHAnsi" w:cs="Arial"/>
                <w:sz w:val="20"/>
                <w:szCs w:val="20"/>
              </w:rPr>
              <w:t>Medical facilities</w:t>
            </w:r>
          </w:p>
          <w:p w14:paraId="00EFB3BC" w14:textId="57F9EFFF" w:rsidR="00C15786" w:rsidRPr="00C15786" w:rsidRDefault="00C15786" w:rsidP="002E09A4">
            <w:pPr>
              <w:spacing w:before="0" w:after="0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</w:tcPr>
          <w:p w14:paraId="52B07535" w14:textId="77777777" w:rsidR="00C15786" w:rsidRPr="00C15786" w:rsidRDefault="00C15786" w:rsidP="002E09A4">
            <w:pPr>
              <w:numPr>
                <w:ilvl w:val="0"/>
                <w:numId w:val="22"/>
              </w:numPr>
              <w:tabs>
                <w:tab w:val="num" w:pos="150"/>
              </w:tabs>
              <w:spacing w:before="0" w:after="100"/>
              <w:ind w:left="144"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C157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Total: </w:t>
            </w:r>
            <w:r w:rsidRPr="00C157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C15786">
              <w:rPr>
                <w:rFonts w:asciiTheme="minorHAnsi" w:hAnsiTheme="minorHAnsi" w:cstheme="minorHAnsi"/>
                <w:sz w:val="20"/>
                <w:szCs w:val="20"/>
              </w:rPr>
              <w:t>2,176</w:t>
            </w:r>
          </w:p>
          <w:p w14:paraId="568D4772" w14:textId="77777777" w:rsidR="00C15786" w:rsidRPr="00C15786" w:rsidRDefault="00C15786" w:rsidP="002E09A4">
            <w:pPr>
              <w:numPr>
                <w:ilvl w:val="0"/>
                <w:numId w:val="22"/>
              </w:numPr>
              <w:tabs>
                <w:tab w:val="num" w:pos="150"/>
              </w:tabs>
              <w:spacing w:before="0" w:after="100"/>
              <w:ind w:left="144"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C157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Excepted: </w:t>
            </w:r>
            <w:r w:rsidRPr="00C15786">
              <w:rPr>
                <w:rFonts w:asciiTheme="minorHAnsi" w:hAnsiTheme="minorHAnsi" w:cstheme="minorHAnsi"/>
                <w:sz w:val="20"/>
                <w:szCs w:val="20"/>
              </w:rPr>
              <w:br/>
              <w:t>2,176</w:t>
            </w:r>
          </w:p>
          <w:p w14:paraId="04FACE6A" w14:textId="77777777" w:rsidR="00C15786" w:rsidRPr="00C15786" w:rsidRDefault="00C15786" w:rsidP="002E09A4">
            <w:pPr>
              <w:numPr>
                <w:ilvl w:val="0"/>
                <w:numId w:val="22"/>
              </w:numPr>
              <w:tabs>
                <w:tab w:val="num" w:pos="150"/>
              </w:tabs>
              <w:spacing w:before="0" w:after="100"/>
              <w:ind w:left="144"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C157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Non-Excepted: </w:t>
            </w:r>
            <w:r w:rsidRPr="00C15786">
              <w:rPr>
                <w:rFonts w:asciiTheme="minorHAnsi" w:hAnsiTheme="minorHAnsi" w:cstheme="minorHAnsi"/>
                <w:sz w:val="20"/>
                <w:szCs w:val="20"/>
              </w:rPr>
              <w:t xml:space="preserve"> 0</w:t>
            </w:r>
          </w:p>
          <w:p w14:paraId="24CD5E80" w14:textId="77777777" w:rsidR="00C15786" w:rsidRPr="00C15786" w:rsidRDefault="00C15786" w:rsidP="002E09A4">
            <w:pPr>
              <w:numPr>
                <w:ilvl w:val="0"/>
                <w:numId w:val="22"/>
              </w:numPr>
              <w:tabs>
                <w:tab w:val="num" w:pos="150"/>
              </w:tabs>
              <w:spacing w:before="0" w:after="100"/>
              <w:ind w:left="144"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C157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Other  support organizations required: </w:t>
            </w:r>
            <w:r w:rsidRPr="00C15786">
              <w:rPr>
                <w:rFonts w:asciiTheme="minorHAnsi" w:hAnsiTheme="minorHAnsi" w:cstheme="minorHAnsi"/>
                <w:sz w:val="20"/>
                <w:szCs w:val="20"/>
              </w:rPr>
              <w:t xml:space="preserve">OI&amp;T, OGC, OALC </w:t>
            </w:r>
          </w:p>
          <w:p w14:paraId="06CEF337" w14:textId="4D52CE4B" w:rsidR="00C15786" w:rsidRPr="00C15786" w:rsidRDefault="00C15786" w:rsidP="002E09A4">
            <w:pPr>
              <w:spacing w:before="0" w:after="0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400" w:type="dxa"/>
          </w:tcPr>
          <w:p w14:paraId="5758ED6A" w14:textId="77777777" w:rsidR="00C15786" w:rsidRPr="00C15786" w:rsidRDefault="00C15786" w:rsidP="002E09A4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C553622" w14:textId="75F0978B" w:rsidR="00C15786" w:rsidRPr="00C15786" w:rsidRDefault="00C15786" w:rsidP="002E09A4">
            <w:pPr>
              <w:spacing w:before="0" w:after="0"/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7C0AA1AF" w14:textId="29F2A2BD" w:rsidR="00C15786" w:rsidRPr="00C15786" w:rsidRDefault="007E5C49" w:rsidP="002E09A4">
            <w:pPr>
              <w:spacing w:before="0" w:after="0"/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C15786">
              <w:rPr>
                <w:rFonts w:asciiTheme="minorHAnsi" w:hAnsiTheme="minorHAnsi" w:cs="Arial"/>
                <w:sz w:val="20"/>
                <w:szCs w:val="20"/>
              </w:rPr>
              <w:t>2,176</w:t>
            </w:r>
          </w:p>
        </w:tc>
        <w:tc>
          <w:tcPr>
            <w:tcW w:w="2850" w:type="dxa"/>
            <w:shd w:val="clear" w:color="auto" w:fill="auto"/>
          </w:tcPr>
          <w:p w14:paraId="3EE9AB50" w14:textId="46E74CE2" w:rsidR="00C15786" w:rsidRPr="00C15786" w:rsidRDefault="00C15786" w:rsidP="002E09A4">
            <w:pPr>
              <w:spacing w:before="0" w:after="0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C15786">
              <w:rPr>
                <w:rFonts w:asciiTheme="minorHAnsi" w:hAnsiTheme="minorHAnsi" w:cs="Arial"/>
                <w:sz w:val="20"/>
                <w:szCs w:val="20"/>
              </w:rPr>
              <w:t>Protection of Life and Property</w:t>
            </w:r>
          </w:p>
        </w:tc>
        <w:tc>
          <w:tcPr>
            <w:tcW w:w="3398" w:type="dxa"/>
            <w:shd w:val="clear" w:color="auto" w:fill="auto"/>
          </w:tcPr>
          <w:p w14:paraId="255DF5C1" w14:textId="327D5C09" w:rsidR="00C15786" w:rsidRPr="00C15786" w:rsidRDefault="00C15786" w:rsidP="002E09A4">
            <w:pPr>
              <w:spacing w:before="0" w:after="0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C15786">
              <w:rPr>
                <w:rFonts w:asciiTheme="minorHAnsi" w:hAnsiTheme="minorHAnsi" w:cstheme="minorHAnsi"/>
                <w:sz w:val="20"/>
                <w:szCs w:val="20"/>
              </w:rPr>
              <w:t xml:space="preserve">Provision of health care services to eligible VA and </w:t>
            </w:r>
            <w:proofErr w:type="spellStart"/>
            <w:r w:rsidRPr="00C15786">
              <w:rPr>
                <w:rFonts w:asciiTheme="minorHAnsi" w:hAnsiTheme="minorHAnsi" w:cstheme="minorHAnsi"/>
                <w:sz w:val="20"/>
                <w:szCs w:val="20"/>
              </w:rPr>
              <w:t>DoD</w:t>
            </w:r>
            <w:proofErr w:type="spellEnd"/>
            <w:r w:rsidRPr="00C15786">
              <w:rPr>
                <w:rFonts w:asciiTheme="minorHAnsi" w:hAnsiTheme="minorHAnsi" w:cstheme="minorHAnsi"/>
                <w:sz w:val="20"/>
                <w:szCs w:val="20"/>
              </w:rPr>
              <w:t xml:space="preserve"> beneficiaries at this jointly funded and staffed facility at North Chicago, IL</w:t>
            </w:r>
          </w:p>
        </w:tc>
        <w:tc>
          <w:tcPr>
            <w:tcW w:w="2009" w:type="dxa"/>
          </w:tcPr>
          <w:p w14:paraId="0E408842" w14:textId="77777777" w:rsidR="00C15786" w:rsidRPr="00C15786" w:rsidRDefault="00C15786" w:rsidP="002E09A4">
            <w:pPr>
              <w:spacing w:before="0" w:after="0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  <w:p w14:paraId="20A9B0DA" w14:textId="5CB80E49" w:rsidR="00C15786" w:rsidRPr="00C15786" w:rsidRDefault="00C15786" w:rsidP="002E09A4">
            <w:pPr>
              <w:spacing w:before="0" w:after="0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C15786">
              <w:rPr>
                <w:rFonts w:asciiTheme="minorHAnsi" w:eastAsia="Calibri" w:hAnsiTheme="minorHAnsi" w:cs="Arial"/>
                <w:sz w:val="20"/>
                <w:szCs w:val="20"/>
              </w:rPr>
              <w:t>0</w:t>
            </w:r>
          </w:p>
        </w:tc>
      </w:tr>
    </w:tbl>
    <w:p w14:paraId="3556B39C" w14:textId="77777777" w:rsidR="002F3378" w:rsidRPr="00C15786" w:rsidRDefault="002F3378">
      <w:pPr>
        <w:spacing w:before="0" w:after="0"/>
        <w:rPr>
          <w:rFonts w:asciiTheme="minorHAnsi" w:hAnsiTheme="minorHAnsi"/>
          <w:sz w:val="20"/>
          <w:szCs w:val="20"/>
        </w:rPr>
      </w:pPr>
      <w:r w:rsidRPr="00C15786">
        <w:rPr>
          <w:rFonts w:asciiTheme="minorHAnsi" w:hAnsiTheme="minorHAnsi"/>
          <w:sz w:val="20"/>
          <w:szCs w:val="20"/>
        </w:rPr>
        <w:br w:type="page"/>
      </w:r>
    </w:p>
    <w:p w14:paraId="5C35D766" w14:textId="77777777" w:rsidR="002F3378" w:rsidRPr="002F3378" w:rsidRDefault="002F3378" w:rsidP="002F3378"/>
    <w:p w14:paraId="3B977AFA" w14:textId="77777777" w:rsidR="00FE3A38" w:rsidRPr="00D41575" w:rsidRDefault="00FE3A38" w:rsidP="00FE3A38">
      <w:pPr>
        <w:rPr>
          <w:rFonts w:asciiTheme="minorHAnsi" w:hAnsiTheme="minorHAnsi" w:cs="Times New Roman"/>
          <w:b/>
          <w:bCs/>
          <w:color w:val="1F497D"/>
          <w:sz w:val="32"/>
          <w:szCs w:val="28"/>
        </w:rPr>
      </w:pPr>
      <w:r w:rsidRPr="00D41575">
        <w:rPr>
          <w:rFonts w:asciiTheme="minorHAnsi" w:hAnsiTheme="minorHAnsi" w:cs="Times New Roman"/>
          <w:b/>
          <w:bCs/>
          <w:color w:val="1F497D"/>
          <w:sz w:val="32"/>
          <w:szCs w:val="28"/>
        </w:rPr>
        <w:t>Veterans Benefits Administration</w:t>
      </w:r>
    </w:p>
    <w:tbl>
      <w:tblPr>
        <w:tblW w:w="14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530"/>
        <w:gridCol w:w="1260"/>
        <w:gridCol w:w="1980"/>
        <w:gridCol w:w="3600"/>
        <w:gridCol w:w="2700"/>
        <w:gridCol w:w="1566"/>
      </w:tblGrid>
      <w:tr w:rsidR="00E97CC0" w:rsidRPr="00D31E8B" w14:paraId="6FC6DB6B" w14:textId="77777777" w:rsidTr="008756DA">
        <w:trPr>
          <w:cantSplit/>
          <w:tblHeader/>
        </w:trPr>
        <w:tc>
          <w:tcPr>
            <w:tcW w:w="1908" w:type="dxa"/>
            <w:shd w:val="clear" w:color="auto" w:fill="auto"/>
          </w:tcPr>
          <w:p w14:paraId="477B3262" w14:textId="77777777" w:rsidR="00E97CC0" w:rsidRPr="005D0272" w:rsidRDefault="00E97CC0" w:rsidP="00767B1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5C48AC3F" w14:textId="77777777" w:rsidR="00E97CC0" w:rsidRPr="005D0272" w:rsidRDefault="00E97CC0" w:rsidP="00767B1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6E2C89BD" w14:textId="6B04D423" w:rsidR="00E97CC0" w:rsidRPr="00D31E8B" w:rsidRDefault="00E97CC0" w:rsidP="00767B1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VA Unit</w:t>
            </w:r>
          </w:p>
        </w:tc>
        <w:tc>
          <w:tcPr>
            <w:tcW w:w="1530" w:type="dxa"/>
            <w:shd w:val="clear" w:color="auto" w:fill="auto"/>
          </w:tcPr>
          <w:p w14:paraId="654DF16A" w14:textId="77777777" w:rsidR="00E97CC0" w:rsidRPr="005D0272" w:rsidRDefault="00E97CC0" w:rsidP="00767B1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7A336165" w14:textId="77777777" w:rsidR="00E97CC0" w:rsidRPr="005D0272" w:rsidRDefault="00E97CC0" w:rsidP="00767B1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4521829A" w14:textId="202C637E" w:rsidR="00E97CC0" w:rsidRPr="00D31E8B" w:rsidRDefault="00E97CC0" w:rsidP="00767B1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Total</w:t>
            </w: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 </w:t>
            </w: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# of Employees</w:t>
            </w:r>
          </w:p>
        </w:tc>
        <w:tc>
          <w:tcPr>
            <w:tcW w:w="1260" w:type="dxa"/>
          </w:tcPr>
          <w:p w14:paraId="50F6B871" w14:textId="0D89A34D" w:rsidR="00E97CC0" w:rsidRPr="00D31E8B" w:rsidRDefault="00E97CC0" w:rsidP="00767B1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# of Fully Funded (not subject to lapse; will continue to work)</w:t>
            </w:r>
          </w:p>
        </w:tc>
        <w:tc>
          <w:tcPr>
            <w:tcW w:w="1980" w:type="dxa"/>
            <w:shd w:val="clear" w:color="auto" w:fill="auto"/>
          </w:tcPr>
          <w:p w14:paraId="240E9ECB" w14:textId="67B86D91" w:rsidR="00E97CC0" w:rsidRPr="00D31E8B" w:rsidRDefault="00E97CC0" w:rsidP="00767B1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# of Excepted Employees (legal basis; will continue to work)</w:t>
            </w:r>
          </w:p>
        </w:tc>
        <w:tc>
          <w:tcPr>
            <w:tcW w:w="3600" w:type="dxa"/>
            <w:shd w:val="clear" w:color="auto" w:fill="auto"/>
          </w:tcPr>
          <w:p w14:paraId="0855BFEF" w14:textId="77777777" w:rsidR="00E97CC0" w:rsidRPr="005D0272" w:rsidRDefault="00E97CC0" w:rsidP="00767B1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5CB0E2A7" w14:textId="77777777" w:rsidR="00E97CC0" w:rsidRPr="005D0272" w:rsidRDefault="00E97CC0" w:rsidP="00767B1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67BBBA60" w14:textId="08F40EAB" w:rsidR="00E97CC0" w:rsidRPr="00D31E8B" w:rsidRDefault="00E97CC0" w:rsidP="00767B1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Legal Basis for Decision or Full Funding Source</w:t>
            </w:r>
          </w:p>
        </w:tc>
        <w:tc>
          <w:tcPr>
            <w:tcW w:w="2700" w:type="dxa"/>
            <w:shd w:val="clear" w:color="auto" w:fill="auto"/>
          </w:tcPr>
          <w:p w14:paraId="4E517B88" w14:textId="77777777" w:rsidR="00E97CC0" w:rsidRPr="005D0272" w:rsidRDefault="00E97CC0" w:rsidP="00767B1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26FCF6AF" w14:textId="77777777" w:rsidR="00E97CC0" w:rsidRPr="005D0272" w:rsidRDefault="00E97CC0" w:rsidP="00767B1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6428FA2F" w14:textId="51906F17" w:rsidR="00E97CC0" w:rsidRPr="00D31E8B" w:rsidRDefault="00E97CC0" w:rsidP="00767B1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Functions to be Performed</w:t>
            </w:r>
          </w:p>
        </w:tc>
        <w:tc>
          <w:tcPr>
            <w:tcW w:w="1566" w:type="dxa"/>
          </w:tcPr>
          <w:p w14:paraId="5988087D" w14:textId="77777777" w:rsidR="00E97CC0" w:rsidRPr="005D0272" w:rsidRDefault="00E97CC0" w:rsidP="00767B1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431DF82E" w14:textId="52BA8C62" w:rsidR="00E97CC0" w:rsidRPr="00D31E8B" w:rsidRDefault="00E97CC0" w:rsidP="00767B1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# of Non-Excepted Employees (subject to furlough)</w:t>
            </w:r>
          </w:p>
        </w:tc>
      </w:tr>
      <w:tr w:rsidR="00E97CC0" w:rsidRPr="00D31E8B" w14:paraId="63773212" w14:textId="77777777" w:rsidTr="00E97CC0">
        <w:trPr>
          <w:cantSplit/>
          <w:tblHeader/>
        </w:trPr>
        <w:tc>
          <w:tcPr>
            <w:tcW w:w="1908" w:type="dxa"/>
            <w:vMerge w:val="restart"/>
            <w:shd w:val="clear" w:color="auto" w:fill="auto"/>
          </w:tcPr>
          <w:p w14:paraId="3ADC887D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D31E8B">
              <w:rPr>
                <w:rFonts w:asciiTheme="minorHAnsi" w:eastAsia="Calibri" w:hAnsiTheme="minorHAnsi" w:cs="Arial"/>
                <w:b/>
                <w:sz w:val="20"/>
                <w:szCs w:val="20"/>
              </w:rPr>
              <w:t>Veterans Benefits Administration</w:t>
            </w:r>
          </w:p>
          <w:p w14:paraId="396CFD8D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  <w:p w14:paraId="2547D168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31E8B">
              <w:rPr>
                <w:rFonts w:asciiTheme="minorHAnsi" w:eastAsia="Calibri" w:hAnsiTheme="minorHAnsi" w:cs="Arial"/>
                <w:sz w:val="20"/>
                <w:szCs w:val="20"/>
              </w:rPr>
              <w:t>Administer the following benefit programs:</w:t>
            </w:r>
          </w:p>
          <w:p w14:paraId="4F394BB0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  <w:p w14:paraId="64196EA9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31E8B">
              <w:rPr>
                <w:rFonts w:asciiTheme="minorHAnsi" w:eastAsia="Calibri" w:hAnsiTheme="minorHAnsi" w:cs="Arial"/>
                <w:sz w:val="20"/>
                <w:szCs w:val="20"/>
              </w:rPr>
              <w:t>Compensation,</w:t>
            </w:r>
          </w:p>
          <w:p w14:paraId="3EB72D6D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31E8B">
              <w:rPr>
                <w:rFonts w:asciiTheme="minorHAnsi" w:eastAsia="Calibri" w:hAnsiTheme="minorHAnsi" w:cs="Arial"/>
                <w:sz w:val="20"/>
                <w:szCs w:val="20"/>
              </w:rPr>
              <w:t>Pension,</w:t>
            </w:r>
          </w:p>
          <w:p w14:paraId="145674E2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31E8B">
              <w:rPr>
                <w:rFonts w:asciiTheme="minorHAnsi" w:eastAsia="Calibri" w:hAnsiTheme="minorHAnsi" w:cs="Arial"/>
                <w:sz w:val="20"/>
                <w:szCs w:val="20"/>
              </w:rPr>
              <w:t>Education,</w:t>
            </w:r>
          </w:p>
          <w:p w14:paraId="53CEC41D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31E8B">
              <w:rPr>
                <w:rFonts w:asciiTheme="minorHAnsi" w:eastAsia="Calibri" w:hAnsiTheme="minorHAnsi" w:cs="Arial"/>
                <w:sz w:val="20"/>
                <w:szCs w:val="20"/>
              </w:rPr>
              <w:t>Vocational Rehabilitation &amp; Employment,</w:t>
            </w:r>
          </w:p>
          <w:p w14:paraId="3E466759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31E8B">
              <w:rPr>
                <w:rFonts w:asciiTheme="minorHAnsi" w:eastAsia="Calibri" w:hAnsiTheme="minorHAnsi" w:cs="Arial"/>
                <w:sz w:val="20"/>
                <w:szCs w:val="20"/>
              </w:rPr>
              <w:t>Loan Guaranty,</w:t>
            </w:r>
          </w:p>
          <w:p w14:paraId="2DF7A0DE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31E8B">
              <w:rPr>
                <w:rFonts w:asciiTheme="minorHAnsi" w:eastAsia="Calibri" w:hAnsiTheme="minorHAnsi" w:cs="Arial"/>
                <w:sz w:val="20"/>
                <w:szCs w:val="20"/>
              </w:rPr>
              <w:t>Insurance</w:t>
            </w:r>
          </w:p>
          <w:p w14:paraId="0FE32ED5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auto"/>
          </w:tcPr>
          <w:p w14:paraId="19884E1D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31E8B">
              <w:rPr>
                <w:rFonts w:asciiTheme="minorHAnsi" w:eastAsia="Calibri" w:hAnsiTheme="minorHAnsi" w:cs="Arial"/>
                <w:sz w:val="20"/>
                <w:szCs w:val="20"/>
              </w:rPr>
              <w:t>Total:  21,237</w:t>
            </w:r>
          </w:p>
          <w:p w14:paraId="1D2972DF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  <w:p w14:paraId="5A28A1A9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31E8B">
              <w:rPr>
                <w:rFonts w:asciiTheme="minorHAnsi" w:eastAsia="Calibri" w:hAnsiTheme="minorHAnsi" w:cs="Arial"/>
                <w:sz w:val="20"/>
                <w:szCs w:val="20"/>
              </w:rPr>
              <w:t>(Carryover funding supported all 21,237 thru Oct 7, 2013)</w:t>
            </w:r>
          </w:p>
          <w:p w14:paraId="63CEC9A0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  <w:p w14:paraId="0F19FB49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D31E8B"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Effective </w:t>
            </w:r>
          </w:p>
          <w:p w14:paraId="72C9D22B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31E8B">
              <w:rPr>
                <w:rFonts w:asciiTheme="minorHAnsi" w:eastAsia="Calibri" w:hAnsiTheme="minorHAnsi" w:cs="Arial"/>
                <w:b/>
                <w:sz w:val="20"/>
                <w:szCs w:val="20"/>
              </w:rPr>
              <w:t>Oct 8, 2013:</w:t>
            </w:r>
          </w:p>
          <w:p w14:paraId="4390B3BB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  <w:p w14:paraId="214BED5E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D31E8B">
              <w:rPr>
                <w:rFonts w:asciiTheme="minorHAnsi" w:eastAsia="Calibri" w:hAnsiTheme="minorHAnsi" w:cs="Arial"/>
                <w:b/>
                <w:sz w:val="20"/>
                <w:szCs w:val="20"/>
              </w:rPr>
              <w:t>Funded:</w:t>
            </w:r>
          </w:p>
          <w:p w14:paraId="78DE0038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D31E8B">
              <w:rPr>
                <w:rFonts w:asciiTheme="minorHAnsi" w:eastAsia="Calibri" w:hAnsiTheme="minorHAnsi" w:cs="Arial"/>
                <w:b/>
                <w:sz w:val="20"/>
                <w:szCs w:val="20"/>
              </w:rPr>
              <w:t>126</w:t>
            </w:r>
          </w:p>
          <w:p w14:paraId="77BB52B6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6860FF62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D31E8B">
              <w:rPr>
                <w:rFonts w:asciiTheme="minorHAnsi" w:eastAsia="Calibri" w:hAnsiTheme="minorHAnsi" w:cs="Arial"/>
                <w:b/>
                <w:sz w:val="20"/>
                <w:szCs w:val="20"/>
              </w:rPr>
              <w:t>Excepted:</w:t>
            </w:r>
          </w:p>
          <w:p w14:paraId="6C3248C3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D31E8B">
              <w:rPr>
                <w:rFonts w:asciiTheme="minorHAnsi" w:eastAsia="Calibri" w:hAnsiTheme="minorHAnsi" w:cs="Arial"/>
                <w:b/>
                <w:sz w:val="20"/>
                <w:szCs w:val="20"/>
              </w:rPr>
              <w:t>13,356</w:t>
            </w:r>
          </w:p>
          <w:p w14:paraId="601E4BD6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05503945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D31E8B">
              <w:rPr>
                <w:rFonts w:asciiTheme="minorHAnsi" w:eastAsia="Calibri" w:hAnsiTheme="minorHAnsi" w:cs="Arial"/>
                <w:b/>
                <w:sz w:val="20"/>
                <w:szCs w:val="20"/>
              </w:rPr>
              <w:t>Non-Excepted:</w:t>
            </w:r>
          </w:p>
          <w:p w14:paraId="71B1CE73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D31E8B">
              <w:rPr>
                <w:rFonts w:asciiTheme="minorHAnsi" w:eastAsia="Calibri" w:hAnsiTheme="minorHAnsi" w:cs="Arial"/>
                <w:b/>
                <w:sz w:val="20"/>
                <w:szCs w:val="20"/>
              </w:rPr>
              <w:t>7,755</w:t>
            </w:r>
          </w:p>
          <w:p w14:paraId="4D4A0F6E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  <w:p w14:paraId="2D3EE054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  <w:p w14:paraId="6030C989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AB07080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31E8B">
              <w:rPr>
                <w:rFonts w:asciiTheme="minorHAnsi" w:eastAsia="Calibri" w:hAnsiTheme="minorHAnsi" w:cs="Arial"/>
                <w:sz w:val="20"/>
                <w:szCs w:val="20"/>
              </w:rPr>
              <w:lastRenderedPageBreak/>
              <w:t>126 Insurance</w:t>
            </w:r>
          </w:p>
        </w:tc>
        <w:tc>
          <w:tcPr>
            <w:tcW w:w="1980" w:type="dxa"/>
            <w:shd w:val="clear" w:color="auto" w:fill="auto"/>
          </w:tcPr>
          <w:p w14:paraId="6DD8AF45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2CC8E2ED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31E8B">
              <w:rPr>
                <w:rFonts w:asciiTheme="minorHAnsi" w:eastAsia="Calibri" w:hAnsiTheme="minorHAnsi" w:cs="Arial"/>
                <w:sz w:val="20"/>
                <w:szCs w:val="20"/>
              </w:rPr>
              <w:t>Funded through Trust Fund Reimbursement</w:t>
            </w:r>
          </w:p>
        </w:tc>
        <w:tc>
          <w:tcPr>
            <w:tcW w:w="2700" w:type="dxa"/>
            <w:shd w:val="clear" w:color="auto" w:fill="auto"/>
          </w:tcPr>
          <w:p w14:paraId="31B6777D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31E8B">
              <w:rPr>
                <w:rFonts w:asciiTheme="minorHAnsi" w:eastAsia="Calibri" w:hAnsiTheme="minorHAnsi" w:cs="Arial"/>
                <w:sz w:val="20"/>
                <w:szCs w:val="20"/>
              </w:rPr>
              <w:t>Administer the Insurance Program</w:t>
            </w:r>
          </w:p>
          <w:p w14:paraId="4012C4A3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14:paraId="2B0E6CF8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31E8B">
              <w:rPr>
                <w:rFonts w:asciiTheme="minorHAnsi" w:eastAsia="Calibri" w:hAnsiTheme="minorHAnsi" w:cs="Arial"/>
                <w:sz w:val="20"/>
                <w:szCs w:val="20"/>
              </w:rPr>
              <w:t>0</w:t>
            </w:r>
          </w:p>
        </w:tc>
      </w:tr>
      <w:tr w:rsidR="00E97CC0" w:rsidRPr="00D31E8B" w14:paraId="434F789E" w14:textId="77777777" w:rsidTr="00E97CC0">
        <w:trPr>
          <w:cantSplit/>
          <w:tblHeader/>
        </w:trPr>
        <w:tc>
          <w:tcPr>
            <w:tcW w:w="1908" w:type="dxa"/>
            <w:vMerge/>
            <w:shd w:val="clear" w:color="auto" w:fill="auto"/>
          </w:tcPr>
          <w:p w14:paraId="6EC8BD6B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2617ACC1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54B3DC1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28D068E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31E8B">
              <w:rPr>
                <w:rFonts w:asciiTheme="minorHAnsi" w:eastAsia="Calibri" w:hAnsiTheme="minorHAnsi" w:cs="Arial"/>
                <w:sz w:val="20"/>
                <w:szCs w:val="20"/>
              </w:rPr>
              <w:t>181 Insurance</w:t>
            </w:r>
          </w:p>
        </w:tc>
        <w:tc>
          <w:tcPr>
            <w:tcW w:w="3600" w:type="dxa"/>
            <w:shd w:val="clear" w:color="auto" w:fill="auto"/>
          </w:tcPr>
          <w:p w14:paraId="57414F93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31E8B">
              <w:rPr>
                <w:rFonts w:asciiTheme="minorHAnsi" w:eastAsia="Calibri" w:hAnsiTheme="minorHAnsi" w:cs="Arial"/>
                <w:sz w:val="20"/>
                <w:szCs w:val="20"/>
              </w:rPr>
              <w:t xml:space="preserve">Necessary Implication – Funding available in the Insurance Trust Fund </w:t>
            </w:r>
          </w:p>
        </w:tc>
        <w:tc>
          <w:tcPr>
            <w:tcW w:w="2700" w:type="dxa"/>
            <w:shd w:val="clear" w:color="auto" w:fill="auto"/>
          </w:tcPr>
          <w:p w14:paraId="7F969A02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31E8B">
              <w:rPr>
                <w:rFonts w:asciiTheme="minorHAnsi" w:eastAsia="Calibri" w:hAnsiTheme="minorHAnsi" w:cs="Arial"/>
                <w:sz w:val="20"/>
                <w:szCs w:val="20"/>
              </w:rPr>
              <w:t>Administer the Insurance Program</w:t>
            </w:r>
          </w:p>
          <w:p w14:paraId="4F9F363D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  <w:p w14:paraId="29F09136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14:paraId="0CFF904C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31E8B">
              <w:rPr>
                <w:rFonts w:asciiTheme="minorHAnsi" w:eastAsia="Calibri" w:hAnsiTheme="minorHAnsi" w:cs="Arial"/>
                <w:sz w:val="20"/>
                <w:szCs w:val="20"/>
              </w:rPr>
              <w:t>0</w:t>
            </w:r>
          </w:p>
        </w:tc>
      </w:tr>
      <w:tr w:rsidR="00E97CC0" w:rsidRPr="00D31E8B" w14:paraId="1C73A1AB" w14:textId="77777777" w:rsidTr="00E97CC0">
        <w:trPr>
          <w:cantSplit/>
          <w:tblHeader/>
        </w:trPr>
        <w:tc>
          <w:tcPr>
            <w:tcW w:w="1908" w:type="dxa"/>
            <w:vMerge/>
            <w:shd w:val="clear" w:color="auto" w:fill="auto"/>
          </w:tcPr>
          <w:p w14:paraId="5AD32A67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720E858F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226BE7A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3662E02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31E8B">
              <w:rPr>
                <w:rFonts w:asciiTheme="minorHAnsi" w:eastAsia="Calibri" w:hAnsiTheme="minorHAnsi" w:cs="Arial"/>
                <w:sz w:val="20"/>
                <w:szCs w:val="20"/>
              </w:rPr>
              <w:t xml:space="preserve">801 Loan Guaranty </w:t>
            </w:r>
          </w:p>
        </w:tc>
        <w:tc>
          <w:tcPr>
            <w:tcW w:w="3600" w:type="dxa"/>
            <w:shd w:val="clear" w:color="auto" w:fill="auto"/>
          </w:tcPr>
          <w:p w14:paraId="51FFB47A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31E8B">
              <w:rPr>
                <w:rFonts w:asciiTheme="minorHAnsi" w:eastAsia="Calibri" w:hAnsiTheme="minorHAnsi" w:cs="Arial"/>
                <w:sz w:val="20"/>
                <w:szCs w:val="20"/>
              </w:rPr>
              <w:t xml:space="preserve">Authorized by Law, Necessary Implication, Protection of Property – Guaranteed loan financing account funded through Veterans’ fees; </w:t>
            </w:r>
            <w:r w:rsidRPr="00D31E8B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Federal Credit Reform Act, 2 U.S.C. § 661c, authorizes new guarantees; Property interests in portfolio loans, owned real estate, existing loan guaranties</w:t>
            </w:r>
          </w:p>
        </w:tc>
        <w:tc>
          <w:tcPr>
            <w:tcW w:w="2700" w:type="dxa"/>
            <w:shd w:val="clear" w:color="auto" w:fill="auto"/>
          </w:tcPr>
          <w:p w14:paraId="59BB9D89" w14:textId="77777777" w:rsidR="00E97CC0" w:rsidRPr="00D31E8B" w:rsidRDefault="00E97CC0" w:rsidP="00767B18">
            <w:pPr>
              <w:ind w:left="-18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31E8B">
              <w:rPr>
                <w:rFonts w:asciiTheme="minorHAnsi" w:eastAsia="Calibri" w:hAnsiTheme="minorHAnsi" w:cs="Arial"/>
                <w:sz w:val="20"/>
                <w:szCs w:val="20"/>
              </w:rPr>
              <w:t>Guarantee new home loans and administer the Loan Guaranty Program</w:t>
            </w:r>
            <w:r w:rsidRPr="00D31E8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</w:p>
          <w:p w14:paraId="0D977C38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14:paraId="078535F5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31E8B">
              <w:rPr>
                <w:rFonts w:asciiTheme="minorHAnsi" w:eastAsia="Calibri" w:hAnsiTheme="minorHAnsi" w:cs="Arial"/>
                <w:sz w:val="20"/>
                <w:szCs w:val="20"/>
              </w:rPr>
              <w:t>0</w:t>
            </w:r>
          </w:p>
        </w:tc>
      </w:tr>
      <w:tr w:rsidR="00E97CC0" w:rsidRPr="00D31E8B" w14:paraId="7A006ADA" w14:textId="77777777" w:rsidTr="00E97CC0">
        <w:trPr>
          <w:cantSplit/>
          <w:tblHeader/>
        </w:trPr>
        <w:tc>
          <w:tcPr>
            <w:tcW w:w="1908" w:type="dxa"/>
            <w:vMerge/>
            <w:shd w:val="clear" w:color="auto" w:fill="auto"/>
          </w:tcPr>
          <w:p w14:paraId="1B0DD04D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7BFCCFC5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CBBA271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55395DA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31E8B">
              <w:rPr>
                <w:rFonts w:asciiTheme="minorHAnsi" w:eastAsia="Calibri" w:hAnsiTheme="minorHAnsi" w:cs="Arial"/>
                <w:sz w:val="20"/>
                <w:szCs w:val="20"/>
              </w:rPr>
              <w:t>11,699</w:t>
            </w:r>
          </w:p>
          <w:p w14:paraId="62A8AD00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31E8B">
              <w:rPr>
                <w:rFonts w:asciiTheme="minorHAnsi" w:eastAsia="Calibri" w:hAnsiTheme="minorHAnsi" w:cs="Arial"/>
                <w:sz w:val="20"/>
                <w:szCs w:val="20"/>
              </w:rPr>
              <w:t xml:space="preserve">Compensation. Pension, Education, Vocational  Rehabilitation, </w:t>
            </w:r>
            <w:proofErr w:type="spellStart"/>
            <w:r w:rsidRPr="00D31E8B">
              <w:rPr>
                <w:rFonts w:asciiTheme="minorHAnsi" w:eastAsia="Calibri" w:hAnsiTheme="minorHAnsi" w:cs="Arial"/>
                <w:sz w:val="20"/>
                <w:szCs w:val="20"/>
              </w:rPr>
              <w:t>Mgt</w:t>
            </w:r>
            <w:proofErr w:type="spellEnd"/>
            <w:r w:rsidRPr="00D31E8B">
              <w:rPr>
                <w:rFonts w:asciiTheme="minorHAnsi" w:eastAsia="Calibri" w:hAnsiTheme="minorHAnsi" w:cs="Arial"/>
                <w:sz w:val="20"/>
                <w:szCs w:val="20"/>
              </w:rPr>
              <w:t xml:space="preserve">/Support Services </w:t>
            </w:r>
          </w:p>
        </w:tc>
        <w:tc>
          <w:tcPr>
            <w:tcW w:w="3600" w:type="dxa"/>
            <w:shd w:val="clear" w:color="auto" w:fill="auto"/>
          </w:tcPr>
          <w:p w14:paraId="7C01CCE9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31E8B">
              <w:rPr>
                <w:rFonts w:asciiTheme="minorHAnsi" w:eastAsia="Calibri" w:hAnsiTheme="minorHAnsi" w:cs="Arial"/>
                <w:sz w:val="20"/>
                <w:szCs w:val="20"/>
              </w:rPr>
              <w:t>Necessary Implication – Funding available in mandatory appropriations</w:t>
            </w:r>
          </w:p>
          <w:p w14:paraId="6C1F06C5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  <w:p w14:paraId="7D53A4A1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0CDFB871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31E8B">
              <w:rPr>
                <w:rFonts w:asciiTheme="minorHAnsi" w:eastAsia="Calibri" w:hAnsiTheme="minorHAnsi" w:cs="Arial"/>
                <w:sz w:val="20"/>
                <w:szCs w:val="20"/>
              </w:rPr>
              <w:t>Ongoing processing and payment of compensation, pension, education, and vocational rehabilitation benefits</w:t>
            </w:r>
          </w:p>
          <w:p w14:paraId="7DB37594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  <w:p w14:paraId="68B2A740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14:paraId="28C71F17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31E8B">
              <w:rPr>
                <w:rFonts w:asciiTheme="minorHAnsi" w:eastAsia="Calibri" w:hAnsiTheme="minorHAnsi" w:cs="Arial"/>
                <w:sz w:val="20"/>
                <w:szCs w:val="20"/>
              </w:rPr>
              <w:t>7,013</w:t>
            </w:r>
          </w:p>
        </w:tc>
      </w:tr>
      <w:tr w:rsidR="00E97CC0" w:rsidRPr="00D31E8B" w14:paraId="7E9910A2" w14:textId="77777777" w:rsidTr="00E97CC0">
        <w:trPr>
          <w:cantSplit/>
          <w:tblHeader/>
        </w:trPr>
        <w:tc>
          <w:tcPr>
            <w:tcW w:w="1908" w:type="dxa"/>
            <w:vMerge/>
            <w:shd w:val="clear" w:color="auto" w:fill="auto"/>
          </w:tcPr>
          <w:p w14:paraId="7D10218E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6EE4483B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6B4052E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3379865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31E8B">
              <w:rPr>
                <w:rFonts w:asciiTheme="minorHAnsi" w:eastAsia="Calibri" w:hAnsiTheme="minorHAnsi" w:cs="Arial"/>
                <w:sz w:val="20"/>
                <w:szCs w:val="20"/>
              </w:rPr>
              <w:t>605 National Call Centers</w:t>
            </w:r>
          </w:p>
          <w:p w14:paraId="06DE16A3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  <w:p w14:paraId="11172AAF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40CD4046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31E8B">
              <w:rPr>
                <w:rFonts w:asciiTheme="minorHAnsi" w:eastAsia="Calibri" w:hAnsiTheme="minorHAnsi" w:cs="Arial"/>
                <w:sz w:val="20"/>
                <w:szCs w:val="20"/>
              </w:rPr>
              <w:t>Protection of Property and Rights</w:t>
            </w:r>
          </w:p>
        </w:tc>
        <w:tc>
          <w:tcPr>
            <w:tcW w:w="2700" w:type="dxa"/>
            <w:shd w:val="clear" w:color="auto" w:fill="auto"/>
          </w:tcPr>
          <w:p w14:paraId="1D279DAD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31E8B">
              <w:rPr>
                <w:rFonts w:asciiTheme="minorHAnsi" w:eastAsia="Calibri" w:hAnsiTheme="minorHAnsi" w:cs="Arial"/>
                <w:sz w:val="20"/>
                <w:szCs w:val="20"/>
              </w:rPr>
              <w:t xml:space="preserve">Staff compensation and pension National Call Centers to protect dates of claim </w:t>
            </w:r>
          </w:p>
        </w:tc>
        <w:tc>
          <w:tcPr>
            <w:tcW w:w="1566" w:type="dxa"/>
          </w:tcPr>
          <w:p w14:paraId="13D8C8B9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31E8B">
              <w:rPr>
                <w:rFonts w:asciiTheme="minorHAnsi" w:eastAsia="Calibri" w:hAnsiTheme="minorHAnsi" w:cs="Arial"/>
                <w:sz w:val="20"/>
                <w:szCs w:val="20"/>
              </w:rPr>
              <w:t>116</w:t>
            </w:r>
          </w:p>
        </w:tc>
      </w:tr>
      <w:tr w:rsidR="00E97CC0" w:rsidRPr="00D31E8B" w14:paraId="7AC1BDE6" w14:textId="77777777" w:rsidTr="00E97CC0">
        <w:trPr>
          <w:cantSplit/>
          <w:tblHeader/>
        </w:trPr>
        <w:tc>
          <w:tcPr>
            <w:tcW w:w="1908" w:type="dxa"/>
            <w:vMerge/>
            <w:shd w:val="clear" w:color="auto" w:fill="auto"/>
          </w:tcPr>
          <w:p w14:paraId="5120163B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5701A72E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5777011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2132CA6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31E8B">
              <w:rPr>
                <w:rFonts w:asciiTheme="minorHAnsi" w:eastAsia="Calibri" w:hAnsiTheme="minorHAnsi" w:cs="Arial"/>
                <w:sz w:val="20"/>
                <w:szCs w:val="20"/>
              </w:rPr>
              <w:t>11 Finance Center</w:t>
            </w:r>
          </w:p>
        </w:tc>
        <w:tc>
          <w:tcPr>
            <w:tcW w:w="3600" w:type="dxa"/>
            <w:shd w:val="clear" w:color="auto" w:fill="auto"/>
          </w:tcPr>
          <w:p w14:paraId="34A48225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31E8B">
              <w:rPr>
                <w:rFonts w:asciiTheme="minorHAnsi" w:eastAsia="Calibri" w:hAnsiTheme="minorHAnsi" w:cs="Arial"/>
                <w:sz w:val="20"/>
                <w:szCs w:val="20"/>
              </w:rPr>
              <w:t xml:space="preserve">Necessary Implication – Funding available in mandatory appropriations </w:t>
            </w:r>
          </w:p>
        </w:tc>
        <w:tc>
          <w:tcPr>
            <w:tcW w:w="2700" w:type="dxa"/>
            <w:shd w:val="clear" w:color="auto" w:fill="auto"/>
          </w:tcPr>
          <w:p w14:paraId="262194DF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31E8B">
              <w:rPr>
                <w:rFonts w:asciiTheme="minorHAnsi" w:eastAsia="Calibri" w:hAnsiTheme="minorHAnsi" w:cs="Arial"/>
                <w:sz w:val="20"/>
                <w:szCs w:val="20"/>
              </w:rPr>
              <w:t xml:space="preserve">Process benefit payments </w:t>
            </w:r>
          </w:p>
        </w:tc>
        <w:tc>
          <w:tcPr>
            <w:tcW w:w="1566" w:type="dxa"/>
          </w:tcPr>
          <w:p w14:paraId="7158E7CE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31E8B">
              <w:rPr>
                <w:rFonts w:asciiTheme="minorHAnsi" w:eastAsia="Calibri" w:hAnsiTheme="minorHAnsi" w:cs="Arial"/>
                <w:sz w:val="20"/>
                <w:szCs w:val="20"/>
              </w:rPr>
              <w:t>59</w:t>
            </w:r>
          </w:p>
        </w:tc>
      </w:tr>
      <w:tr w:rsidR="00E97CC0" w:rsidRPr="00D31E8B" w14:paraId="5C158029" w14:textId="77777777" w:rsidTr="00E97CC0">
        <w:trPr>
          <w:cantSplit/>
          <w:tblHeader/>
        </w:trPr>
        <w:tc>
          <w:tcPr>
            <w:tcW w:w="1908" w:type="dxa"/>
            <w:vMerge/>
            <w:shd w:val="clear" w:color="auto" w:fill="auto"/>
          </w:tcPr>
          <w:p w14:paraId="759F0854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710F6E62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80A86C8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6E19720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31E8B">
              <w:rPr>
                <w:rFonts w:asciiTheme="minorHAnsi" w:eastAsia="Calibri" w:hAnsiTheme="minorHAnsi" w:cs="Arial"/>
                <w:sz w:val="20"/>
                <w:szCs w:val="20"/>
              </w:rPr>
              <w:t>59 VBA Headquarters</w:t>
            </w:r>
          </w:p>
        </w:tc>
        <w:tc>
          <w:tcPr>
            <w:tcW w:w="3600" w:type="dxa"/>
            <w:shd w:val="clear" w:color="auto" w:fill="auto"/>
          </w:tcPr>
          <w:p w14:paraId="576F72D3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31E8B">
              <w:rPr>
                <w:rFonts w:asciiTheme="minorHAnsi" w:eastAsia="Calibri" w:hAnsiTheme="minorHAnsi" w:cs="Arial"/>
                <w:sz w:val="20"/>
                <w:szCs w:val="20"/>
              </w:rPr>
              <w:t>Necessary Implication – Funding available in mandatory appropriations</w:t>
            </w:r>
          </w:p>
          <w:p w14:paraId="6994FE70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  <w:p w14:paraId="13F1FD36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31E8B">
              <w:rPr>
                <w:rFonts w:asciiTheme="minorHAnsi" w:eastAsia="Calibri" w:hAnsiTheme="minorHAnsi" w:cs="Arial"/>
                <w:sz w:val="20"/>
                <w:szCs w:val="20"/>
              </w:rPr>
              <w:t>Protection of Property and Rights</w:t>
            </w:r>
          </w:p>
        </w:tc>
        <w:tc>
          <w:tcPr>
            <w:tcW w:w="2700" w:type="dxa"/>
            <w:shd w:val="clear" w:color="auto" w:fill="auto"/>
          </w:tcPr>
          <w:p w14:paraId="458BB105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31E8B">
              <w:rPr>
                <w:rFonts w:asciiTheme="minorHAnsi" w:eastAsia="Calibri" w:hAnsiTheme="minorHAnsi" w:cs="Arial"/>
                <w:sz w:val="20"/>
                <w:szCs w:val="20"/>
              </w:rPr>
              <w:t>Support to RO claims processing</w:t>
            </w:r>
          </w:p>
          <w:p w14:paraId="1B12F3B2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  <w:p w14:paraId="411BB633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31E8B">
              <w:rPr>
                <w:rFonts w:asciiTheme="minorHAnsi" w:eastAsia="Calibri" w:hAnsiTheme="minorHAnsi" w:cs="Arial"/>
                <w:sz w:val="20"/>
                <w:szCs w:val="20"/>
              </w:rPr>
              <w:t>Orderly shutdown activities, communications, triage requests, oversee excepted employees, recall employees, etc.</w:t>
            </w:r>
          </w:p>
        </w:tc>
        <w:tc>
          <w:tcPr>
            <w:tcW w:w="1566" w:type="dxa"/>
          </w:tcPr>
          <w:p w14:paraId="5F29A7C1" w14:textId="77777777" w:rsidR="00E97CC0" w:rsidRPr="00D31E8B" w:rsidRDefault="00E97CC0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31E8B">
              <w:rPr>
                <w:rFonts w:asciiTheme="minorHAnsi" w:eastAsia="Calibri" w:hAnsiTheme="minorHAnsi" w:cs="Arial"/>
                <w:sz w:val="20"/>
                <w:szCs w:val="20"/>
              </w:rPr>
              <w:t>567</w:t>
            </w:r>
          </w:p>
        </w:tc>
      </w:tr>
    </w:tbl>
    <w:p w14:paraId="1A6D4408" w14:textId="77777777" w:rsidR="00FE3A38" w:rsidRDefault="00FE3A38">
      <w:pPr>
        <w:spacing w:before="0" w:after="0"/>
        <w:rPr>
          <w:rFonts w:asciiTheme="minorHAnsi" w:hAnsiTheme="minorHAnsi" w:cs="Times New Roman"/>
          <w:b/>
          <w:bCs/>
          <w:color w:val="1F497D"/>
          <w:sz w:val="32"/>
          <w:szCs w:val="28"/>
        </w:rPr>
      </w:pPr>
      <w:r>
        <w:rPr>
          <w:rFonts w:asciiTheme="minorHAnsi" w:hAnsiTheme="minorHAnsi" w:cs="Times New Roman"/>
          <w:b/>
          <w:bCs/>
          <w:color w:val="1F497D"/>
          <w:sz w:val="32"/>
          <w:szCs w:val="28"/>
        </w:rPr>
        <w:br w:type="page"/>
      </w:r>
    </w:p>
    <w:p w14:paraId="3DB6F264" w14:textId="5B605A18" w:rsidR="002F3378" w:rsidRPr="00D41575" w:rsidRDefault="002F3378" w:rsidP="00D41575">
      <w:pPr>
        <w:rPr>
          <w:rFonts w:asciiTheme="minorHAnsi" w:hAnsiTheme="minorHAnsi" w:cs="Times New Roman"/>
          <w:b/>
          <w:bCs/>
          <w:color w:val="1F497D"/>
          <w:sz w:val="32"/>
          <w:szCs w:val="28"/>
        </w:rPr>
      </w:pPr>
      <w:r w:rsidRPr="00D41575">
        <w:rPr>
          <w:rFonts w:asciiTheme="minorHAnsi" w:hAnsiTheme="minorHAnsi" w:cs="Times New Roman"/>
          <w:b/>
          <w:bCs/>
          <w:color w:val="1F497D"/>
          <w:sz w:val="32"/>
          <w:szCs w:val="28"/>
        </w:rPr>
        <w:lastRenderedPageBreak/>
        <w:t>National Cemetery Administration</w:t>
      </w:r>
    </w:p>
    <w:tbl>
      <w:tblPr>
        <w:tblW w:w="14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1601"/>
        <w:gridCol w:w="1402"/>
        <w:gridCol w:w="1456"/>
        <w:gridCol w:w="2864"/>
        <w:gridCol w:w="3420"/>
        <w:gridCol w:w="2016"/>
      </w:tblGrid>
      <w:tr w:rsidR="004342D3" w:rsidRPr="008F69DA" w14:paraId="376950CE" w14:textId="77777777" w:rsidTr="00767B18">
        <w:tc>
          <w:tcPr>
            <w:tcW w:w="1785" w:type="dxa"/>
            <w:shd w:val="clear" w:color="auto" w:fill="auto"/>
          </w:tcPr>
          <w:p w14:paraId="5012AB48" w14:textId="77777777" w:rsidR="004342D3" w:rsidRPr="005D0272" w:rsidRDefault="004342D3" w:rsidP="00767B1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7741C5D7" w14:textId="77777777" w:rsidR="004342D3" w:rsidRPr="005D0272" w:rsidRDefault="004342D3" w:rsidP="00767B1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1B516CB1" w14:textId="314FBD65" w:rsidR="004342D3" w:rsidRPr="0045216D" w:rsidRDefault="004342D3" w:rsidP="00767B1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VA Unit</w:t>
            </w:r>
          </w:p>
        </w:tc>
        <w:tc>
          <w:tcPr>
            <w:tcW w:w="1601" w:type="dxa"/>
            <w:shd w:val="clear" w:color="auto" w:fill="auto"/>
          </w:tcPr>
          <w:p w14:paraId="344E2A49" w14:textId="77777777" w:rsidR="004342D3" w:rsidRPr="005D0272" w:rsidRDefault="004342D3" w:rsidP="00767B1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35B911E7" w14:textId="77777777" w:rsidR="004342D3" w:rsidRPr="005D0272" w:rsidRDefault="004342D3" w:rsidP="00767B1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377FB387" w14:textId="17F0AD87" w:rsidR="004342D3" w:rsidRPr="0045216D" w:rsidRDefault="004342D3" w:rsidP="00767B1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Total</w:t>
            </w: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 </w:t>
            </w: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# of Employees</w:t>
            </w:r>
          </w:p>
        </w:tc>
        <w:tc>
          <w:tcPr>
            <w:tcW w:w="1402" w:type="dxa"/>
          </w:tcPr>
          <w:p w14:paraId="480E0DD5" w14:textId="68558866" w:rsidR="004342D3" w:rsidRPr="0045216D" w:rsidRDefault="004342D3" w:rsidP="00767B1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# of Fully Funded (not subject to lapse; will continue to work)</w:t>
            </w:r>
          </w:p>
        </w:tc>
        <w:tc>
          <w:tcPr>
            <w:tcW w:w="1456" w:type="dxa"/>
            <w:shd w:val="clear" w:color="auto" w:fill="auto"/>
          </w:tcPr>
          <w:p w14:paraId="5E357AFF" w14:textId="2ED74D41" w:rsidR="004342D3" w:rsidRPr="0045216D" w:rsidRDefault="004342D3" w:rsidP="00767B1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# of Excepted Employees (legal basis; will continue to work)</w:t>
            </w:r>
          </w:p>
        </w:tc>
        <w:tc>
          <w:tcPr>
            <w:tcW w:w="2864" w:type="dxa"/>
            <w:shd w:val="clear" w:color="auto" w:fill="auto"/>
          </w:tcPr>
          <w:p w14:paraId="79769142" w14:textId="77777777" w:rsidR="004342D3" w:rsidRPr="005D0272" w:rsidRDefault="004342D3" w:rsidP="00767B1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54AF9752" w14:textId="77777777" w:rsidR="004342D3" w:rsidRPr="005D0272" w:rsidRDefault="004342D3" w:rsidP="00767B1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122AF9FA" w14:textId="6F4D18DA" w:rsidR="004342D3" w:rsidRPr="0045216D" w:rsidRDefault="004342D3" w:rsidP="00767B1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Legal Basis for Decision or Full Funding Source</w:t>
            </w:r>
          </w:p>
        </w:tc>
        <w:tc>
          <w:tcPr>
            <w:tcW w:w="3420" w:type="dxa"/>
            <w:shd w:val="clear" w:color="auto" w:fill="auto"/>
          </w:tcPr>
          <w:p w14:paraId="74A91C03" w14:textId="77777777" w:rsidR="004342D3" w:rsidRPr="005D0272" w:rsidRDefault="004342D3" w:rsidP="00767B1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16A4A3CA" w14:textId="77777777" w:rsidR="004342D3" w:rsidRPr="005D0272" w:rsidRDefault="004342D3" w:rsidP="00767B1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5C359512" w14:textId="452C4A3C" w:rsidR="004342D3" w:rsidRPr="0045216D" w:rsidRDefault="004342D3" w:rsidP="00767B1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Functions to be Performed</w:t>
            </w:r>
          </w:p>
        </w:tc>
        <w:tc>
          <w:tcPr>
            <w:tcW w:w="2016" w:type="dxa"/>
          </w:tcPr>
          <w:p w14:paraId="66D1261F" w14:textId="77777777" w:rsidR="004342D3" w:rsidRPr="005D0272" w:rsidRDefault="004342D3" w:rsidP="00767B1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2B03448B" w14:textId="00B05246" w:rsidR="004342D3" w:rsidRPr="0045216D" w:rsidRDefault="004342D3" w:rsidP="00767B1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# of Non-Excepted Employees (subject to furlough)</w:t>
            </w:r>
          </w:p>
        </w:tc>
      </w:tr>
      <w:tr w:rsidR="004342D3" w:rsidRPr="008F69DA" w14:paraId="5EB987EA" w14:textId="77777777" w:rsidTr="00767B18">
        <w:trPr>
          <w:cantSplit/>
        </w:trPr>
        <w:tc>
          <w:tcPr>
            <w:tcW w:w="1785" w:type="dxa"/>
            <w:shd w:val="clear" w:color="auto" w:fill="auto"/>
          </w:tcPr>
          <w:p w14:paraId="5E4DAD2D" w14:textId="77777777" w:rsidR="004342D3" w:rsidRPr="0045216D" w:rsidRDefault="004342D3" w:rsidP="00767B1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5216D">
              <w:rPr>
                <w:rFonts w:asciiTheme="minorHAnsi" w:eastAsia="Calibri" w:hAnsiTheme="minorHAnsi" w:cs="Arial"/>
                <w:sz w:val="20"/>
                <w:szCs w:val="20"/>
              </w:rPr>
              <w:t>NCA</w:t>
            </w:r>
          </w:p>
          <w:p w14:paraId="64F975FB" w14:textId="77777777" w:rsidR="004342D3" w:rsidRPr="0045216D" w:rsidRDefault="004342D3" w:rsidP="00767B18">
            <w:pPr>
              <w:spacing w:line="320" w:lineRule="atLeast"/>
              <w:contextualSpacing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14:paraId="513007D5" w14:textId="77777777" w:rsidR="004342D3" w:rsidRPr="0045216D" w:rsidRDefault="004342D3" w:rsidP="00767B18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45216D">
              <w:rPr>
                <w:rFonts w:asciiTheme="minorHAnsi" w:eastAsia="Calibri" w:hAnsiTheme="minorHAnsi" w:cs="Arial"/>
                <w:sz w:val="20"/>
                <w:szCs w:val="20"/>
              </w:rPr>
              <w:t>1,796</w:t>
            </w:r>
          </w:p>
        </w:tc>
        <w:tc>
          <w:tcPr>
            <w:tcW w:w="1402" w:type="dxa"/>
          </w:tcPr>
          <w:p w14:paraId="3AA95490" w14:textId="77777777" w:rsidR="004342D3" w:rsidRPr="0045216D" w:rsidRDefault="004342D3" w:rsidP="00767B18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45216D">
              <w:rPr>
                <w:rFonts w:asciiTheme="minorHAnsi" w:eastAsia="Calibri" w:hAnsiTheme="minorHAnsi" w:cs="Arial"/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</w:tcPr>
          <w:p w14:paraId="0D1DFE85" w14:textId="77777777" w:rsidR="004342D3" w:rsidRPr="0045216D" w:rsidRDefault="004342D3" w:rsidP="00767B18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45216D">
              <w:rPr>
                <w:rFonts w:asciiTheme="minorHAnsi" w:eastAsia="Calibri" w:hAnsiTheme="minorHAnsi" w:cs="Arial"/>
                <w:sz w:val="20"/>
                <w:szCs w:val="20"/>
              </w:rPr>
              <w:t>755</w:t>
            </w:r>
          </w:p>
        </w:tc>
        <w:tc>
          <w:tcPr>
            <w:tcW w:w="2864" w:type="dxa"/>
            <w:shd w:val="clear" w:color="auto" w:fill="auto"/>
          </w:tcPr>
          <w:p w14:paraId="52B9DE80" w14:textId="77777777" w:rsidR="004342D3" w:rsidRPr="0045216D" w:rsidRDefault="004342D3" w:rsidP="00767B1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45216D">
              <w:rPr>
                <w:rFonts w:asciiTheme="minorHAnsi" w:eastAsia="Calibri" w:hAnsiTheme="minorHAnsi" w:cs="Arial"/>
                <w:sz w:val="20"/>
                <w:szCs w:val="20"/>
              </w:rPr>
              <w:t>Protection of life and property; for processing applications for headstones and markers, funding provided by VBA compensation and pension</w:t>
            </w:r>
          </w:p>
        </w:tc>
        <w:tc>
          <w:tcPr>
            <w:tcW w:w="3420" w:type="dxa"/>
            <w:shd w:val="clear" w:color="auto" w:fill="auto"/>
          </w:tcPr>
          <w:p w14:paraId="3F99B874" w14:textId="77777777" w:rsidR="004342D3" w:rsidRPr="0045216D" w:rsidRDefault="004342D3" w:rsidP="004342D3">
            <w:pPr>
              <w:pStyle w:val="ListParagraph"/>
              <w:numPr>
                <w:ilvl w:val="0"/>
                <w:numId w:val="31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45216D">
              <w:rPr>
                <w:rFonts w:asciiTheme="minorHAnsi" w:eastAsia="Calibri" w:hAnsiTheme="minorHAnsi" w:cs="Arial"/>
                <w:sz w:val="20"/>
                <w:szCs w:val="20"/>
              </w:rPr>
              <w:t>Burials (672 excepted)</w:t>
            </w:r>
          </w:p>
          <w:p w14:paraId="07461FD2" w14:textId="77777777" w:rsidR="004342D3" w:rsidRPr="0045216D" w:rsidRDefault="004342D3" w:rsidP="004342D3">
            <w:pPr>
              <w:pStyle w:val="ListParagraph"/>
              <w:numPr>
                <w:ilvl w:val="0"/>
                <w:numId w:val="31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45216D">
              <w:rPr>
                <w:rFonts w:asciiTheme="minorHAnsi" w:eastAsia="Calibri" w:hAnsiTheme="minorHAnsi" w:cs="Arial"/>
                <w:sz w:val="20"/>
                <w:szCs w:val="20"/>
              </w:rPr>
              <w:t>Process Applications for headstone and markers (33 excepted)</w:t>
            </w:r>
          </w:p>
          <w:p w14:paraId="283F816C" w14:textId="77777777" w:rsidR="004342D3" w:rsidRPr="0045216D" w:rsidRDefault="004342D3" w:rsidP="004342D3">
            <w:pPr>
              <w:pStyle w:val="ListParagraph"/>
              <w:numPr>
                <w:ilvl w:val="0"/>
                <w:numId w:val="31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45216D">
              <w:rPr>
                <w:rFonts w:asciiTheme="minorHAnsi" w:eastAsia="Calibri" w:hAnsiTheme="minorHAnsi" w:cs="Arial"/>
                <w:sz w:val="20"/>
                <w:szCs w:val="20"/>
              </w:rPr>
              <w:t>First Notice of Death (9 excepted)</w:t>
            </w:r>
          </w:p>
          <w:p w14:paraId="2754E6AD" w14:textId="77777777" w:rsidR="004342D3" w:rsidRPr="0045216D" w:rsidRDefault="004342D3" w:rsidP="004342D3">
            <w:pPr>
              <w:pStyle w:val="ListParagraph"/>
              <w:numPr>
                <w:ilvl w:val="0"/>
                <w:numId w:val="31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45216D">
              <w:rPr>
                <w:rFonts w:asciiTheme="minorHAnsi" w:eastAsia="Calibri" w:hAnsiTheme="minorHAnsi" w:cs="Arial"/>
                <w:sz w:val="20"/>
                <w:szCs w:val="20"/>
              </w:rPr>
              <w:t>Oversight and Administration (41 excepted)</w:t>
            </w:r>
          </w:p>
        </w:tc>
        <w:tc>
          <w:tcPr>
            <w:tcW w:w="2016" w:type="dxa"/>
          </w:tcPr>
          <w:p w14:paraId="7F223789" w14:textId="77777777" w:rsidR="004342D3" w:rsidRPr="0045216D" w:rsidRDefault="004342D3" w:rsidP="00767B18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45216D">
              <w:rPr>
                <w:rFonts w:asciiTheme="minorHAnsi" w:eastAsia="Calibri" w:hAnsiTheme="minorHAnsi" w:cs="Arial"/>
                <w:sz w:val="20"/>
                <w:szCs w:val="20"/>
              </w:rPr>
              <w:t>1,041</w:t>
            </w:r>
          </w:p>
        </w:tc>
      </w:tr>
    </w:tbl>
    <w:p w14:paraId="145252AE" w14:textId="77777777" w:rsidR="002F3378" w:rsidRDefault="002F3378">
      <w:pPr>
        <w:spacing w:before="0" w:after="0"/>
        <w:rPr>
          <w:rFonts w:ascii="Arial Narrow Bold" w:hAnsi="Arial Narrow Bold" w:cs="Times New Roman"/>
          <w:b/>
          <w:bCs/>
          <w:color w:val="1F497D"/>
          <w:kern w:val="32"/>
          <w:sz w:val="36"/>
          <w:szCs w:val="32"/>
        </w:rPr>
      </w:pPr>
      <w:r>
        <w:rPr>
          <w:rFonts w:ascii="Arial Narrow Bold" w:hAnsi="Arial Narrow Bold" w:cs="Times New Roman"/>
          <w:b/>
          <w:bCs/>
          <w:color w:val="1F497D"/>
          <w:kern w:val="32"/>
          <w:sz w:val="36"/>
          <w:szCs w:val="32"/>
        </w:rPr>
        <w:br w:type="page"/>
      </w:r>
    </w:p>
    <w:p w14:paraId="3DB6F2EF" w14:textId="07F5FE98" w:rsidR="002F3378" w:rsidRPr="00D41575" w:rsidRDefault="002F3378" w:rsidP="00D41575">
      <w:pPr>
        <w:rPr>
          <w:rFonts w:asciiTheme="minorHAnsi" w:hAnsiTheme="minorHAnsi" w:cs="Times New Roman"/>
          <w:b/>
          <w:bCs/>
          <w:color w:val="1F497D"/>
          <w:sz w:val="32"/>
          <w:szCs w:val="28"/>
        </w:rPr>
      </w:pPr>
      <w:r w:rsidRPr="00D41575">
        <w:rPr>
          <w:rFonts w:asciiTheme="minorHAnsi" w:hAnsiTheme="minorHAnsi" w:cs="Times New Roman"/>
          <w:b/>
          <w:bCs/>
          <w:color w:val="1F497D"/>
          <w:sz w:val="32"/>
          <w:szCs w:val="28"/>
        </w:rPr>
        <w:lastRenderedPageBreak/>
        <w:t>Office of Information Technology</w:t>
      </w:r>
    </w:p>
    <w:tbl>
      <w:tblPr>
        <w:tblW w:w="14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1601"/>
        <w:gridCol w:w="1762"/>
        <w:gridCol w:w="1440"/>
        <w:gridCol w:w="1890"/>
        <w:gridCol w:w="4050"/>
        <w:gridCol w:w="2016"/>
      </w:tblGrid>
      <w:tr w:rsidR="00B86988" w:rsidRPr="00B42F5C" w14:paraId="07AC644B" w14:textId="77777777" w:rsidTr="00C2294F">
        <w:tc>
          <w:tcPr>
            <w:tcW w:w="1785" w:type="dxa"/>
            <w:shd w:val="clear" w:color="auto" w:fill="auto"/>
          </w:tcPr>
          <w:p w14:paraId="384A5DA7" w14:textId="77777777" w:rsidR="00B86988" w:rsidRPr="005D0272" w:rsidRDefault="00B86988" w:rsidP="00C2294F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17F79C19" w14:textId="77777777" w:rsidR="00B86988" w:rsidRPr="005D0272" w:rsidRDefault="00B86988" w:rsidP="00C2294F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7A8C61BD" w14:textId="112C290D" w:rsidR="00B86988" w:rsidRPr="00B42F5C" w:rsidRDefault="00B86988" w:rsidP="00C2294F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VA Unit</w:t>
            </w:r>
          </w:p>
        </w:tc>
        <w:tc>
          <w:tcPr>
            <w:tcW w:w="1601" w:type="dxa"/>
            <w:shd w:val="clear" w:color="auto" w:fill="auto"/>
          </w:tcPr>
          <w:p w14:paraId="4A3B06D8" w14:textId="77777777" w:rsidR="00B86988" w:rsidRPr="005D0272" w:rsidRDefault="00B86988" w:rsidP="00C2294F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558268C8" w14:textId="77777777" w:rsidR="00B86988" w:rsidRPr="005D0272" w:rsidRDefault="00B86988" w:rsidP="00C2294F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5A710CD3" w14:textId="06FA921B" w:rsidR="00B86988" w:rsidRPr="00B42F5C" w:rsidRDefault="00B86988" w:rsidP="00C2294F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Total</w:t>
            </w: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 </w:t>
            </w: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# of Employees</w:t>
            </w:r>
          </w:p>
        </w:tc>
        <w:tc>
          <w:tcPr>
            <w:tcW w:w="1762" w:type="dxa"/>
          </w:tcPr>
          <w:p w14:paraId="46599AA7" w14:textId="55C3DA4B" w:rsidR="00B86988" w:rsidRPr="00B42F5C" w:rsidRDefault="00B86988" w:rsidP="00C2294F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# of Fully Funded (not subject to lapse; will continue to work)</w:t>
            </w:r>
          </w:p>
        </w:tc>
        <w:tc>
          <w:tcPr>
            <w:tcW w:w="1440" w:type="dxa"/>
            <w:shd w:val="clear" w:color="auto" w:fill="auto"/>
          </w:tcPr>
          <w:p w14:paraId="768EC6BE" w14:textId="1B0F6160" w:rsidR="00B86988" w:rsidRPr="00B42F5C" w:rsidRDefault="00B86988" w:rsidP="00C2294F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# of Excepted Employees (legal basis; will continue to work)</w:t>
            </w:r>
          </w:p>
        </w:tc>
        <w:tc>
          <w:tcPr>
            <w:tcW w:w="1890" w:type="dxa"/>
            <w:shd w:val="clear" w:color="auto" w:fill="auto"/>
          </w:tcPr>
          <w:p w14:paraId="7166FB0E" w14:textId="77777777" w:rsidR="00B86988" w:rsidRPr="005D0272" w:rsidRDefault="00B86988" w:rsidP="00C2294F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16BA3D5A" w14:textId="77777777" w:rsidR="00B86988" w:rsidRPr="005D0272" w:rsidRDefault="00B86988" w:rsidP="00C2294F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0D36B4BE" w14:textId="01D06384" w:rsidR="00B86988" w:rsidRPr="00B42F5C" w:rsidRDefault="00B86988" w:rsidP="00C2294F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Legal Basis for Decision or Full Funding Source</w:t>
            </w:r>
          </w:p>
        </w:tc>
        <w:tc>
          <w:tcPr>
            <w:tcW w:w="4050" w:type="dxa"/>
            <w:shd w:val="clear" w:color="auto" w:fill="auto"/>
          </w:tcPr>
          <w:p w14:paraId="6A092155" w14:textId="77777777" w:rsidR="00B86988" w:rsidRPr="005D0272" w:rsidRDefault="00B86988" w:rsidP="00C2294F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7B50AC71" w14:textId="77777777" w:rsidR="00B86988" w:rsidRPr="005D0272" w:rsidRDefault="00B86988" w:rsidP="00C2294F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17419AF9" w14:textId="60F460D6" w:rsidR="00B86988" w:rsidRPr="00B42F5C" w:rsidRDefault="00B86988" w:rsidP="00C2294F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Functions to be Performed</w:t>
            </w:r>
          </w:p>
        </w:tc>
        <w:tc>
          <w:tcPr>
            <w:tcW w:w="2016" w:type="dxa"/>
          </w:tcPr>
          <w:p w14:paraId="532F411B" w14:textId="77777777" w:rsidR="00B86988" w:rsidRPr="005D0272" w:rsidRDefault="00B86988" w:rsidP="00C2294F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7051A824" w14:textId="56E18FAF" w:rsidR="00B86988" w:rsidRPr="00B42F5C" w:rsidRDefault="00B86988" w:rsidP="00C2294F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# of Non-Excepted Employees (subject to furlough)</w:t>
            </w:r>
          </w:p>
        </w:tc>
      </w:tr>
      <w:tr w:rsidR="00B86988" w:rsidRPr="00B42F5C" w14:paraId="479F7D95" w14:textId="77777777" w:rsidTr="00C2294F">
        <w:trPr>
          <w:cantSplit/>
        </w:trPr>
        <w:tc>
          <w:tcPr>
            <w:tcW w:w="1785" w:type="dxa"/>
            <w:vMerge w:val="restart"/>
            <w:shd w:val="clear" w:color="auto" w:fill="auto"/>
          </w:tcPr>
          <w:p w14:paraId="7B90446B" w14:textId="77777777" w:rsidR="00B86988" w:rsidRPr="00B42F5C" w:rsidRDefault="00B86988" w:rsidP="00C2294F">
            <w:pPr>
              <w:rPr>
                <w:rFonts w:asciiTheme="minorHAnsi" w:hAnsiTheme="minorHAnsi"/>
                <w:sz w:val="20"/>
                <w:szCs w:val="20"/>
              </w:rPr>
            </w:pPr>
            <w:r w:rsidRPr="00B42F5C">
              <w:rPr>
                <w:rFonts w:asciiTheme="minorHAnsi" w:hAnsiTheme="minorHAnsi"/>
                <w:sz w:val="20"/>
                <w:szCs w:val="20"/>
              </w:rPr>
              <w:t>The Office of Information and Technology (OIT) has lines of business that include: quality, performance and oversight; information security; architecture strategy and design; product development; service delivery and engineering; and IT resource management.</w:t>
            </w:r>
          </w:p>
        </w:tc>
        <w:tc>
          <w:tcPr>
            <w:tcW w:w="1601" w:type="dxa"/>
            <w:vMerge w:val="restart"/>
            <w:shd w:val="clear" w:color="auto" w:fill="auto"/>
          </w:tcPr>
          <w:p w14:paraId="689DBF65" w14:textId="4F73238D" w:rsidR="00B86988" w:rsidRPr="00B42F5C" w:rsidRDefault="00B104F4" w:rsidP="00C2294F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7,977 (Includes franchise fund of 58</w:t>
            </w:r>
            <w:r w:rsidR="00B86988" w:rsidRPr="00B42F5C">
              <w:rPr>
                <w:rFonts w:asciiTheme="minorHAnsi" w:eastAsia="Calibri" w:hAnsiTheme="minorHAnsi" w:cs="Arial"/>
                <w:sz w:val="20"/>
                <w:szCs w:val="20"/>
              </w:rPr>
              <w:t xml:space="preserve">1 and Reimbursable of </w:t>
            </w:r>
            <w:r>
              <w:rPr>
                <w:rFonts w:asciiTheme="minorHAnsi" w:eastAsia="Calibri" w:hAnsiTheme="minorHAnsi" w:cs="Arial"/>
                <w:sz w:val="20"/>
                <w:szCs w:val="20"/>
              </w:rPr>
              <w:t>15</w:t>
            </w:r>
            <w:r w:rsidR="00B86988" w:rsidRPr="00B42F5C">
              <w:rPr>
                <w:rFonts w:asciiTheme="minorHAnsi" w:eastAsia="Calibri" w:hAnsiTheme="minorHAnsi" w:cs="Arial"/>
                <w:sz w:val="20"/>
                <w:szCs w:val="20"/>
              </w:rPr>
              <w:t>)</w:t>
            </w:r>
          </w:p>
          <w:p w14:paraId="06C46F92" w14:textId="77777777" w:rsidR="00B86988" w:rsidRPr="00B42F5C" w:rsidRDefault="00B86988" w:rsidP="00C2294F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14:paraId="38F8DA67" w14:textId="77777777" w:rsidR="00B86988" w:rsidRPr="00B42F5C" w:rsidRDefault="00B86988" w:rsidP="00C2294F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73732D2" w14:textId="77777777" w:rsidR="00605976" w:rsidRDefault="00605976" w:rsidP="006059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3,769</w:t>
            </w:r>
          </w:p>
          <w:p w14:paraId="3DDF7B42" w14:textId="15D2504A" w:rsidR="00B86988" w:rsidRPr="00B42F5C" w:rsidRDefault="00B86988" w:rsidP="00C2294F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418864A6" w14:textId="77777777" w:rsidR="00B86988" w:rsidRPr="00B42F5C" w:rsidRDefault="00B86988" w:rsidP="00C2294F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B42F5C">
              <w:rPr>
                <w:rFonts w:asciiTheme="minorHAnsi" w:eastAsia="Calibri" w:hAnsiTheme="minorHAnsi" w:cs="Arial"/>
                <w:sz w:val="20"/>
                <w:szCs w:val="20"/>
              </w:rPr>
              <w:t>Necessary Implications</w:t>
            </w:r>
          </w:p>
        </w:tc>
        <w:tc>
          <w:tcPr>
            <w:tcW w:w="4050" w:type="dxa"/>
            <w:shd w:val="clear" w:color="auto" w:fill="auto"/>
          </w:tcPr>
          <w:p w14:paraId="288A0DB2" w14:textId="77777777" w:rsidR="00B86988" w:rsidRPr="00B42F5C" w:rsidRDefault="00B86988" w:rsidP="00C2294F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B42F5C">
              <w:rPr>
                <w:rFonts w:asciiTheme="minorHAnsi" w:eastAsia="Calibri" w:hAnsiTheme="minorHAnsi" w:cs="Arial"/>
                <w:sz w:val="20"/>
                <w:szCs w:val="20"/>
              </w:rPr>
              <w:t xml:space="preserve">Direct and Indirect Support to Administrations and Staff Offices as needed to maintain their excepted functions; Network Maintenance and Protection; Information Security; Data Center Operations; and Enterprise Infrastructure Operations </w:t>
            </w:r>
          </w:p>
        </w:tc>
        <w:tc>
          <w:tcPr>
            <w:tcW w:w="2016" w:type="dxa"/>
          </w:tcPr>
          <w:p w14:paraId="533C33E3" w14:textId="61B71583" w:rsidR="00B86988" w:rsidRPr="00B42F5C" w:rsidRDefault="00B104F4" w:rsidP="00C2294F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3,612</w:t>
            </w:r>
          </w:p>
        </w:tc>
      </w:tr>
      <w:tr w:rsidR="00B86988" w:rsidRPr="00B42F5C" w14:paraId="767420F9" w14:textId="77777777" w:rsidTr="00C2294F">
        <w:tc>
          <w:tcPr>
            <w:tcW w:w="1785" w:type="dxa"/>
            <w:vMerge/>
            <w:shd w:val="clear" w:color="auto" w:fill="auto"/>
          </w:tcPr>
          <w:p w14:paraId="4CA1891B" w14:textId="77777777" w:rsidR="00B86988" w:rsidRPr="00B42F5C" w:rsidRDefault="00B86988" w:rsidP="00C2294F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14:paraId="6C15B1B0" w14:textId="77777777" w:rsidR="00B86988" w:rsidRPr="00B42F5C" w:rsidRDefault="00B86988" w:rsidP="00C2294F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14:paraId="174EA7D3" w14:textId="013E6A49" w:rsidR="00B86988" w:rsidRPr="00B42F5C" w:rsidRDefault="00B104F4" w:rsidP="00C2294F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58</w:t>
            </w:r>
            <w:r w:rsidR="00B86988" w:rsidRPr="00B42F5C">
              <w:rPr>
                <w:rFonts w:asciiTheme="minorHAnsi" w:eastAsia="Calibri" w:hAnsiTheme="minorHAnsi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3F88F8EF" w14:textId="77777777" w:rsidR="00B86988" w:rsidRPr="00B42F5C" w:rsidRDefault="00B86988" w:rsidP="00C2294F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04C2B3E8" w14:textId="77777777" w:rsidR="00B86988" w:rsidRPr="00B42F5C" w:rsidRDefault="00B86988" w:rsidP="00C2294F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B42F5C">
              <w:rPr>
                <w:rFonts w:asciiTheme="minorHAnsi" w:eastAsia="Calibri" w:hAnsiTheme="minorHAnsi" w:cs="Arial"/>
                <w:sz w:val="20"/>
                <w:szCs w:val="20"/>
              </w:rPr>
              <w:t>Franchise Fund</w:t>
            </w:r>
          </w:p>
        </w:tc>
        <w:tc>
          <w:tcPr>
            <w:tcW w:w="4050" w:type="dxa"/>
            <w:shd w:val="clear" w:color="auto" w:fill="auto"/>
          </w:tcPr>
          <w:p w14:paraId="3C7C7EE8" w14:textId="77777777" w:rsidR="00B86988" w:rsidRPr="00B42F5C" w:rsidRDefault="00B86988" w:rsidP="00C2294F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B42F5C">
              <w:rPr>
                <w:rFonts w:asciiTheme="minorHAnsi" w:eastAsia="Calibri" w:hAnsiTheme="minorHAnsi" w:cs="Arial"/>
                <w:sz w:val="20"/>
                <w:szCs w:val="20"/>
              </w:rPr>
              <w:t>Direct and Indirect Support to Administrations and Staff Offices as needed to maintain their excepted functions; Network Maintenance and Protection; Information Security; Data Center Operations; and Enterprise Infrastructure Operations</w:t>
            </w:r>
          </w:p>
        </w:tc>
        <w:tc>
          <w:tcPr>
            <w:tcW w:w="2016" w:type="dxa"/>
          </w:tcPr>
          <w:p w14:paraId="0F1D69E5" w14:textId="77777777" w:rsidR="00B86988" w:rsidRPr="00B42F5C" w:rsidRDefault="00B86988" w:rsidP="00C2294F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B42F5C">
              <w:rPr>
                <w:rFonts w:asciiTheme="minorHAnsi" w:eastAsia="Calibri" w:hAnsiTheme="minorHAnsi" w:cs="Arial"/>
                <w:sz w:val="20"/>
                <w:szCs w:val="20"/>
              </w:rPr>
              <w:t>0</w:t>
            </w:r>
          </w:p>
        </w:tc>
      </w:tr>
      <w:tr w:rsidR="00B86988" w:rsidRPr="00B42F5C" w14:paraId="179C206C" w14:textId="77777777" w:rsidTr="00C2294F">
        <w:tc>
          <w:tcPr>
            <w:tcW w:w="1785" w:type="dxa"/>
            <w:vMerge/>
            <w:shd w:val="clear" w:color="auto" w:fill="auto"/>
          </w:tcPr>
          <w:p w14:paraId="6021E5CB" w14:textId="77777777" w:rsidR="00B86988" w:rsidRPr="00B42F5C" w:rsidRDefault="00B86988" w:rsidP="00C2294F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14:paraId="0F7987D2" w14:textId="77777777" w:rsidR="00B86988" w:rsidRPr="00B42F5C" w:rsidRDefault="00B86988" w:rsidP="00C2294F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14:paraId="445C4C6B" w14:textId="160B49AB" w:rsidR="00B86988" w:rsidRPr="00B42F5C" w:rsidRDefault="00B104F4" w:rsidP="00C2294F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1</w:t>
            </w:r>
            <w:r w:rsidR="00B86988" w:rsidRPr="00B42F5C">
              <w:rPr>
                <w:rFonts w:asciiTheme="minorHAnsi" w:eastAsia="Calibri" w:hAnsiTheme="minorHAnsi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14:paraId="23EC8980" w14:textId="77777777" w:rsidR="00B86988" w:rsidRPr="00B42F5C" w:rsidRDefault="00B86988" w:rsidP="00C2294F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4463CB2B" w14:textId="77777777" w:rsidR="00B86988" w:rsidRPr="00B42F5C" w:rsidRDefault="00B86988" w:rsidP="00C2294F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B42F5C">
              <w:rPr>
                <w:rFonts w:asciiTheme="minorHAnsi" w:eastAsia="Calibri" w:hAnsiTheme="minorHAnsi" w:cs="Arial"/>
                <w:sz w:val="20"/>
                <w:szCs w:val="20"/>
              </w:rPr>
              <w:t>Reimbursable</w:t>
            </w:r>
          </w:p>
        </w:tc>
        <w:tc>
          <w:tcPr>
            <w:tcW w:w="4050" w:type="dxa"/>
            <w:shd w:val="clear" w:color="auto" w:fill="auto"/>
          </w:tcPr>
          <w:p w14:paraId="4375F807" w14:textId="77777777" w:rsidR="00B86988" w:rsidRPr="00B42F5C" w:rsidRDefault="00B86988" w:rsidP="00C2294F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B42F5C">
              <w:rPr>
                <w:rFonts w:asciiTheme="minorHAnsi" w:eastAsia="Calibri" w:hAnsiTheme="minorHAnsi" w:cs="Arial"/>
                <w:sz w:val="20"/>
                <w:szCs w:val="20"/>
              </w:rPr>
              <w:t>Direct and Indirect Support to Administrations and Staff Offices as needed to maintain their excepted functions; Network Maintenance and Protection; Information Security; Data Center Operations; and Enterprise Infrastructure Operations</w:t>
            </w:r>
          </w:p>
        </w:tc>
        <w:tc>
          <w:tcPr>
            <w:tcW w:w="2016" w:type="dxa"/>
          </w:tcPr>
          <w:p w14:paraId="1FB9025B" w14:textId="77777777" w:rsidR="00B86988" w:rsidRPr="00B42F5C" w:rsidRDefault="00B86988" w:rsidP="00C2294F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B42F5C">
              <w:rPr>
                <w:rFonts w:asciiTheme="minorHAnsi" w:eastAsia="Calibri" w:hAnsiTheme="minorHAnsi" w:cs="Arial"/>
                <w:sz w:val="20"/>
                <w:szCs w:val="20"/>
              </w:rPr>
              <w:t>0</w:t>
            </w:r>
          </w:p>
        </w:tc>
      </w:tr>
    </w:tbl>
    <w:p w14:paraId="0334BA41" w14:textId="77777777" w:rsidR="002F3378" w:rsidRDefault="002F3378">
      <w:pPr>
        <w:spacing w:before="0" w:after="0"/>
        <w:rPr>
          <w:rFonts w:ascii="Arial Narrow Bold" w:hAnsi="Arial Narrow Bold" w:cs="Times New Roman"/>
          <w:b/>
          <w:bCs/>
          <w:color w:val="1F497D"/>
          <w:kern w:val="32"/>
          <w:sz w:val="36"/>
          <w:szCs w:val="32"/>
        </w:rPr>
      </w:pPr>
      <w:r>
        <w:rPr>
          <w:rFonts w:ascii="Arial Narrow Bold" w:hAnsi="Arial Narrow Bold" w:cs="Times New Roman"/>
          <w:b/>
          <w:bCs/>
          <w:color w:val="1F497D"/>
          <w:kern w:val="32"/>
          <w:sz w:val="36"/>
          <w:szCs w:val="32"/>
        </w:rPr>
        <w:br w:type="page"/>
      </w:r>
    </w:p>
    <w:p w14:paraId="3DB6F303" w14:textId="5E6F2771" w:rsidR="00D41575" w:rsidRPr="00D41575" w:rsidRDefault="002F3378" w:rsidP="00D41575">
      <w:pPr>
        <w:rPr>
          <w:rFonts w:asciiTheme="minorHAnsi" w:hAnsiTheme="minorHAnsi" w:cs="Times New Roman"/>
          <w:b/>
          <w:bCs/>
          <w:color w:val="1F497D"/>
          <w:sz w:val="32"/>
          <w:szCs w:val="28"/>
        </w:rPr>
      </w:pPr>
      <w:r w:rsidRPr="00D41575">
        <w:rPr>
          <w:rFonts w:asciiTheme="minorHAnsi" w:hAnsiTheme="minorHAnsi" w:cs="Times New Roman"/>
          <w:b/>
          <w:bCs/>
          <w:color w:val="1F497D"/>
          <w:sz w:val="32"/>
          <w:szCs w:val="28"/>
        </w:rPr>
        <w:lastRenderedPageBreak/>
        <w:t>Board of Veterans Appeals</w:t>
      </w:r>
    </w:p>
    <w:tbl>
      <w:tblPr>
        <w:tblW w:w="14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1601"/>
        <w:gridCol w:w="1402"/>
        <w:gridCol w:w="1456"/>
        <w:gridCol w:w="2864"/>
        <w:gridCol w:w="3420"/>
        <w:gridCol w:w="2016"/>
      </w:tblGrid>
      <w:tr w:rsidR="008D1D4C" w:rsidRPr="009B2F37" w14:paraId="43B9FEB5" w14:textId="77777777" w:rsidTr="00B8005E">
        <w:tc>
          <w:tcPr>
            <w:tcW w:w="1785" w:type="dxa"/>
            <w:shd w:val="clear" w:color="auto" w:fill="auto"/>
          </w:tcPr>
          <w:p w14:paraId="0EC74441" w14:textId="77777777" w:rsidR="008D1D4C" w:rsidRPr="005D0272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0D921E46" w14:textId="77777777" w:rsidR="008D1D4C" w:rsidRPr="005D0272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2BC57BCF" w14:textId="39A020CC" w:rsidR="008D1D4C" w:rsidRPr="009B2F37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VA Unit</w:t>
            </w:r>
          </w:p>
        </w:tc>
        <w:tc>
          <w:tcPr>
            <w:tcW w:w="1601" w:type="dxa"/>
            <w:shd w:val="clear" w:color="auto" w:fill="auto"/>
          </w:tcPr>
          <w:p w14:paraId="40D66A99" w14:textId="77777777" w:rsidR="008D1D4C" w:rsidRPr="005D0272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7CC448E5" w14:textId="77777777" w:rsidR="008D1D4C" w:rsidRPr="005D0272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3E8559F1" w14:textId="112D66D1" w:rsidR="008D1D4C" w:rsidRPr="009B2F37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Total</w:t>
            </w: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 </w:t>
            </w: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# of Employees</w:t>
            </w:r>
          </w:p>
        </w:tc>
        <w:tc>
          <w:tcPr>
            <w:tcW w:w="1402" w:type="dxa"/>
          </w:tcPr>
          <w:p w14:paraId="1CD839BC" w14:textId="1C4FB92A" w:rsidR="008D1D4C" w:rsidRPr="009B2F37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# of Fully Funded (not subject to lapse; will continue to work)</w:t>
            </w:r>
          </w:p>
        </w:tc>
        <w:tc>
          <w:tcPr>
            <w:tcW w:w="1456" w:type="dxa"/>
            <w:shd w:val="clear" w:color="auto" w:fill="auto"/>
          </w:tcPr>
          <w:p w14:paraId="2E2BAA34" w14:textId="60E7B9D8" w:rsidR="008D1D4C" w:rsidRPr="009B2F37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# of Excepted Employees (legal basis; will continue to work)</w:t>
            </w:r>
          </w:p>
        </w:tc>
        <w:tc>
          <w:tcPr>
            <w:tcW w:w="2864" w:type="dxa"/>
            <w:shd w:val="clear" w:color="auto" w:fill="auto"/>
          </w:tcPr>
          <w:p w14:paraId="65AB0FB5" w14:textId="77777777" w:rsidR="008D1D4C" w:rsidRPr="005D0272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6E8688EA" w14:textId="77777777" w:rsidR="008D1D4C" w:rsidRPr="005D0272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5FB56D75" w14:textId="3A3F6402" w:rsidR="008D1D4C" w:rsidRPr="009B2F37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Legal Basis for Decision or Full Funding Source</w:t>
            </w:r>
          </w:p>
        </w:tc>
        <w:tc>
          <w:tcPr>
            <w:tcW w:w="3420" w:type="dxa"/>
            <w:shd w:val="clear" w:color="auto" w:fill="auto"/>
          </w:tcPr>
          <w:p w14:paraId="039A8738" w14:textId="77777777" w:rsidR="008D1D4C" w:rsidRPr="005D0272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5A422045" w14:textId="77777777" w:rsidR="008D1D4C" w:rsidRPr="005D0272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2B021BC2" w14:textId="35DCE85C" w:rsidR="008D1D4C" w:rsidRPr="009B2F37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Functions to be Performed</w:t>
            </w:r>
          </w:p>
        </w:tc>
        <w:tc>
          <w:tcPr>
            <w:tcW w:w="2016" w:type="dxa"/>
          </w:tcPr>
          <w:p w14:paraId="5F9F52CE" w14:textId="77777777" w:rsidR="008D1D4C" w:rsidRPr="005D0272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55A8B1CE" w14:textId="7E389F98" w:rsidR="008D1D4C" w:rsidRPr="009B2F37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# of Non-Excepted Employees (subject to furlough)</w:t>
            </w:r>
          </w:p>
        </w:tc>
      </w:tr>
      <w:tr w:rsidR="00F15764" w:rsidRPr="009B2F37" w14:paraId="1B3AE1DA" w14:textId="77777777" w:rsidTr="00B8005E">
        <w:trPr>
          <w:cantSplit/>
        </w:trPr>
        <w:tc>
          <w:tcPr>
            <w:tcW w:w="1785" w:type="dxa"/>
            <w:shd w:val="clear" w:color="auto" w:fill="auto"/>
          </w:tcPr>
          <w:p w14:paraId="669242DF" w14:textId="2C16145C" w:rsidR="00F15764" w:rsidRPr="009B2F37" w:rsidRDefault="00F15764" w:rsidP="00F15764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Review benefit claims determinations made by local VA offices and issue decisions on appeals</w:t>
            </w:r>
          </w:p>
        </w:tc>
        <w:tc>
          <w:tcPr>
            <w:tcW w:w="1601" w:type="dxa"/>
            <w:shd w:val="clear" w:color="auto" w:fill="auto"/>
          </w:tcPr>
          <w:p w14:paraId="1F2D4E9F" w14:textId="6617CFA8" w:rsidR="00F15764" w:rsidRPr="009B2F37" w:rsidRDefault="00F15764" w:rsidP="00B8005E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637</w:t>
            </w:r>
          </w:p>
          <w:p w14:paraId="282DF3DE" w14:textId="77777777" w:rsidR="00F15764" w:rsidRPr="009B2F37" w:rsidRDefault="00F15764" w:rsidP="00B8005E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14:paraId="05F157C8" w14:textId="3A864FC0" w:rsidR="00F15764" w:rsidRPr="009B2F37" w:rsidRDefault="00F15764" w:rsidP="00B8005E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</w:tcPr>
          <w:p w14:paraId="16C135C0" w14:textId="7384CB4B" w:rsidR="00F15764" w:rsidRPr="009B2F37" w:rsidRDefault="00D00B01" w:rsidP="00B8005E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1</w:t>
            </w:r>
          </w:p>
        </w:tc>
        <w:tc>
          <w:tcPr>
            <w:tcW w:w="2864" w:type="dxa"/>
            <w:shd w:val="clear" w:color="auto" w:fill="auto"/>
          </w:tcPr>
          <w:p w14:paraId="0D37D308" w14:textId="2DE417B2" w:rsidR="00F15764" w:rsidRPr="009B2F37" w:rsidRDefault="003B3A9E" w:rsidP="00B8005E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Protection of Life and Property</w:t>
            </w:r>
          </w:p>
        </w:tc>
        <w:tc>
          <w:tcPr>
            <w:tcW w:w="3420" w:type="dxa"/>
            <w:shd w:val="clear" w:color="auto" w:fill="auto"/>
          </w:tcPr>
          <w:p w14:paraId="1BB13389" w14:textId="77777777" w:rsidR="00F15764" w:rsidRDefault="00F15764" w:rsidP="00F15764">
            <w:pPr>
              <w:pStyle w:val="ListParagraph"/>
              <w:ind w:left="360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  <w:p w14:paraId="31A789F0" w14:textId="6DEDE207" w:rsidR="00351166" w:rsidRPr="009B2F37" w:rsidRDefault="0008277F" w:rsidP="00F15764">
            <w:pPr>
              <w:pStyle w:val="ListParagraph"/>
              <w:ind w:left="360"/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Orderly operations during ongoing shutdown</w:t>
            </w:r>
          </w:p>
        </w:tc>
        <w:tc>
          <w:tcPr>
            <w:tcW w:w="2016" w:type="dxa"/>
          </w:tcPr>
          <w:p w14:paraId="32A3680A" w14:textId="3F828006" w:rsidR="00F15764" w:rsidRDefault="00D00B01" w:rsidP="00B8005E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636</w:t>
            </w:r>
          </w:p>
          <w:p w14:paraId="0363803A" w14:textId="76AD3014" w:rsidR="00F15764" w:rsidRPr="009B2F37" w:rsidRDefault="00F15764" w:rsidP="00184D90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(all employees will remain at work until FY2013 funds are expended, then BVA would move to furlough status)</w:t>
            </w:r>
          </w:p>
        </w:tc>
      </w:tr>
    </w:tbl>
    <w:p w14:paraId="69490798" w14:textId="41DB102A" w:rsidR="00D41575" w:rsidRDefault="00D41575">
      <w:pPr>
        <w:spacing w:before="0" w:after="0"/>
        <w:rPr>
          <w:rFonts w:ascii="Arial Narrow Bold" w:hAnsi="Arial Narrow Bold" w:cs="Times New Roman"/>
          <w:b/>
          <w:bCs/>
          <w:color w:val="1F497D"/>
          <w:kern w:val="32"/>
          <w:sz w:val="36"/>
          <w:szCs w:val="32"/>
        </w:rPr>
      </w:pPr>
      <w:r>
        <w:rPr>
          <w:rFonts w:ascii="Arial Narrow Bold" w:hAnsi="Arial Narrow Bold" w:cs="Times New Roman"/>
          <w:b/>
          <w:bCs/>
          <w:color w:val="1F497D"/>
          <w:kern w:val="32"/>
          <w:sz w:val="36"/>
          <w:szCs w:val="32"/>
        </w:rPr>
        <w:br w:type="page"/>
      </w:r>
    </w:p>
    <w:p w14:paraId="155E51A7" w14:textId="119E2823" w:rsidR="006B413B" w:rsidRPr="00D41575" w:rsidRDefault="00D41575" w:rsidP="00D41575">
      <w:pPr>
        <w:rPr>
          <w:rFonts w:asciiTheme="minorHAnsi" w:hAnsiTheme="minorHAnsi" w:cs="Times New Roman"/>
          <w:b/>
          <w:bCs/>
          <w:color w:val="1F497D"/>
          <w:sz w:val="32"/>
          <w:szCs w:val="28"/>
        </w:rPr>
      </w:pPr>
      <w:r w:rsidRPr="00D41575">
        <w:rPr>
          <w:rFonts w:asciiTheme="minorHAnsi" w:hAnsiTheme="minorHAnsi" w:cs="Times New Roman"/>
          <w:b/>
          <w:bCs/>
          <w:color w:val="1F497D"/>
          <w:sz w:val="32"/>
          <w:szCs w:val="28"/>
        </w:rPr>
        <w:lastRenderedPageBreak/>
        <w:t>Human Resources and Administration</w:t>
      </w:r>
    </w:p>
    <w:p w14:paraId="3DB6F304" w14:textId="77777777" w:rsidR="006B413B" w:rsidRDefault="006B413B" w:rsidP="00CD65B6">
      <w:pPr>
        <w:spacing w:before="0" w:after="0"/>
        <w:rPr>
          <w:rFonts w:asciiTheme="minorHAnsi" w:hAnsiTheme="minorHAnsi" w:cstheme="minorHAnsi"/>
          <w:sz w:val="22"/>
          <w:szCs w:val="22"/>
          <w:vertAlign w:val="superscript"/>
        </w:rPr>
      </w:pPr>
    </w:p>
    <w:tbl>
      <w:tblPr>
        <w:tblW w:w="14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1601"/>
        <w:gridCol w:w="1402"/>
        <w:gridCol w:w="1456"/>
        <w:gridCol w:w="2864"/>
        <w:gridCol w:w="3420"/>
        <w:gridCol w:w="2016"/>
      </w:tblGrid>
      <w:tr w:rsidR="000E7CBD" w:rsidRPr="003B0688" w14:paraId="118E68BF" w14:textId="77777777" w:rsidTr="00B20E88">
        <w:trPr>
          <w:trHeight w:val="1709"/>
        </w:trPr>
        <w:tc>
          <w:tcPr>
            <w:tcW w:w="1785" w:type="dxa"/>
            <w:shd w:val="clear" w:color="auto" w:fill="auto"/>
          </w:tcPr>
          <w:p w14:paraId="37EE2210" w14:textId="77777777" w:rsidR="000E7CBD" w:rsidRPr="005D0272" w:rsidRDefault="000E7CBD" w:rsidP="00B20E8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459D8545" w14:textId="77777777" w:rsidR="000E7CBD" w:rsidRPr="005D0272" w:rsidRDefault="000E7CBD" w:rsidP="00B20E8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470E9084" w14:textId="77777777" w:rsidR="000E7CBD" w:rsidRPr="003B0688" w:rsidRDefault="000E7CBD" w:rsidP="00B20E8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VA Unit</w:t>
            </w:r>
          </w:p>
        </w:tc>
        <w:tc>
          <w:tcPr>
            <w:tcW w:w="1601" w:type="dxa"/>
            <w:shd w:val="clear" w:color="auto" w:fill="auto"/>
          </w:tcPr>
          <w:p w14:paraId="14CAF9BD" w14:textId="77777777" w:rsidR="000E7CBD" w:rsidRPr="005D0272" w:rsidRDefault="000E7CBD" w:rsidP="00B20E8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49DB7CB6" w14:textId="77777777" w:rsidR="000E7CBD" w:rsidRPr="005D0272" w:rsidRDefault="000E7CBD" w:rsidP="00B20E8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044C1CAD" w14:textId="77777777" w:rsidR="000E7CBD" w:rsidRPr="003B0688" w:rsidRDefault="000E7CBD" w:rsidP="00B20E8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Total</w:t>
            </w: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 </w:t>
            </w: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# of Employees</w:t>
            </w:r>
          </w:p>
        </w:tc>
        <w:tc>
          <w:tcPr>
            <w:tcW w:w="1402" w:type="dxa"/>
          </w:tcPr>
          <w:p w14:paraId="76F4C20E" w14:textId="77777777" w:rsidR="000E7CBD" w:rsidRPr="003B0688" w:rsidRDefault="000E7CBD" w:rsidP="00B20E8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# of Fully Funded (not subject to lapse; will continue to work)</w:t>
            </w:r>
          </w:p>
        </w:tc>
        <w:tc>
          <w:tcPr>
            <w:tcW w:w="1456" w:type="dxa"/>
            <w:shd w:val="clear" w:color="auto" w:fill="auto"/>
          </w:tcPr>
          <w:p w14:paraId="26C58F8B" w14:textId="77777777" w:rsidR="000E7CBD" w:rsidRPr="003B0688" w:rsidRDefault="000E7CBD" w:rsidP="00B20E8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# of Excepted Employees (legal basis; will continue to work)</w:t>
            </w:r>
          </w:p>
        </w:tc>
        <w:tc>
          <w:tcPr>
            <w:tcW w:w="2864" w:type="dxa"/>
            <w:shd w:val="clear" w:color="auto" w:fill="auto"/>
          </w:tcPr>
          <w:p w14:paraId="0420961A" w14:textId="77777777" w:rsidR="000E7CBD" w:rsidRPr="005D0272" w:rsidRDefault="000E7CBD" w:rsidP="00B20E8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712B054F" w14:textId="77777777" w:rsidR="000E7CBD" w:rsidRPr="005D0272" w:rsidRDefault="000E7CBD" w:rsidP="00B20E8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1A77ABCD" w14:textId="77777777" w:rsidR="000E7CBD" w:rsidRPr="003B0688" w:rsidRDefault="000E7CBD" w:rsidP="00B20E8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Legal Basis for Decision or Full Funding Source</w:t>
            </w:r>
          </w:p>
        </w:tc>
        <w:tc>
          <w:tcPr>
            <w:tcW w:w="3420" w:type="dxa"/>
            <w:shd w:val="clear" w:color="auto" w:fill="auto"/>
          </w:tcPr>
          <w:p w14:paraId="7C0693F0" w14:textId="77777777" w:rsidR="000E7CBD" w:rsidRPr="005D0272" w:rsidRDefault="000E7CBD" w:rsidP="00B20E8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23664E6F" w14:textId="77777777" w:rsidR="000E7CBD" w:rsidRPr="005D0272" w:rsidRDefault="000E7CBD" w:rsidP="00B20E8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26DBAF8C" w14:textId="77777777" w:rsidR="000E7CBD" w:rsidRPr="003B0688" w:rsidRDefault="000E7CBD" w:rsidP="00B20E8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Functions to be Performed</w:t>
            </w:r>
          </w:p>
        </w:tc>
        <w:tc>
          <w:tcPr>
            <w:tcW w:w="2016" w:type="dxa"/>
          </w:tcPr>
          <w:p w14:paraId="54EA62AD" w14:textId="77777777" w:rsidR="000E7CBD" w:rsidRPr="005D0272" w:rsidRDefault="000E7CBD" w:rsidP="00B20E8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3ED8785D" w14:textId="77777777" w:rsidR="000E7CBD" w:rsidRPr="003B0688" w:rsidRDefault="000E7CBD" w:rsidP="00B20E8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# of Non-Excepted Employees (subject to furlough)</w:t>
            </w:r>
          </w:p>
        </w:tc>
      </w:tr>
      <w:tr w:rsidR="000E7CBD" w:rsidRPr="003B0688" w14:paraId="4EF90CD2" w14:textId="77777777" w:rsidTr="00B20E88">
        <w:trPr>
          <w:cantSplit/>
        </w:trPr>
        <w:tc>
          <w:tcPr>
            <w:tcW w:w="1785" w:type="dxa"/>
            <w:vMerge w:val="restart"/>
            <w:shd w:val="clear" w:color="auto" w:fill="auto"/>
          </w:tcPr>
          <w:p w14:paraId="458CD775" w14:textId="77777777" w:rsidR="00485028" w:rsidRPr="00485028" w:rsidRDefault="00485028" w:rsidP="00485028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50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Office of Human Resources and Administration (HRA)</w:t>
            </w:r>
          </w:p>
          <w:p w14:paraId="473278C6" w14:textId="77777777" w:rsidR="00485028" w:rsidRPr="00485028" w:rsidRDefault="00485028" w:rsidP="00485028">
            <w:pPr>
              <w:numPr>
                <w:ilvl w:val="0"/>
                <w:numId w:val="22"/>
              </w:numPr>
              <w:tabs>
                <w:tab w:val="num" w:pos="153"/>
              </w:tabs>
              <w:spacing w:before="0" w:after="80"/>
              <w:ind w:left="158" w:hanging="158"/>
              <w:rPr>
                <w:rFonts w:asciiTheme="minorHAnsi" w:hAnsiTheme="minorHAnsi" w:cstheme="minorHAnsi"/>
                <w:sz w:val="20"/>
                <w:szCs w:val="20"/>
              </w:rPr>
            </w:pPr>
            <w:r w:rsidRPr="00485028">
              <w:rPr>
                <w:rFonts w:asciiTheme="minorHAnsi" w:hAnsiTheme="minorHAnsi" w:cstheme="minorHAnsi"/>
                <w:sz w:val="20"/>
                <w:szCs w:val="20"/>
              </w:rPr>
              <w:t>Administration</w:t>
            </w:r>
          </w:p>
          <w:p w14:paraId="76501287" w14:textId="77777777" w:rsidR="00485028" w:rsidRPr="00485028" w:rsidRDefault="00485028" w:rsidP="00485028">
            <w:pPr>
              <w:numPr>
                <w:ilvl w:val="0"/>
                <w:numId w:val="22"/>
              </w:numPr>
              <w:tabs>
                <w:tab w:val="num" w:pos="153"/>
              </w:tabs>
              <w:spacing w:before="0" w:after="80"/>
              <w:ind w:left="158" w:hanging="158"/>
              <w:rPr>
                <w:rFonts w:asciiTheme="minorHAnsi" w:hAnsiTheme="minorHAnsi" w:cstheme="minorHAnsi"/>
                <w:sz w:val="20"/>
                <w:szCs w:val="20"/>
              </w:rPr>
            </w:pPr>
            <w:r w:rsidRPr="00485028">
              <w:rPr>
                <w:rFonts w:asciiTheme="minorHAnsi" w:hAnsiTheme="minorHAnsi" w:cstheme="minorHAnsi"/>
                <w:sz w:val="20"/>
                <w:szCs w:val="20"/>
              </w:rPr>
              <w:t>Corporate Senior Executive Mgmt</w:t>
            </w:r>
          </w:p>
          <w:p w14:paraId="78E3B3A2" w14:textId="77777777" w:rsidR="00485028" w:rsidRPr="00485028" w:rsidRDefault="00485028" w:rsidP="00485028">
            <w:pPr>
              <w:numPr>
                <w:ilvl w:val="0"/>
                <w:numId w:val="22"/>
              </w:numPr>
              <w:tabs>
                <w:tab w:val="num" w:pos="153"/>
              </w:tabs>
              <w:spacing w:before="0" w:after="80"/>
              <w:ind w:left="158" w:hanging="158"/>
              <w:rPr>
                <w:rFonts w:asciiTheme="minorHAnsi" w:hAnsiTheme="minorHAnsi" w:cstheme="minorHAnsi"/>
                <w:sz w:val="20"/>
                <w:szCs w:val="20"/>
              </w:rPr>
            </w:pPr>
            <w:r w:rsidRPr="00485028">
              <w:rPr>
                <w:rFonts w:asciiTheme="minorHAnsi" w:hAnsiTheme="minorHAnsi" w:cstheme="minorHAnsi"/>
                <w:sz w:val="20"/>
                <w:szCs w:val="20"/>
              </w:rPr>
              <w:t>Diversity &amp; Inclusion</w:t>
            </w:r>
          </w:p>
          <w:p w14:paraId="526F51F3" w14:textId="77777777" w:rsidR="00485028" w:rsidRPr="00485028" w:rsidRDefault="00485028" w:rsidP="00485028">
            <w:pPr>
              <w:numPr>
                <w:ilvl w:val="0"/>
                <w:numId w:val="22"/>
              </w:numPr>
              <w:tabs>
                <w:tab w:val="num" w:pos="153"/>
              </w:tabs>
              <w:spacing w:before="0" w:after="80"/>
              <w:ind w:left="158" w:hanging="158"/>
              <w:rPr>
                <w:rFonts w:asciiTheme="minorHAnsi" w:hAnsiTheme="minorHAnsi" w:cstheme="minorHAnsi"/>
                <w:sz w:val="20"/>
                <w:szCs w:val="20"/>
              </w:rPr>
            </w:pPr>
            <w:r w:rsidRPr="00485028">
              <w:rPr>
                <w:rFonts w:asciiTheme="minorHAnsi" w:hAnsiTheme="minorHAnsi" w:cstheme="minorHAnsi"/>
                <w:sz w:val="20"/>
                <w:szCs w:val="20"/>
              </w:rPr>
              <w:t>Human Resources Management</w:t>
            </w:r>
          </w:p>
          <w:p w14:paraId="13A7BA1C" w14:textId="77777777" w:rsidR="00485028" w:rsidRPr="00485028" w:rsidRDefault="00485028" w:rsidP="00485028">
            <w:pPr>
              <w:numPr>
                <w:ilvl w:val="0"/>
                <w:numId w:val="22"/>
              </w:numPr>
              <w:tabs>
                <w:tab w:val="num" w:pos="153"/>
              </w:tabs>
              <w:spacing w:before="0" w:after="80"/>
              <w:ind w:left="158" w:hanging="158"/>
              <w:rPr>
                <w:rFonts w:asciiTheme="minorHAnsi" w:hAnsiTheme="minorHAnsi" w:cstheme="minorHAnsi"/>
                <w:sz w:val="20"/>
                <w:szCs w:val="20"/>
              </w:rPr>
            </w:pPr>
            <w:r w:rsidRPr="00485028">
              <w:rPr>
                <w:rFonts w:asciiTheme="minorHAnsi" w:hAnsiTheme="minorHAnsi" w:cstheme="minorHAnsi"/>
                <w:sz w:val="20"/>
                <w:szCs w:val="20"/>
              </w:rPr>
              <w:t>Labor-Mgmt Relations</w:t>
            </w:r>
          </w:p>
          <w:p w14:paraId="249B8E0E" w14:textId="77777777" w:rsidR="00485028" w:rsidRPr="00485028" w:rsidRDefault="00485028" w:rsidP="00485028">
            <w:pPr>
              <w:numPr>
                <w:ilvl w:val="0"/>
                <w:numId w:val="22"/>
              </w:numPr>
              <w:tabs>
                <w:tab w:val="num" w:pos="153"/>
              </w:tabs>
              <w:spacing w:before="0" w:after="80"/>
              <w:ind w:left="158" w:hanging="158"/>
              <w:rPr>
                <w:rFonts w:asciiTheme="minorHAnsi" w:hAnsiTheme="minorHAnsi" w:cstheme="minorHAnsi"/>
                <w:sz w:val="20"/>
                <w:szCs w:val="20"/>
              </w:rPr>
            </w:pPr>
            <w:r w:rsidRPr="00485028">
              <w:rPr>
                <w:rFonts w:asciiTheme="minorHAnsi" w:hAnsiTheme="minorHAnsi" w:cstheme="minorHAnsi"/>
                <w:sz w:val="20"/>
                <w:szCs w:val="20"/>
              </w:rPr>
              <w:t>Resolution Management</w:t>
            </w:r>
          </w:p>
          <w:p w14:paraId="1A6BE6FE" w14:textId="386DB049" w:rsidR="000E7CBD" w:rsidRPr="003B0688" w:rsidRDefault="000E7CBD" w:rsidP="00B20E88">
            <w:pPr>
              <w:spacing w:line="320" w:lineRule="atLeast"/>
              <w:contextualSpacing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  <w:shd w:val="clear" w:color="auto" w:fill="auto"/>
          </w:tcPr>
          <w:p w14:paraId="38894E61" w14:textId="47E4EE9E" w:rsidR="000E7CBD" w:rsidRPr="003B0688" w:rsidRDefault="000E7CBD" w:rsidP="00B20E88">
            <w:pPr>
              <w:spacing w:after="100"/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</w:t>
            </w:r>
            <w:r w:rsidR="007C46B6">
              <w:rPr>
                <w:rFonts w:ascii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1402" w:type="dxa"/>
          </w:tcPr>
          <w:p w14:paraId="0690AA3F" w14:textId="4A13FC11" w:rsidR="000E7CBD" w:rsidRPr="003B0688" w:rsidRDefault="007C46B6" w:rsidP="00B20E88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5</w:t>
            </w:r>
            <w:r w:rsidR="00EB55FA">
              <w:rPr>
                <w:rFonts w:asciiTheme="minorHAnsi" w:eastAsia="Calibri" w:hAnsiTheme="minorHAnsi" w:cs="Arial"/>
                <w:sz w:val="20"/>
                <w:szCs w:val="20"/>
              </w:rPr>
              <w:t>45</w:t>
            </w:r>
          </w:p>
        </w:tc>
        <w:tc>
          <w:tcPr>
            <w:tcW w:w="1456" w:type="dxa"/>
            <w:shd w:val="clear" w:color="auto" w:fill="auto"/>
          </w:tcPr>
          <w:p w14:paraId="76DFDF8A" w14:textId="77777777" w:rsidR="000E7CBD" w:rsidRPr="003B0688" w:rsidRDefault="000E7CBD" w:rsidP="00B20E88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058FBB3B" w14:textId="785DF268" w:rsidR="000E7CBD" w:rsidRPr="003B0688" w:rsidRDefault="00CA5CCA" w:rsidP="00B20E8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Reimbursable (VHA)</w:t>
            </w:r>
          </w:p>
        </w:tc>
        <w:tc>
          <w:tcPr>
            <w:tcW w:w="3420" w:type="dxa"/>
            <w:shd w:val="clear" w:color="auto" w:fill="auto"/>
          </w:tcPr>
          <w:p w14:paraId="230EC0D6" w14:textId="1CEFA8C8" w:rsidR="000E7CBD" w:rsidRPr="00485028" w:rsidRDefault="00485028" w:rsidP="00B20E8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485028">
              <w:rPr>
                <w:rFonts w:asciiTheme="minorHAnsi" w:hAnsiTheme="minorHAnsi" w:cstheme="minorHAnsi"/>
                <w:sz w:val="20"/>
                <w:szCs w:val="20"/>
              </w:rPr>
              <w:t>Reimbursable funding (VHA)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 Will provide VHA-related Human Capital Investment Plan support</w:t>
            </w:r>
          </w:p>
        </w:tc>
        <w:tc>
          <w:tcPr>
            <w:tcW w:w="2016" w:type="dxa"/>
          </w:tcPr>
          <w:p w14:paraId="0808A6F0" w14:textId="716722C2" w:rsidR="000E7CBD" w:rsidRPr="003B0688" w:rsidRDefault="0096756A" w:rsidP="00B20E88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26</w:t>
            </w:r>
            <w:r w:rsidR="0061509B">
              <w:rPr>
                <w:rFonts w:asciiTheme="minorHAnsi" w:eastAsia="Calibri" w:hAnsiTheme="minorHAnsi" w:cs="Arial"/>
                <w:sz w:val="20"/>
                <w:szCs w:val="20"/>
              </w:rPr>
              <w:t>0</w:t>
            </w:r>
          </w:p>
        </w:tc>
      </w:tr>
      <w:tr w:rsidR="000E7CBD" w:rsidRPr="003B0688" w14:paraId="4D260EF4" w14:textId="77777777" w:rsidTr="00B20E88">
        <w:tc>
          <w:tcPr>
            <w:tcW w:w="1785" w:type="dxa"/>
            <w:vMerge/>
            <w:shd w:val="clear" w:color="auto" w:fill="auto"/>
          </w:tcPr>
          <w:p w14:paraId="436DA0A4" w14:textId="77777777" w:rsidR="000E7CBD" w:rsidRPr="003B0688" w:rsidRDefault="000E7CBD" w:rsidP="00B20E8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14:paraId="5FB890F0" w14:textId="77777777" w:rsidR="000E7CBD" w:rsidRPr="003B0688" w:rsidRDefault="000E7CBD" w:rsidP="00B20E8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14:paraId="469D2D77" w14:textId="734C5C07" w:rsidR="000E7CBD" w:rsidRPr="003B0688" w:rsidRDefault="000E7CBD" w:rsidP="00B20E88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14:paraId="16E605C0" w14:textId="14E7E081" w:rsidR="000E7CBD" w:rsidRPr="003B0688" w:rsidRDefault="0061509B" w:rsidP="00B20E88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5</w:t>
            </w:r>
          </w:p>
        </w:tc>
        <w:tc>
          <w:tcPr>
            <w:tcW w:w="2864" w:type="dxa"/>
            <w:shd w:val="clear" w:color="auto" w:fill="auto"/>
          </w:tcPr>
          <w:p w14:paraId="11775039" w14:textId="118B9AA6" w:rsidR="000E7CBD" w:rsidRPr="003B0688" w:rsidRDefault="000E7CBD" w:rsidP="00B20E8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9B2F37">
              <w:rPr>
                <w:rFonts w:asciiTheme="minorHAnsi" w:eastAsia="Calibri" w:hAnsiTheme="minorHAnsi" w:cs="Arial"/>
                <w:sz w:val="20"/>
                <w:szCs w:val="20"/>
              </w:rPr>
              <w:t>Necessary Implications</w:t>
            </w:r>
          </w:p>
        </w:tc>
        <w:tc>
          <w:tcPr>
            <w:tcW w:w="3420" w:type="dxa"/>
            <w:shd w:val="clear" w:color="auto" w:fill="auto"/>
          </w:tcPr>
          <w:p w14:paraId="33AE7926" w14:textId="2600528E" w:rsidR="000E7CBD" w:rsidRDefault="00485028" w:rsidP="00B20E8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 to provide s</w:t>
            </w:r>
            <w:r w:rsidR="000E7CBD">
              <w:rPr>
                <w:rFonts w:asciiTheme="minorHAnsi" w:hAnsiTheme="minorHAnsi" w:cs="Arial"/>
                <w:sz w:val="20"/>
                <w:szCs w:val="20"/>
              </w:rPr>
              <w:t>upport for VHA-related disciplinary action review boards</w:t>
            </w:r>
          </w:p>
          <w:p w14:paraId="756BC6B5" w14:textId="254EE310" w:rsidR="00485028" w:rsidRDefault="0061509B" w:rsidP="00B20E8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="00485028" w:rsidRPr="00485028">
              <w:rPr>
                <w:rFonts w:asciiTheme="minorHAnsi" w:hAnsiTheme="minorHAnsi" w:cs="Arial"/>
                <w:sz w:val="20"/>
                <w:szCs w:val="20"/>
              </w:rPr>
              <w:t xml:space="preserve"> persons to maintain building operations for the entire VACO campus</w:t>
            </w:r>
          </w:p>
          <w:p w14:paraId="294D5A66" w14:textId="59A540A9" w:rsidR="000E7CBD" w:rsidRPr="003B0688" w:rsidRDefault="000E7CBD" w:rsidP="00B20E8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14:paraId="1791BDAB" w14:textId="77777777" w:rsidR="000E7CBD" w:rsidRPr="003B0688" w:rsidRDefault="000E7CBD" w:rsidP="00B20E8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0E7CBD" w:rsidRPr="003B0688" w14:paraId="2FC9936A" w14:textId="77777777" w:rsidTr="00B20E88">
        <w:tc>
          <w:tcPr>
            <w:tcW w:w="1785" w:type="dxa"/>
            <w:vMerge/>
            <w:shd w:val="clear" w:color="auto" w:fill="auto"/>
          </w:tcPr>
          <w:p w14:paraId="48188B92" w14:textId="476A73E8" w:rsidR="000E7CBD" w:rsidRPr="003B0688" w:rsidRDefault="000E7CBD" w:rsidP="00B20E8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14:paraId="70AF2D36" w14:textId="77777777" w:rsidR="000E7CBD" w:rsidRPr="003B0688" w:rsidRDefault="000E7CBD" w:rsidP="00B20E8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14:paraId="0B667445" w14:textId="5373687C" w:rsidR="000E7CBD" w:rsidRPr="003B0688" w:rsidRDefault="000E7CBD" w:rsidP="00B20E88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14:paraId="74873415" w14:textId="428B4113" w:rsidR="000E7CBD" w:rsidRPr="003B0688" w:rsidRDefault="000E7CBD" w:rsidP="00B20E88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1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01E6129A" w14:textId="7289C02D" w:rsidR="000E7CBD" w:rsidRPr="003B0688" w:rsidRDefault="003279D2" w:rsidP="00B20E8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PA; exceeds maximum GS salary cap </w:t>
            </w:r>
          </w:p>
        </w:tc>
        <w:tc>
          <w:tcPr>
            <w:tcW w:w="3420" w:type="dxa"/>
            <w:shd w:val="clear" w:color="auto" w:fill="auto"/>
          </w:tcPr>
          <w:p w14:paraId="726452EB" w14:textId="59ED6199" w:rsidR="000E7CBD" w:rsidRPr="003B0688" w:rsidRDefault="000E7CBD" w:rsidP="00B20E8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14:paraId="0DCDEB53" w14:textId="77777777" w:rsidR="000E7CBD" w:rsidRPr="003B0688" w:rsidRDefault="000E7CBD" w:rsidP="00B20E8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</w:tbl>
    <w:p w14:paraId="405AB3AE" w14:textId="77777777" w:rsidR="000E7CBD" w:rsidRDefault="000E7CBD" w:rsidP="00D41575">
      <w:pPr>
        <w:rPr>
          <w:rFonts w:asciiTheme="minorHAnsi" w:hAnsiTheme="minorHAnsi" w:cs="Times New Roman"/>
          <w:b/>
          <w:bCs/>
          <w:color w:val="1F497D"/>
          <w:sz w:val="32"/>
          <w:szCs w:val="28"/>
        </w:rPr>
      </w:pPr>
    </w:p>
    <w:p w14:paraId="47235864" w14:textId="77777777" w:rsidR="000E7CBD" w:rsidRDefault="000E7CBD">
      <w:pPr>
        <w:spacing w:before="0" w:after="0"/>
        <w:rPr>
          <w:rFonts w:asciiTheme="minorHAnsi" w:hAnsiTheme="minorHAnsi" w:cs="Times New Roman"/>
          <w:b/>
          <w:bCs/>
          <w:color w:val="1F497D"/>
          <w:sz w:val="32"/>
          <w:szCs w:val="28"/>
        </w:rPr>
      </w:pPr>
      <w:r>
        <w:rPr>
          <w:rFonts w:asciiTheme="minorHAnsi" w:hAnsiTheme="minorHAnsi" w:cs="Times New Roman"/>
          <w:b/>
          <w:bCs/>
          <w:color w:val="1F497D"/>
          <w:sz w:val="32"/>
          <w:szCs w:val="28"/>
        </w:rPr>
        <w:br w:type="page"/>
      </w:r>
    </w:p>
    <w:p w14:paraId="0CD04296" w14:textId="72ABE2A9" w:rsidR="00D41575" w:rsidRPr="00D41575" w:rsidRDefault="00D41575" w:rsidP="00D41575">
      <w:pPr>
        <w:rPr>
          <w:rFonts w:asciiTheme="minorHAnsi" w:hAnsiTheme="minorHAnsi" w:cs="Times New Roman"/>
          <w:b/>
          <w:bCs/>
          <w:color w:val="1F497D"/>
          <w:sz w:val="32"/>
          <w:szCs w:val="28"/>
        </w:rPr>
      </w:pPr>
      <w:r w:rsidRPr="00D41575">
        <w:rPr>
          <w:rFonts w:asciiTheme="minorHAnsi" w:hAnsiTheme="minorHAnsi" w:cs="Times New Roman"/>
          <w:b/>
          <w:bCs/>
          <w:color w:val="1F497D"/>
          <w:sz w:val="32"/>
          <w:szCs w:val="28"/>
        </w:rPr>
        <w:lastRenderedPageBreak/>
        <w:t>Office of Acquisition, Logistics and Construction</w:t>
      </w:r>
    </w:p>
    <w:tbl>
      <w:tblPr>
        <w:tblW w:w="14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1601"/>
        <w:gridCol w:w="1402"/>
        <w:gridCol w:w="1456"/>
        <w:gridCol w:w="2864"/>
        <w:gridCol w:w="3420"/>
        <w:gridCol w:w="2016"/>
      </w:tblGrid>
      <w:tr w:rsidR="00B92C5A" w:rsidRPr="00963A4F" w14:paraId="742027B4" w14:textId="77777777" w:rsidTr="00D86CD5">
        <w:trPr>
          <w:trHeight w:val="1709"/>
        </w:trPr>
        <w:tc>
          <w:tcPr>
            <w:tcW w:w="1785" w:type="dxa"/>
            <w:shd w:val="clear" w:color="auto" w:fill="auto"/>
          </w:tcPr>
          <w:p w14:paraId="467B95B0" w14:textId="77777777" w:rsidR="00B92C5A" w:rsidRPr="005D0272" w:rsidRDefault="00B92C5A" w:rsidP="00D86CD5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0E2A6D36" w14:textId="77777777" w:rsidR="00B92C5A" w:rsidRPr="005D0272" w:rsidRDefault="00B92C5A" w:rsidP="00D86CD5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059AE40F" w14:textId="0CAC7627" w:rsidR="00B92C5A" w:rsidRPr="00963A4F" w:rsidRDefault="00B92C5A" w:rsidP="00D86CD5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VA Unit</w:t>
            </w:r>
          </w:p>
        </w:tc>
        <w:tc>
          <w:tcPr>
            <w:tcW w:w="1601" w:type="dxa"/>
            <w:shd w:val="clear" w:color="auto" w:fill="auto"/>
          </w:tcPr>
          <w:p w14:paraId="05468B5F" w14:textId="77777777" w:rsidR="00B92C5A" w:rsidRPr="005D0272" w:rsidRDefault="00B92C5A" w:rsidP="00D86CD5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7E5D70EF" w14:textId="77777777" w:rsidR="00B92C5A" w:rsidRPr="005D0272" w:rsidRDefault="00B92C5A" w:rsidP="00D86CD5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753518E1" w14:textId="61C26E38" w:rsidR="00B92C5A" w:rsidRPr="00963A4F" w:rsidRDefault="00B92C5A" w:rsidP="00D86CD5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Total</w:t>
            </w: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 </w:t>
            </w: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# of Employees</w:t>
            </w:r>
          </w:p>
        </w:tc>
        <w:tc>
          <w:tcPr>
            <w:tcW w:w="1402" w:type="dxa"/>
          </w:tcPr>
          <w:p w14:paraId="0CCF35E3" w14:textId="78FD33CF" w:rsidR="00B92C5A" w:rsidRPr="00963A4F" w:rsidRDefault="00B92C5A" w:rsidP="00D86CD5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# of Fully Funded (not subject to lapse; will continue to work)</w:t>
            </w:r>
          </w:p>
        </w:tc>
        <w:tc>
          <w:tcPr>
            <w:tcW w:w="1456" w:type="dxa"/>
            <w:shd w:val="clear" w:color="auto" w:fill="auto"/>
          </w:tcPr>
          <w:p w14:paraId="0452F37A" w14:textId="7EB64CDE" w:rsidR="00B92C5A" w:rsidRPr="00963A4F" w:rsidRDefault="00B92C5A" w:rsidP="00D86CD5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# of Excepted Employees (legal basis; will continue to work)</w:t>
            </w:r>
          </w:p>
        </w:tc>
        <w:tc>
          <w:tcPr>
            <w:tcW w:w="2864" w:type="dxa"/>
            <w:shd w:val="clear" w:color="auto" w:fill="auto"/>
          </w:tcPr>
          <w:p w14:paraId="1E38550E" w14:textId="77777777" w:rsidR="00B92C5A" w:rsidRPr="005D0272" w:rsidRDefault="00B92C5A" w:rsidP="00D86CD5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7223B07B" w14:textId="77777777" w:rsidR="00B92C5A" w:rsidRPr="005D0272" w:rsidRDefault="00B92C5A" w:rsidP="00D86CD5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48288181" w14:textId="5E3659F0" w:rsidR="00B92C5A" w:rsidRPr="00963A4F" w:rsidRDefault="00B92C5A" w:rsidP="00D86CD5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Legal Basis for Decision or Full Funding Source</w:t>
            </w:r>
          </w:p>
        </w:tc>
        <w:tc>
          <w:tcPr>
            <w:tcW w:w="3420" w:type="dxa"/>
            <w:shd w:val="clear" w:color="auto" w:fill="auto"/>
          </w:tcPr>
          <w:p w14:paraId="3ECB3731" w14:textId="77777777" w:rsidR="00B92C5A" w:rsidRPr="005D0272" w:rsidRDefault="00B92C5A" w:rsidP="00D86CD5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15112A8B" w14:textId="77777777" w:rsidR="00B92C5A" w:rsidRPr="005D0272" w:rsidRDefault="00B92C5A" w:rsidP="00D86CD5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38C1C666" w14:textId="4E99E4DF" w:rsidR="00B92C5A" w:rsidRPr="00963A4F" w:rsidRDefault="00B92C5A" w:rsidP="00D86CD5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Functions to be Performed</w:t>
            </w:r>
          </w:p>
        </w:tc>
        <w:tc>
          <w:tcPr>
            <w:tcW w:w="2016" w:type="dxa"/>
          </w:tcPr>
          <w:p w14:paraId="49367520" w14:textId="77777777" w:rsidR="00B92C5A" w:rsidRPr="005D0272" w:rsidRDefault="00B92C5A" w:rsidP="00D86CD5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48836756" w14:textId="49382E42" w:rsidR="00B92C5A" w:rsidRPr="00963A4F" w:rsidRDefault="00B92C5A" w:rsidP="00D86CD5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# of Non-Excepted Employees (subject to furlough)</w:t>
            </w:r>
          </w:p>
        </w:tc>
      </w:tr>
      <w:tr w:rsidR="00CF2A18" w:rsidRPr="00963A4F" w14:paraId="38BAD347" w14:textId="77777777" w:rsidTr="00D86CD5">
        <w:trPr>
          <w:cantSplit/>
        </w:trPr>
        <w:tc>
          <w:tcPr>
            <w:tcW w:w="1785" w:type="dxa"/>
            <w:vMerge w:val="restart"/>
            <w:shd w:val="clear" w:color="auto" w:fill="auto"/>
          </w:tcPr>
          <w:p w14:paraId="10A01FF3" w14:textId="77777777" w:rsidR="00CF2A18" w:rsidRPr="00963A4F" w:rsidRDefault="00CF2A18" w:rsidP="00D86CD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63A4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Office of Acquisition, Logistics, and Construction (OALC) </w:t>
            </w:r>
          </w:p>
          <w:p w14:paraId="69F674FB" w14:textId="77777777" w:rsidR="00CF2A18" w:rsidRPr="00963A4F" w:rsidRDefault="00CF2A18" w:rsidP="00D86C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EF2BADE" w14:textId="77777777" w:rsidR="00CF2A18" w:rsidRPr="00963A4F" w:rsidRDefault="00CF2A18" w:rsidP="00D86CD5">
            <w:pPr>
              <w:spacing w:line="320" w:lineRule="atLeast"/>
              <w:contextualSpacing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963A4F">
              <w:rPr>
                <w:rFonts w:asciiTheme="minorHAnsi" w:hAnsiTheme="minorHAnsi" w:cs="Arial"/>
                <w:sz w:val="20"/>
                <w:szCs w:val="20"/>
              </w:rPr>
              <w:t>Includes: Office of Acquisition and Logistics (502), the Office of Acquisition Operations (378), and the Office of Construction and Facilities Management (394)</w:t>
            </w:r>
          </w:p>
        </w:tc>
        <w:tc>
          <w:tcPr>
            <w:tcW w:w="1601" w:type="dxa"/>
            <w:vMerge w:val="restart"/>
            <w:shd w:val="clear" w:color="auto" w:fill="auto"/>
          </w:tcPr>
          <w:p w14:paraId="30F7AFE4" w14:textId="6ECA3A84" w:rsidR="00CF2A18" w:rsidRPr="00963A4F" w:rsidRDefault="00CF2A18" w:rsidP="00D86CD5">
            <w:pPr>
              <w:spacing w:after="100"/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963A4F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573200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963A4F">
              <w:rPr>
                <w:rFonts w:asciiTheme="minorHAnsi" w:hAnsiTheme="minorHAnsi" w:cs="Arial"/>
                <w:sz w:val="20"/>
                <w:szCs w:val="20"/>
              </w:rPr>
              <w:t>282</w:t>
            </w:r>
          </w:p>
        </w:tc>
        <w:tc>
          <w:tcPr>
            <w:tcW w:w="1402" w:type="dxa"/>
          </w:tcPr>
          <w:p w14:paraId="29237E1E" w14:textId="77777777" w:rsidR="00CF2A18" w:rsidRPr="00963A4F" w:rsidRDefault="00CF2A18" w:rsidP="00D86CD5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14:paraId="51AA18E4" w14:textId="77777777" w:rsidR="00CF2A18" w:rsidRPr="00963A4F" w:rsidRDefault="00CF2A18" w:rsidP="00D86CD5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0589D46C" w14:textId="77777777" w:rsidR="00CF2A18" w:rsidRPr="00963A4F" w:rsidRDefault="00CF2A18" w:rsidP="00D86CD5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13A6F4CD" w14:textId="77777777" w:rsidR="00CF2A18" w:rsidRPr="00963A4F" w:rsidRDefault="00CF2A18" w:rsidP="00D86CD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63A4F">
              <w:rPr>
                <w:rFonts w:asciiTheme="minorHAnsi" w:hAnsiTheme="minorHAnsi" w:cs="Arial"/>
                <w:sz w:val="20"/>
                <w:szCs w:val="20"/>
              </w:rPr>
              <w:t>Major construction and facilities management support functions will be suspended, specifically:</w:t>
            </w:r>
          </w:p>
          <w:p w14:paraId="070A0D7B" w14:textId="77777777" w:rsidR="00CF2A18" w:rsidRPr="00963A4F" w:rsidRDefault="00CF2A18" w:rsidP="00D86CD5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963A4F">
              <w:rPr>
                <w:rFonts w:asciiTheme="minorHAnsi" w:hAnsiTheme="minorHAnsi" w:cs="Arial"/>
                <w:sz w:val="20"/>
                <w:szCs w:val="20"/>
              </w:rPr>
              <w:t>Land actions; Development of design standards, criteria, and guides; Technical architectural and engineering (A/E) consulting support; Technical real property/architectural and engineering design support; Cost estimating and A/E selection</w:t>
            </w:r>
          </w:p>
        </w:tc>
        <w:tc>
          <w:tcPr>
            <w:tcW w:w="2016" w:type="dxa"/>
          </w:tcPr>
          <w:p w14:paraId="27B3D338" w14:textId="77777777" w:rsidR="00CF2A18" w:rsidRPr="00963A4F" w:rsidRDefault="00CF2A18" w:rsidP="00D86CD5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963A4F">
              <w:rPr>
                <w:rFonts w:asciiTheme="minorHAnsi" w:eastAsia="Calibri" w:hAnsiTheme="minorHAnsi" w:cs="Arial"/>
                <w:sz w:val="20"/>
                <w:szCs w:val="20"/>
              </w:rPr>
              <w:t>223</w:t>
            </w:r>
          </w:p>
        </w:tc>
      </w:tr>
      <w:tr w:rsidR="00CF2A18" w:rsidRPr="00963A4F" w14:paraId="6C91054D" w14:textId="77777777" w:rsidTr="00D86CD5">
        <w:tc>
          <w:tcPr>
            <w:tcW w:w="1785" w:type="dxa"/>
            <w:vMerge/>
            <w:shd w:val="clear" w:color="auto" w:fill="auto"/>
          </w:tcPr>
          <w:p w14:paraId="72480CA7" w14:textId="77777777" w:rsidR="00CF2A18" w:rsidRPr="00963A4F" w:rsidRDefault="00CF2A18" w:rsidP="00D86CD5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14:paraId="511A55E8" w14:textId="77777777" w:rsidR="00CF2A18" w:rsidRPr="00963A4F" w:rsidRDefault="00CF2A18" w:rsidP="00D86CD5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14:paraId="7A5E8D0E" w14:textId="77777777" w:rsidR="00CF2A18" w:rsidRPr="00963A4F" w:rsidRDefault="00CF2A18" w:rsidP="00D86CD5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963A4F">
              <w:rPr>
                <w:rFonts w:asciiTheme="minorHAnsi" w:eastAsia="Calibri" w:hAnsiTheme="minorHAnsi" w:cs="Arial"/>
                <w:sz w:val="20"/>
                <w:szCs w:val="20"/>
              </w:rPr>
              <w:t>888</w:t>
            </w:r>
          </w:p>
        </w:tc>
        <w:tc>
          <w:tcPr>
            <w:tcW w:w="1456" w:type="dxa"/>
            <w:shd w:val="clear" w:color="auto" w:fill="auto"/>
          </w:tcPr>
          <w:p w14:paraId="185641E2" w14:textId="77777777" w:rsidR="00CF2A18" w:rsidRPr="00963A4F" w:rsidRDefault="00CF2A18" w:rsidP="00D86CD5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402A2EE1" w14:textId="77777777" w:rsidR="00CF2A18" w:rsidRPr="00963A4F" w:rsidRDefault="00CF2A18" w:rsidP="00D86CD5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963A4F">
              <w:rPr>
                <w:rFonts w:asciiTheme="minorHAnsi" w:eastAsia="Calibri" w:hAnsiTheme="minorHAnsi" w:cs="Arial"/>
                <w:sz w:val="20"/>
                <w:szCs w:val="20"/>
              </w:rPr>
              <w:t>Positions funded by Revolving Fund</w:t>
            </w:r>
          </w:p>
        </w:tc>
        <w:tc>
          <w:tcPr>
            <w:tcW w:w="3420" w:type="dxa"/>
            <w:shd w:val="clear" w:color="auto" w:fill="auto"/>
          </w:tcPr>
          <w:p w14:paraId="2D5534EC" w14:textId="77777777" w:rsidR="00CF2A18" w:rsidRPr="00963A4F" w:rsidRDefault="00CF2A18" w:rsidP="00D86CD5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963A4F">
              <w:rPr>
                <w:rFonts w:asciiTheme="minorHAnsi" w:hAnsiTheme="minorHAnsi" w:cs="Arial"/>
                <w:sz w:val="20"/>
                <w:szCs w:val="20"/>
              </w:rPr>
              <w:t>Acquisition operations, policy and logistics</w:t>
            </w:r>
          </w:p>
        </w:tc>
        <w:tc>
          <w:tcPr>
            <w:tcW w:w="2016" w:type="dxa"/>
          </w:tcPr>
          <w:p w14:paraId="38DC0AA4" w14:textId="77777777" w:rsidR="00CF2A18" w:rsidRPr="00963A4F" w:rsidRDefault="00CF2A18" w:rsidP="00D86CD5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CF2A18" w:rsidRPr="00963A4F" w14:paraId="0D92502B" w14:textId="77777777" w:rsidTr="00D86CD5">
        <w:tc>
          <w:tcPr>
            <w:tcW w:w="1785" w:type="dxa"/>
            <w:vMerge/>
            <w:shd w:val="clear" w:color="auto" w:fill="auto"/>
          </w:tcPr>
          <w:p w14:paraId="12853F01" w14:textId="77777777" w:rsidR="00CF2A18" w:rsidRPr="00963A4F" w:rsidRDefault="00CF2A18" w:rsidP="00D86CD5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14:paraId="1CCECFB9" w14:textId="77777777" w:rsidR="00CF2A18" w:rsidRPr="00963A4F" w:rsidRDefault="00CF2A18" w:rsidP="00D86CD5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14:paraId="4503B530" w14:textId="77777777" w:rsidR="00CF2A18" w:rsidRPr="00963A4F" w:rsidRDefault="00CF2A18" w:rsidP="00D86CD5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963A4F">
              <w:rPr>
                <w:rFonts w:asciiTheme="minorHAnsi" w:eastAsia="Calibri" w:hAnsiTheme="minorHAnsi" w:cs="Arial"/>
                <w:sz w:val="20"/>
                <w:szCs w:val="20"/>
              </w:rPr>
              <w:t>35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3A4AC921" w14:textId="77777777" w:rsidR="00CF2A18" w:rsidRPr="00963A4F" w:rsidRDefault="00CF2A18" w:rsidP="00D86CD5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14:paraId="6212D6E5" w14:textId="5B24EC5D" w:rsidR="00CF2A18" w:rsidRPr="00963A4F" w:rsidRDefault="00EB5138" w:rsidP="00D72475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Reimbursed from VHA </w:t>
            </w:r>
            <w:r w:rsidR="00D72475">
              <w:rPr>
                <w:rFonts w:asciiTheme="minorHAnsi" w:hAnsiTheme="minorHAnsi" w:cs="Arial"/>
                <w:sz w:val="20"/>
                <w:szCs w:val="20"/>
              </w:rPr>
              <w:t>Advance</w:t>
            </w:r>
            <w:r w:rsidR="00CF2A18" w:rsidRPr="00963A4F">
              <w:rPr>
                <w:rFonts w:asciiTheme="minorHAnsi" w:hAnsiTheme="minorHAnsi" w:cs="Arial"/>
                <w:sz w:val="20"/>
                <w:szCs w:val="20"/>
              </w:rPr>
              <w:t xml:space="preserve"> Appropriation</w:t>
            </w:r>
          </w:p>
        </w:tc>
        <w:tc>
          <w:tcPr>
            <w:tcW w:w="3420" w:type="dxa"/>
            <w:shd w:val="clear" w:color="auto" w:fill="auto"/>
          </w:tcPr>
          <w:p w14:paraId="07CAFC37" w14:textId="77777777" w:rsidR="00CF2A18" w:rsidRPr="00963A4F" w:rsidRDefault="00CF2A18" w:rsidP="00D86CD5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963A4F">
              <w:rPr>
                <w:rFonts w:asciiTheme="minorHAnsi" w:eastAsia="Calibri" w:hAnsiTheme="minorHAnsi" w:cs="Arial"/>
                <w:sz w:val="20"/>
                <w:szCs w:val="20"/>
              </w:rPr>
              <w:t>Oversee lease build-out activities</w:t>
            </w:r>
          </w:p>
        </w:tc>
        <w:tc>
          <w:tcPr>
            <w:tcW w:w="2016" w:type="dxa"/>
          </w:tcPr>
          <w:p w14:paraId="113A8879" w14:textId="77777777" w:rsidR="00CF2A18" w:rsidRPr="00963A4F" w:rsidRDefault="00CF2A18" w:rsidP="00D86CD5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CF2A18" w:rsidRPr="00963A4F" w14:paraId="722B588F" w14:textId="77777777" w:rsidTr="00D86CD5">
        <w:tc>
          <w:tcPr>
            <w:tcW w:w="1785" w:type="dxa"/>
            <w:vMerge/>
            <w:shd w:val="clear" w:color="auto" w:fill="auto"/>
          </w:tcPr>
          <w:p w14:paraId="411A3CAA" w14:textId="77777777" w:rsidR="00CF2A18" w:rsidRPr="00963A4F" w:rsidRDefault="00CF2A18" w:rsidP="00D86CD5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14:paraId="269624B2" w14:textId="77777777" w:rsidR="00CF2A18" w:rsidRPr="00963A4F" w:rsidRDefault="00CF2A18" w:rsidP="00D86CD5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14:paraId="690A7975" w14:textId="77777777" w:rsidR="00CF2A18" w:rsidRPr="00963A4F" w:rsidRDefault="00CF2A18" w:rsidP="00D86CD5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963A4F">
              <w:rPr>
                <w:rFonts w:asciiTheme="minorHAnsi" w:eastAsia="Calibri" w:hAnsiTheme="minorHAnsi" w:cs="Arial"/>
                <w:sz w:val="20"/>
                <w:szCs w:val="20"/>
              </w:rPr>
              <w:t>130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51E27191" w14:textId="77777777" w:rsidR="00CF2A18" w:rsidRPr="00963A4F" w:rsidRDefault="00CF2A18" w:rsidP="00D86CD5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14:paraId="772BAF60" w14:textId="77777777" w:rsidR="00CF2A18" w:rsidRPr="00963A4F" w:rsidRDefault="00CF2A18" w:rsidP="00D86CD5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963A4F">
              <w:rPr>
                <w:rFonts w:asciiTheme="minorHAnsi" w:eastAsia="Calibri" w:hAnsiTheme="minorHAnsi" w:cs="Arial"/>
                <w:sz w:val="20"/>
                <w:szCs w:val="20"/>
              </w:rPr>
              <w:t>5-year Appropriations</w:t>
            </w:r>
          </w:p>
        </w:tc>
        <w:tc>
          <w:tcPr>
            <w:tcW w:w="3420" w:type="dxa"/>
            <w:shd w:val="clear" w:color="auto" w:fill="auto"/>
          </w:tcPr>
          <w:p w14:paraId="61F3DEB3" w14:textId="77777777" w:rsidR="00CF2A18" w:rsidRPr="00963A4F" w:rsidRDefault="00CF2A18" w:rsidP="00D86CD5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963A4F">
              <w:rPr>
                <w:rFonts w:asciiTheme="minorHAnsi" w:eastAsia="Calibri" w:hAnsiTheme="minorHAnsi" w:cs="Arial"/>
                <w:sz w:val="20"/>
                <w:szCs w:val="20"/>
              </w:rPr>
              <w:t>Oversee major construction project execution at job sites</w:t>
            </w:r>
          </w:p>
        </w:tc>
        <w:tc>
          <w:tcPr>
            <w:tcW w:w="2016" w:type="dxa"/>
          </w:tcPr>
          <w:p w14:paraId="63B3575C" w14:textId="77777777" w:rsidR="00CF2A18" w:rsidRPr="00963A4F" w:rsidRDefault="00CF2A18" w:rsidP="00D86CD5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CF2A18" w:rsidRPr="00963A4F" w14:paraId="5C8727B3" w14:textId="77777777" w:rsidTr="00D86CD5">
        <w:tc>
          <w:tcPr>
            <w:tcW w:w="1785" w:type="dxa"/>
            <w:vMerge/>
            <w:shd w:val="clear" w:color="auto" w:fill="auto"/>
          </w:tcPr>
          <w:p w14:paraId="03F1549F" w14:textId="77777777" w:rsidR="00CF2A18" w:rsidRPr="00963A4F" w:rsidRDefault="00CF2A18" w:rsidP="00D86CD5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14:paraId="5C48162D" w14:textId="77777777" w:rsidR="00CF2A18" w:rsidRPr="00963A4F" w:rsidRDefault="00CF2A18" w:rsidP="00D86CD5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14:paraId="5487A1F3" w14:textId="77777777" w:rsidR="00CF2A18" w:rsidRPr="00963A4F" w:rsidRDefault="00CF2A18" w:rsidP="00D86CD5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14:paraId="725CCCCD" w14:textId="77777777" w:rsidR="00CF2A18" w:rsidRPr="00963A4F" w:rsidRDefault="00CF2A18" w:rsidP="00D86CD5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963A4F">
              <w:rPr>
                <w:rFonts w:asciiTheme="minorHAnsi" w:eastAsia="Calibri" w:hAnsiTheme="minorHAnsi" w:cs="Arial"/>
                <w:sz w:val="20"/>
                <w:szCs w:val="20"/>
              </w:rPr>
              <w:t>6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6D29D965" w14:textId="77777777" w:rsidR="00CF2A18" w:rsidRPr="00963A4F" w:rsidRDefault="00CF2A18" w:rsidP="00D86CD5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963A4F">
              <w:rPr>
                <w:rFonts w:asciiTheme="minorHAnsi" w:eastAsia="Calibri" w:hAnsiTheme="minorHAnsi" w:cs="Arial"/>
                <w:sz w:val="20"/>
                <w:szCs w:val="20"/>
              </w:rPr>
              <w:t>Functions that support activities funded by appropriations that do not expire</w:t>
            </w:r>
          </w:p>
        </w:tc>
        <w:tc>
          <w:tcPr>
            <w:tcW w:w="3420" w:type="dxa"/>
            <w:shd w:val="clear" w:color="auto" w:fill="auto"/>
          </w:tcPr>
          <w:p w14:paraId="7985DA5E" w14:textId="77777777" w:rsidR="00CF2A18" w:rsidRPr="00963A4F" w:rsidRDefault="00CF2A18" w:rsidP="00D86CD5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963A4F">
              <w:rPr>
                <w:rFonts w:asciiTheme="minorHAnsi" w:eastAsia="Calibri" w:hAnsiTheme="minorHAnsi" w:cs="Arial"/>
                <w:sz w:val="20"/>
                <w:szCs w:val="20"/>
              </w:rPr>
              <w:t>Contracting officers and program managers who support VA’s major construc</w:t>
            </w:r>
            <w:r w:rsidRPr="00963A4F">
              <w:rPr>
                <w:rFonts w:asciiTheme="minorHAnsi" w:eastAsia="Calibri" w:hAnsiTheme="minorHAnsi" w:cs="Arial"/>
                <w:sz w:val="20"/>
                <w:szCs w:val="20"/>
              </w:rPr>
              <w:softHyphen/>
              <w:t>tion and lease projects</w:t>
            </w:r>
          </w:p>
        </w:tc>
        <w:tc>
          <w:tcPr>
            <w:tcW w:w="2016" w:type="dxa"/>
          </w:tcPr>
          <w:p w14:paraId="1F1750E5" w14:textId="77777777" w:rsidR="00CF2A18" w:rsidRPr="00963A4F" w:rsidRDefault="00CF2A18" w:rsidP="00D86CD5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</w:tbl>
    <w:p w14:paraId="5D9734C5" w14:textId="77777777" w:rsidR="00D41575" w:rsidRDefault="00D41575">
      <w:pPr>
        <w:spacing w:before="0" w:after="0"/>
        <w:rPr>
          <w:rFonts w:ascii="Arial Narrow Bold" w:hAnsi="Arial Narrow Bold" w:cs="Times New Roman"/>
          <w:b/>
          <w:bCs/>
          <w:color w:val="1F497D"/>
          <w:kern w:val="32"/>
          <w:sz w:val="36"/>
          <w:szCs w:val="32"/>
        </w:rPr>
      </w:pPr>
      <w:r>
        <w:rPr>
          <w:rFonts w:ascii="Arial Narrow Bold" w:hAnsi="Arial Narrow Bold" w:cs="Times New Roman"/>
          <w:b/>
          <w:bCs/>
          <w:color w:val="1F497D"/>
          <w:kern w:val="32"/>
          <w:sz w:val="36"/>
          <w:szCs w:val="32"/>
        </w:rPr>
        <w:br w:type="page"/>
      </w:r>
    </w:p>
    <w:p w14:paraId="3DB6F386" w14:textId="2A24B742" w:rsidR="00860EE8" w:rsidRPr="00D41575" w:rsidRDefault="002F3378" w:rsidP="00D41575">
      <w:pPr>
        <w:rPr>
          <w:rFonts w:asciiTheme="minorHAnsi" w:hAnsiTheme="minorHAnsi" w:cs="Times New Roman"/>
          <w:b/>
          <w:bCs/>
          <w:color w:val="1F497D"/>
          <w:sz w:val="32"/>
          <w:szCs w:val="28"/>
        </w:rPr>
      </w:pPr>
      <w:r w:rsidRPr="00D41575">
        <w:rPr>
          <w:rFonts w:asciiTheme="minorHAnsi" w:hAnsiTheme="minorHAnsi" w:cs="Times New Roman"/>
          <w:b/>
          <w:bCs/>
          <w:color w:val="1F497D"/>
          <w:sz w:val="32"/>
          <w:szCs w:val="28"/>
        </w:rPr>
        <w:lastRenderedPageBreak/>
        <w:t>Office of General Counsel</w:t>
      </w:r>
    </w:p>
    <w:p w14:paraId="2C469AF9" w14:textId="77777777" w:rsidR="00963671" w:rsidRDefault="00963671" w:rsidP="00963671">
      <w:pPr>
        <w:rPr>
          <w:color w:val="1F497D"/>
        </w:rPr>
      </w:pPr>
    </w:p>
    <w:tbl>
      <w:tblPr>
        <w:tblW w:w="145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1293"/>
        <w:gridCol w:w="1350"/>
        <w:gridCol w:w="1350"/>
        <w:gridCol w:w="3330"/>
        <w:gridCol w:w="3690"/>
        <w:gridCol w:w="1746"/>
      </w:tblGrid>
      <w:tr w:rsidR="00963671" w14:paraId="30F673DC" w14:textId="77777777" w:rsidTr="00963671"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41EB2" w14:textId="77777777" w:rsidR="00963671" w:rsidRDefault="00963671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380A5D25" w14:textId="77777777" w:rsidR="00963671" w:rsidRDefault="0096367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0A41D0D" w14:textId="77777777" w:rsidR="00963671" w:rsidRDefault="00963671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 Unit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B2F93" w14:textId="77777777" w:rsidR="00963671" w:rsidRDefault="00963671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695CE88D" w14:textId="77777777" w:rsidR="00963671" w:rsidRDefault="0096367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C525FE0" w14:textId="77777777" w:rsidR="00963671" w:rsidRDefault="00963671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# of Employees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4CCCB" w14:textId="77777777" w:rsidR="00963671" w:rsidRDefault="00963671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# of Fully Funded (not subject to lapse; will continue to work)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17F55" w14:textId="77777777" w:rsidR="00963671" w:rsidRDefault="00963671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# of Excepted Employees (legal basis; will continue to work)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EB5D2" w14:textId="77777777" w:rsidR="00963671" w:rsidRDefault="00963671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08B2203F" w14:textId="77777777" w:rsidR="00963671" w:rsidRDefault="0096367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48BB407" w14:textId="77777777" w:rsidR="00963671" w:rsidRDefault="00963671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Legal Basis for Decision or Full Funding Source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651A6" w14:textId="77777777" w:rsidR="00963671" w:rsidRDefault="00963671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31F736BB" w14:textId="77777777" w:rsidR="00963671" w:rsidRDefault="0096367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3FB6D49" w14:textId="77777777" w:rsidR="00963671" w:rsidRDefault="00963671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Functions to be Performed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C830E" w14:textId="77777777" w:rsidR="00963671" w:rsidRDefault="00963671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</w:p>
          <w:p w14:paraId="025C7B65" w14:textId="77777777" w:rsidR="00963671" w:rsidRDefault="00963671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# of Non-Excepted Employees (subject to furlough)</w:t>
            </w:r>
          </w:p>
        </w:tc>
      </w:tr>
      <w:tr w:rsidR="00963671" w14:paraId="0D99C34F" w14:textId="77777777" w:rsidTr="00963671">
        <w:trPr>
          <w:cantSplit/>
        </w:trPr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7922B" w14:textId="77777777" w:rsidR="00963671" w:rsidRDefault="00963671">
            <w:pPr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Office of General Counsel (OGC) - OGC provides legal advice and services to the SECVA and all organizational components of the Department</w:t>
            </w:r>
          </w:p>
          <w:p w14:paraId="783F64E4" w14:textId="77777777" w:rsidR="00963671" w:rsidRDefault="00963671">
            <w:pPr>
              <w:spacing w:line="320" w:lineRule="atLeas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E86F9" w14:textId="77777777" w:rsidR="00963671" w:rsidRDefault="00963671">
            <w:pPr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712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CD9F2" w14:textId="77777777" w:rsidR="00963671" w:rsidRDefault="009636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1EA70" w14:textId="77777777" w:rsidR="00963671" w:rsidRDefault="00963671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B9625" w14:textId="77777777" w:rsidR="00963671" w:rsidRDefault="00963671">
            <w:pPr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Reimbursed through the Credit Reform (Loan Guaranty) revolving fund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BB98D" w14:textId="77777777" w:rsidR="00963671" w:rsidRDefault="00963671">
            <w:pPr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Legal advice for funded programs (i.e. the Department’s Loan Guaranty program)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9FADD" w14:textId="77777777" w:rsidR="00963671" w:rsidRDefault="00963671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963671" w14:paraId="3A6832F3" w14:textId="77777777" w:rsidTr="0096367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66B10" w14:textId="77777777" w:rsidR="00963671" w:rsidRDefault="00963671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A63BF3" w14:textId="77777777" w:rsidR="00963671" w:rsidRDefault="00963671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6ABC6" w14:textId="77777777" w:rsidR="00963671" w:rsidRDefault="00963671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8A43F" w14:textId="77777777" w:rsidR="00963671" w:rsidRDefault="009636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1CC25" w14:textId="77777777" w:rsidR="00963671" w:rsidRDefault="00963671">
            <w:pPr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Reimbursed through the Medical Savings Support &amp; Compliance advance appropriation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17751" w14:textId="77777777" w:rsidR="00963671" w:rsidRDefault="00963671">
            <w:pPr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Legal support for the Department’s medical collections program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B2A07" w14:textId="77777777" w:rsidR="00963671" w:rsidRDefault="00963671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963671" w14:paraId="5EDB6B8D" w14:textId="77777777" w:rsidTr="0096367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77570A" w14:textId="77777777" w:rsidR="00963671" w:rsidRDefault="00963671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52EE67" w14:textId="77777777" w:rsidR="00963671" w:rsidRDefault="00963671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0C21C" w14:textId="77777777" w:rsidR="00963671" w:rsidRDefault="00963671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353BC" w14:textId="77777777" w:rsidR="00963671" w:rsidRDefault="009636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0298B" w14:textId="77777777" w:rsidR="00963671" w:rsidRDefault="00963671">
            <w:pPr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Reimbursed through the Supply Fund revolving fund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66F98" w14:textId="77777777" w:rsidR="00963671" w:rsidRDefault="00963671">
            <w:pPr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Legal support for the Department’s procurement program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3F99B" w14:textId="77777777" w:rsidR="00963671" w:rsidRDefault="00963671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963671" w14:paraId="70F9ED12" w14:textId="77777777" w:rsidTr="0096367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B9DB90" w14:textId="77777777" w:rsidR="00963671" w:rsidRDefault="00963671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28E6E6" w14:textId="77777777" w:rsidR="00963671" w:rsidRDefault="00963671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ED93F" w14:textId="77777777" w:rsidR="00963671" w:rsidRDefault="00963671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141F7" w14:textId="77777777" w:rsidR="00963671" w:rsidRDefault="00963671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C9925" w14:textId="77777777" w:rsidR="00963671" w:rsidRDefault="00963671">
            <w:pPr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the US Court of Appeals for Veterans Claims (CAVC) remains open, but does not grant continuances, the employees would be </w:t>
            </w:r>
            <w:proofErr w:type="gramStart"/>
            <w:r>
              <w:rPr>
                <w:sz w:val="20"/>
                <w:szCs w:val="20"/>
              </w:rPr>
              <w:t>excepted</w:t>
            </w:r>
            <w:proofErr w:type="gramEnd"/>
            <w:r>
              <w:rPr>
                <w:sz w:val="20"/>
                <w:szCs w:val="20"/>
              </w:rPr>
              <w:t xml:space="preserve"> in order to protect VA property interests in those cases.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BD005" w14:textId="77777777" w:rsidR="00963671" w:rsidRDefault="00963671">
            <w:pPr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Representation of the Secretary for appeals filed with CAVC and which have not been stayed by that court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836C5" w14:textId="77777777" w:rsidR="00963671" w:rsidRDefault="00963671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963671" w14:paraId="5B1F32E7" w14:textId="77777777" w:rsidTr="0096367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08ACA6" w14:textId="77777777" w:rsidR="00963671" w:rsidRDefault="00963671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D41F5D" w14:textId="77777777" w:rsidR="00963671" w:rsidRDefault="00963671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4226E" w14:textId="77777777" w:rsidR="00963671" w:rsidRDefault="00963671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9A229" w14:textId="77777777" w:rsidR="00963671" w:rsidRDefault="00963671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EF4AF" w14:textId="77777777" w:rsidR="00963671" w:rsidRDefault="00963671">
            <w:pPr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Protection of life and property (to support VHA, VBA, and other funded programs);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DA5BC" w14:textId="77777777" w:rsidR="00963671" w:rsidRDefault="00963671">
            <w:pPr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Legal advice for funded programs and support to courts;  Supervisors to oversee work of excepted employees, triage requests for the protection of life and property (e.g. guardianship requests, end-of-life decisions, etc.) and to decide whether other employees must be recalled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BCDB4" w14:textId="77777777" w:rsidR="00963671" w:rsidRDefault="00963671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963671" w14:paraId="1FE715DE" w14:textId="77777777" w:rsidTr="0096367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F0B0D1" w14:textId="77777777" w:rsidR="00963671" w:rsidRDefault="00963671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BC2727" w14:textId="77777777" w:rsidR="00963671" w:rsidRDefault="00963671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6EC38" w14:textId="77777777" w:rsidR="00963671" w:rsidRDefault="00963671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0ED26" w14:textId="77777777" w:rsidR="00963671" w:rsidRDefault="00963671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6853F" w14:textId="77777777" w:rsidR="00963671" w:rsidRDefault="00963671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2B5CE" w14:textId="77777777" w:rsidR="00963671" w:rsidRDefault="00963671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5533C" w14:textId="77777777" w:rsidR="00963671" w:rsidRDefault="00963671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491</w:t>
            </w:r>
          </w:p>
        </w:tc>
      </w:tr>
    </w:tbl>
    <w:p w14:paraId="3DB6F3BD" w14:textId="0CF3F542" w:rsidR="00963671" w:rsidRDefault="00963671">
      <w:pP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0614947C" w14:textId="77777777" w:rsidR="002F3378" w:rsidRDefault="002F3378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3DB6F437" w14:textId="4E293EA7" w:rsidR="00D41575" w:rsidRPr="00D41575" w:rsidRDefault="00D41575" w:rsidP="00D41575">
      <w:pPr>
        <w:rPr>
          <w:rFonts w:asciiTheme="minorHAnsi" w:hAnsiTheme="minorHAnsi" w:cs="Times New Roman"/>
          <w:b/>
          <w:bCs/>
          <w:color w:val="1F497D"/>
          <w:sz w:val="32"/>
          <w:szCs w:val="28"/>
        </w:rPr>
      </w:pPr>
      <w:r w:rsidRPr="00D41575">
        <w:rPr>
          <w:rFonts w:asciiTheme="minorHAnsi" w:hAnsiTheme="minorHAnsi" w:cs="Times New Roman"/>
          <w:b/>
          <w:bCs/>
          <w:color w:val="1F497D"/>
          <w:sz w:val="32"/>
          <w:szCs w:val="28"/>
        </w:rPr>
        <w:t>Office of Management</w:t>
      </w:r>
    </w:p>
    <w:tbl>
      <w:tblPr>
        <w:tblW w:w="145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2"/>
        <w:gridCol w:w="1658"/>
        <w:gridCol w:w="1397"/>
        <w:gridCol w:w="1452"/>
        <w:gridCol w:w="2847"/>
        <w:gridCol w:w="3402"/>
        <w:gridCol w:w="2006"/>
      </w:tblGrid>
      <w:tr w:rsidR="00CF40CE" w:rsidRPr="00CF40CE" w14:paraId="7F07EC32" w14:textId="77777777" w:rsidTr="00767B18"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913D1" w14:textId="77777777" w:rsidR="00C1140B" w:rsidRPr="00CF40CE" w:rsidRDefault="00C1140B" w:rsidP="00767B18">
            <w:pPr>
              <w:jc w:val="center"/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</w:pPr>
          </w:p>
          <w:p w14:paraId="16C9FE3D" w14:textId="77777777" w:rsidR="00C1140B" w:rsidRPr="00CF40CE" w:rsidRDefault="00C1140B" w:rsidP="00767B1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5E2B1E4F" w14:textId="77777777" w:rsidR="00C1140B" w:rsidRPr="00CF40CE" w:rsidRDefault="00C1140B" w:rsidP="00767B18">
            <w:pPr>
              <w:jc w:val="center"/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</w:pPr>
            <w:r w:rsidRPr="00CF40CE">
              <w:rPr>
                <w:rFonts w:asciiTheme="minorHAnsi" w:hAnsiTheme="minorHAnsi"/>
                <w:b/>
                <w:bCs/>
                <w:sz w:val="20"/>
                <w:szCs w:val="20"/>
              </w:rPr>
              <w:t>VA Unit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6A6B9" w14:textId="77777777" w:rsidR="00C1140B" w:rsidRPr="00CF40CE" w:rsidRDefault="00C1140B" w:rsidP="00767B18">
            <w:pPr>
              <w:jc w:val="center"/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</w:pPr>
          </w:p>
          <w:p w14:paraId="46A6E1DF" w14:textId="77777777" w:rsidR="00C1140B" w:rsidRPr="00CF40CE" w:rsidRDefault="00C1140B" w:rsidP="00767B1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0B33F99D" w14:textId="77777777" w:rsidR="00C1140B" w:rsidRPr="00CF40CE" w:rsidRDefault="00C1140B" w:rsidP="00767B18">
            <w:pPr>
              <w:jc w:val="center"/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</w:pPr>
            <w:r w:rsidRPr="00CF40CE">
              <w:rPr>
                <w:rFonts w:asciiTheme="minorHAnsi" w:hAnsiTheme="minorHAnsi"/>
                <w:b/>
                <w:bCs/>
                <w:sz w:val="20"/>
                <w:szCs w:val="20"/>
              </w:rPr>
              <w:t>Total # of Employees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BA817" w14:textId="77777777" w:rsidR="00C1140B" w:rsidRPr="00CF40CE" w:rsidRDefault="00C1140B" w:rsidP="00767B18">
            <w:pPr>
              <w:jc w:val="center"/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</w:pPr>
            <w:r w:rsidRPr="00CF40CE">
              <w:rPr>
                <w:rFonts w:asciiTheme="minorHAnsi" w:hAnsiTheme="minorHAnsi"/>
                <w:b/>
                <w:bCs/>
                <w:sz w:val="20"/>
                <w:szCs w:val="20"/>
              </w:rPr>
              <w:t># of Fully Funded (not subject to lapse; will continue to work)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C7311" w14:textId="77777777" w:rsidR="00C1140B" w:rsidRPr="00CF40CE" w:rsidRDefault="00C1140B" w:rsidP="00767B18">
            <w:pPr>
              <w:jc w:val="center"/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</w:pPr>
            <w:r w:rsidRPr="00CF40CE">
              <w:rPr>
                <w:rFonts w:asciiTheme="minorHAnsi" w:hAnsiTheme="minorHAnsi"/>
                <w:b/>
                <w:bCs/>
                <w:sz w:val="20"/>
                <w:szCs w:val="20"/>
              </w:rPr>
              <w:t># of Excepted Employees (legal basis; will continue to work)</w:t>
            </w:r>
          </w:p>
        </w:tc>
        <w:tc>
          <w:tcPr>
            <w:tcW w:w="2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71E8F" w14:textId="77777777" w:rsidR="00C1140B" w:rsidRPr="00CF40CE" w:rsidRDefault="00C1140B" w:rsidP="00767B18">
            <w:pPr>
              <w:jc w:val="center"/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</w:pPr>
          </w:p>
          <w:p w14:paraId="71ABFD15" w14:textId="77777777" w:rsidR="00C1140B" w:rsidRPr="00CF40CE" w:rsidRDefault="00C1140B" w:rsidP="00767B1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6E19041D" w14:textId="77777777" w:rsidR="00C1140B" w:rsidRPr="00CF40CE" w:rsidRDefault="00C1140B" w:rsidP="00767B18">
            <w:pPr>
              <w:jc w:val="center"/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</w:pPr>
            <w:r w:rsidRPr="00CF40CE">
              <w:rPr>
                <w:rFonts w:asciiTheme="minorHAnsi" w:hAnsiTheme="minorHAnsi"/>
                <w:b/>
                <w:bCs/>
                <w:sz w:val="20"/>
                <w:szCs w:val="20"/>
              </w:rPr>
              <w:t>Legal Basis for Decision or Full Funding Source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FC58B" w14:textId="77777777" w:rsidR="00C1140B" w:rsidRPr="00CF40CE" w:rsidRDefault="00C1140B" w:rsidP="00767B18">
            <w:pPr>
              <w:jc w:val="center"/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</w:pPr>
          </w:p>
          <w:p w14:paraId="680A4CD2" w14:textId="77777777" w:rsidR="00C1140B" w:rsidRPr="00CF40CE" w:rsidRDefault="00C1140B" w:rsidP="00767B1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6E3200A2" w14:textId="77777777" w:rsidR="00C1140B" w:rsidRPr="00CF40CE" w:rsidRDefault="00C1140B" w:rsidP="00767B18">
            <w:pPr>
              <w:jc w:val="center"/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</w:pPr>
            <w:r w:rsidRPr="00CF40CE">
              <w:rPr>
                <w:rFonts w:asciiTheme="minorHAnsi" w:hAnsiTheme="minorHAnsi"/>
                <w:b/>
                <w:bCs/>
                <w:sz w:val="20"/>
                <w:szCs w:val="20"/>
              </w:rPr>
              <w:t>Functions to be Performed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F39B8" w14:textId="77777777" w:rsidR="00C1140B" w:rsidRPr="00CF40CE" w:rsidRDefault="00C1140B" w:rsidP="00767B18">
            <w:pPr>
              <w:jc w:val="center"/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</w:pPr>
          </w:p>
          <w:p w14:paraId="6D660CDA" w14:textId="77777777" w:rsidR="00C1140B" w:rsidRPr="00CF40CE" w:rsidRDefault="00C1140B" w:rsidP="00767B18">
            <w:pPr>
              <w:jc w:val="center"/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</w:pPr>
            <w:r w:rsidRPr="00CF40CE">
              <w:rPr>
                <w:rFonts w:asciiTheme="minorHAnsi" w:hAnsiTheme="minorHAnsi"/>
                <w:b/>
                <w:bCs/>
                <w:sz w:val="20"/>
                <w:szCs w:val="20"/>
              </w:rPr>
              <w:t># of Non-Excepted Employees (subject to furlough)</w:t>
            </w:r>
          </w:p>
        </w:tc>
      </w:tr>
      <w:tr w:rsidR="00CF40CE" w:rsidRPr="00CF40CE" w14:paraId="455E7E28" w14:textId="77777777" w:rsidTr="00767B18">
        <w:trPr>
          <w:cantSplit/>
          <w:trHeight w:val="593"/>
        </w:trPr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D34AB" w14:textId="77777777" w:rsidR="00C1140B" w:rsidRPr="00CF40CE" w:rsidRDefault="00C1140B" w:rsidP="00767B1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CF40CE">
              <w:rPr>
                <w:rFonts w:asciiTheme="minorHAnsi" w:hAnsiTheme="minorHAnsi"/>
                <w:b/>
                <w:bCs/>
                <w:sz w:val="20"/>
                <w:szCs w:val="20"/>
              </w:rPr>
              <w:t>Office of Management (OM)</w:t>
            </w:r>
          </w:p>
          <w:p w14:paraId="25DA83BA" w14:textId="77777777" w:rsidR="00C1140B" w:rsidRPr="00CF40CE" w:rsidRDefault="00C1140B" w:rsidP="00C1140B">
            <w:pPr>
              <w:numPr>
                <w:ilvl w:val="0"/>
                <w:numId w:val="33"/>
              </w:numPr>
              <w:spacing w:before="0" w:after="80"/>
              <w:ind w:left="158" w:hanging="158"/>
              <w:rPr>
                <w:rFonts w:asciiTheme="minorHAnsi" w:hAnsiTheme="minorHAnsi"/>
                <w:sz w:val="20"/>
                <w:szCs w:val="20"/>
              </w:rPr>
            </w:pPr>
            <w:r w:rsidRPr="00CF40CE">
              <w:rPr>
                <w:rFonts w:asciiTheme="minorHAnsi" w:hAnsiTheme="minorHAnsi"/>
                <w:sz w:val="20"/>
                <w:szCs w:val="20"/>
              </w:rPr>
              <w:t>Budget</w:t>
            </w:r>
          </w:p>
          <w:p w14:paraId="4AFC36EF" w14:textId="77777777" w:rsidR="00C1140B" w:rsidRPr="00CF40CE" w:rsidRDefault="00C1140B" w:rsidP="00C1140B">
            <w:pPr>
              <w:numPr>
                <w:ilvl w:val="0"/>
                <w:numId w:val="33"/>
              </w:numPr>
              <w:spacing w:before="0" w:after="80"/>
              <w:ind w:left="158" w:hanging="158"/>
              <w:rPr>
                <w:rFonts w:asciiTheme="minorHAnsi" w:hAnsiTheme="minorHAnsi"/>
                <w:sz w:val="20"/>
                <w:szCs w:val="20"/>
              </w:rPr>
            </w:pPr>
            <w:r w:rsidRPr="00CF40CE">
              <w:rPr>
                <w:rFonts w:asciiTheme="minorHAnsi" w:hAnsiTheme="minorHAnsi"/>
                <w:sz w:val="20"/>
                <w:szCs w:val="20"/>
              </w:rPr>
              <w:t>Financial Management</w:t>
            </w:r>
          </w:p>
          <w:p w14:paraId="48D449C9" w14:textId="77777777" w:rsidR="00C1140B" w:rsidRPr="00CF40CE" w:rsidRDefault="00C1140B" w:rsidP="00C1140B">
            <w:pPr>
              <w:numPr>
                <w:ilvl w:val="0"/>
                <w:numId w:val="33"/>
              </w:numPr>
              <w:spacing w:before="0" w:after="80"/>
              <w:ind w:left="158" w:hanging="158"/>
              <w:rPr>
                <w:rFonts w:asciiTheme="minorHAnsi" w:hAnsiTheme="minorHAnsi"/>
                <w:sz w:val="20"/>
                <w:szCs w:val="20"/>
              </w:rPr>
            </w:pPr>
            <w:r w:rsidRPr="00CF40CE">
              <w:rPr>
                <w:rFonts w:asciiTheme="minorHAnsi" w:hAnsiTheme="minorHAnsi"/>
                <w:sz w:val="20"/>
                <w:szCs w:val="20"/>
              </w:rPr>
              <w:t>Asset Enterprise Management</w:t>
            </w:r>
          </w:p>
          <w:p w14:paraId="131F917E" w14:textId="77777777" w:rsidR="00C1140B" w:rsidRPr="00CF40CE" w:rsidRDefault="00C1140B" w:rsidP="00C1140B">
            <w:pPr>
              <w:numPr>
                <w:ilvl w:val="0"/>
                <w:numId w:val="33"/>
              </w:numPr>
              <w:spacing w:before="0" w:after="80"/>
              <w:ind w:left="158" w:hanging="158"/>
              <w:rPr>
                <w:rFonts w:asciiTheme="minorHAnsi" w:hAnsiTheme="minorHAnsi"/>
                <w:sz w:val="20"/>
                <w:szCs w:val="20"/>
              </w:rPr>
            </w:pPr>
            <w:r w:rsidRPr="00CF40CE">
              <w:rPr>
                <w:rFonts w:asciiTheme="minorHAnsi" w:hAnsiTheme="minorHAnsi"/>
                <w:sz w:val="20"/>
                <w:szCs w:val="20"/>
              </w:rPr>
              <w:t xml:space="preserve">Business Oversight </w:t>
            </w:r>
          </w:p>
          <w:p w14:paraId="3D1D50B6" w14:textId="77777777" w:rsidR="00C1140B" w:rsidRPr="00CF40CE" w:rsidRDefault="00C1140B" w:rsidP="00C1140B">
            <w:pPr>
              <w:numPr>
                <w:ilvl w:val="0"/>
                <w:numId w:val="33"/>
              </w:numPr>
              <w:spacing w:before="0" w:after="80"/>
              <w:ind w:left="158" w:hanging="158"/>
              <w:rPr>
                <w:rFonts w:asciiTheme="minorHAnsi" w:hAnsiTheme="minorHAnsi"/>
                <w:sz w:val="20"/>
                <w:szCs w:val="20"/>
              </w:rPr>
            </w:pPr>
            <w:r w:rsidRPr="00CF40CE">
              <w:rPr>
                <w:rFonts w:asciiTheme="minorHAnsi" w:hAnsiTheme="minorHAnsi"/>
                <w:sz w:val="20"/>
                <w:szCs w:val="20"/>
              </w:rPr>
              <w:t>Performance Management</w:t>
            </w:r>
          </w:p>
          <w:p w14:paraId="28AE29F7" w14:textId="77777777" w:rsidR="00C1140B" w:rsidRPr="00CF40CE" w:rsidRDefault="00C1140B" w:rsidP="00C1140B">
            <w:pPr>
              <w:numPr>
                <w:ilvl w:val="0"/>
                <w:numId w:val="33"/>
              </w:numPr>
              <w:spacing w:before="0" w:after="80"/>
              <w:ind w:left="158" w:hanging="158"/>
              <w:rPr>
                <w:rFonts w:asciiTheme="minorHAnsi" w:hAnsiTheme="minorHAnsi"/>
                <w:sz w:val="20"/>
                <w:szCs w:val="20"/>
              </w:rPr>
            </w:pPr>
            <w:r w:rsidRPr="00CF40CE">
              <w:rPr>
                <w:rFonts w:asciiTheme="minorHAnsi" w:hAnsiTheme="minorHAnsi"/>
                <w:sz w:val="20"/>
                <w:szCs w:val="20"/>
              </w:rPr>
              <w:t>Enterprise Risk Management</w:t>
            </w:r>
          </w:p>
          <w:p w14:paraId="3C8CA606" w14:textId="77777777" w:rsidR="00C1140B" w:rsidRPr="00CF40CE" w:rsidRDefault="00C1140B" w:rsidP="00C1140B">
            <w:pPr>
              <w:numPr>
                <w:ilvl w:val="0"/>
                <w:numId w:val="33"/>
              </w:numPr>
              <w:spacing w:before="0" w:after="80"/>
              <w:ind w:left="158" w:hanging="158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CF40CE">
              <w:rPr>
                <w:rFonts w:asciiTheme="minorHAnsi" w:hAnsiTheme="minorHAnsi"/>
                <w:sz w:val="20"/>
                <w:szCs w:val="20"/>
              </w:rPr>
              <w:t xml:space="preserve">Energy &amp; Greening </w:t>
            </w:r>
          </w:p>
        </w:tc>
        <w:tc>
          <w:tcPr>
            <w:tcW w:w="16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9FDFB" w14:textId="77777777" w:rsidR="00C1140B" w:rsidRPr="00CF40CE" w:rsidRDefault="00C1140B" w:rsidP="00C1140B">
            <w:pPr>
              <w:numPr>
                <w:ilvl w:val="0"/>
                <w:numId w:val="33"/>
              </w:numPr>
              <w:spacing w:before="0" w:after="0"/>
              <w:ind w:left="144" w:hanging="144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CF40C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Total: </w:t>
            </w:r>
            <w:r w:rsidRPr="00CF40CE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</w:r>
            <w:r w:rsidRPr="00CF40CE">
              <w:rPr>
                <w:rFonts w:asciiTheme="minorHAnsi" w:hAnsiTheme="minorHAnsi"/>
                <w:sz w:val="20"/>
                <w:szCs w:val="20"/>
              </w:rPr>
              <w:t>820</w:t>
            </w:r>
          </w:p>
          <w:p w14:paraId="3221832A" w14:textId="77777777" w:rsidR="00C1140B" w:rsidRPr="00CF40CE" w:rsidRDefault="00C1140B" w:rsidP="00C1140B">
            <w:pPr>
              <w:numPr>
                <w:ilvl w:val="0"/>
                <w:numId w:val="33"/>
              </w:numPr>
              <w:spacing w:before="0" w:after="0"/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CF40CE">
              <w:rPr>
                <w:rFonts w:asciiTheme="minorHAnsi" w:hAnsiTheme="minorHAnsi"/>
                <w:b/>
                <w:bCs/>
                <w:sz w:val="20"/>
                <w:szCs w:val="20"/>
              </w:rPr>
              <w:t>24/7:  0</w:t>
            </w:r>
          </w:p>
          <w:p w14:paraId="4AB1BB33" w14:textId="77777777" w:rsidR="00C1140B" w:rsidRPr="00CF40CE" w:rsidRDefault="00C1140B" w:rsidP="00C1140B">
            <w:pPr>
              <w:numPr>
                <w:ilvl w:val="0"/>
                <w:numId w:val="33"/>
              </w:numPr>
              <w:spacing w:before="0" w:after="0"/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CF40C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Funded: </w:t>
            </w:r>
            <w:r w:rsidRPr="00CF40CE">
              <w:rPr>
                <w:rFonts w:asciiTheme="minorHAnsi" w:hAnsiTheme="minorHAnsi"/>
                <w:sz w:val="20"/>
                <w:szCs w:val="20"/>
              </w:rPr>
              <w:br/>
              <w:t>566</w:t>
            </w:r>
          </w:p>
          <w:p w14:paraId="1F675E4F" w14:textId="77777777" w:rsidR="00C1140B" w:rsidRPr="00CF40CE" w:rsidRDefault="00C1140B" w:rsidP="00C1140B">
            <w:pPr>
              <w:numPr>
                <w:ilvl w:val="0"/>
                <w:numId w:val="33"/>
              </w:numPr>
              <w:spacing w:before="0" w:after="0"/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CF40CE">
              <w:rPr>
                <w:rFonts w:asciiTheme="minorHAnsi" w:hAnsiTheme="minorHAnsi"/>
                <w:b/>
                <w:bCs/>
                <w:sz w:val="20"/>
                <w:szCs w:val="20"/>
              </w:rPr>
              <w:t>Excepted:</w:t>
            </w:r>
            <w:r w:rsidRPr="00CF40CE">
              <w:rPr>
                <w:rFonts w:asciiTheme="minorHAnsi" w:hAnsiTheme="minorHAnsi"/>
                <w:sz w:val="20"/>
                <w:szCs w:val="20"/>
              </w:rPr>
              <w:t xml:space="preserve"> 21</w:t>
            </w:r>
          </w:p>
          <w:p w14:paraId="5B99BAD0" w14:textId="77777777" w:rsidR="00C1140B" w:rsidRPr="00CF40CE" w:rsidRDefault="00C1140B" w:rsidP="00C1140B">
            <w:pPr>
              <w:numPr>
                <w:ilvl w:val="0"/>
                <w:numId w:val="33"/>
              </w:numPr>
              <w:spacing w:before="0" w:after="0"/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CF40C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Non-Excepted: </w:t>
            </w:r>
            <w:r w:rsidRPr="00CF40CE">
              <w:rPr>
                <w:rFonts w:asciiTheme="minorHAnsi" w:hAnsiTheme="minorHAnsi"/>
                <w:sz w:val="20"/>
                <w:szCs w:val="20"/>
              </w:rPr>
              <w:t> 233</w:t>
            </w:r>
            <w:r w:rsidRPr="00CF40CE">
              <w:rPr>
                <w:rFonts w:asciiTheme="minorHAnsi" w:hAnsiTheme="minorHAnsi"/>
                <w:b/>
                <w:bCs/>
                <w:sz w:val="20"/>
                <w:szCs w:val="20"/>
              </w:rPr>
              <w:t>^</w:t>
            </w:r>
          </w:p>
          <w:p w14:paraId="33A0ADA8" w14:textId="77777777" w:rsidR="00C1140B" w:rsidRPr="00CF40CE" w:rsidRDefault="00C1140B" w:rsidP="00767B18">
            <w:pPr>
              <w:spacing w:after="100"/>
              <w:rPr>
                <w:rFonts w:asciiTheme="minorHAnsi" w:hAnsiTheme="minorHAnsi"/>
                <w:sz w:val="20"/>
                <w:szCs w:val="20"/>
              </w:rPr>
            </w:pPr>
            <w:r w:rsidRPr="00CF40CE">
              <w:rPr>
                <w:rFonts w:asciiTheme="minorHAnsi" w:hAnsiTheme="minorHAnsi"/>
                <w:sz w:val="20"/>
                <w:szCs w:val="20"/>
              </w:rPr>
              <w:t>Note: Time &amp; Attendance (T&amp;A) included for OM staff</w:t>
            </w:r>
          </w:p>
          <w:p w14:paraId="3632D5AE" w14:textId="77777777" w:rsidR="00C1140B" w:rsidRPr="00CF40CE" w:rsidRDefault="00C1140B" w:rsidP="00767B1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CF40CE">
              <w:rPr>
                <w:rFonts w:asciiTheme="minorHAnsi" w:hAnsiTheme="minorHAnsi"/>
                <w:b/>
                <w:bCs/>
                <w:sz w:val="20"/>
                <w:szCs w:val="20"/>
              </w:rPr>
              <w:t>^</w:t>
            </w:r>
            <w:r w:rsidRPr="00CF40CE">
              <w:rPr>
                <w:rFonts w:asciiTheme="minorHAnsi" w:hAnsiTheme="minorHAnsi"/>
                <w:sz w:val="20"/>
                <w:szCs w:val="20"/>
              </w:rPr>
              <w:t>Non-excepted employees also include 10 in Performance Management and 5 in Enterprise Risk Management.  All employees will remain at work until FY2013 funds are expended; then OM would move to furlough status.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C5145" w14:textId="77777777" w:rsidR="00C1140B" w:rsidRPr="00CF40CE" w:rsidRDefault="00C1140B" w:rsidP="00767B1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CF40CE">
              <w:rPr>
                <w:rFonts w:asciiTheme="minorHAnsi" w:hAnsiTheme="minorHAnsi"/>
                <w:sz w:val="20"/>
                <w:szCs w:val="20"/>
              </w:rPr>
              <w:t>0</w:t>
            </w:r>
          </w:p>
          <w:p w14:paraId="4006B4D5" w14:textId="77777777" w:rsidR="00C1140B" w:rsidRPr="00CF40CE" w:rsidRDefault="00C1140B" w:rsidP="00767B1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43761" w14:textId="77777777" w:rsidR="00C1140B" w:rsidRPr="00CF40CE" w:rsidRDefault="00C1140B" w:rsidP="00767B1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CF40CE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D6293" w14:textId="77777777" w:rsidR="00C1140B" w:rsidRPr="00CF40CE" w:rsidRDefault="00C1140B" w:rsidP="00767B1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CF40CE">
              <w:rPr>
                <w:rFonts w:asciiTheme="minorHAnsi" w:hAnsiTheme="minorHAnsi"/>
                <w:sz w:val="20"/>
                <w:szCs w:val="20"/>
              </w:rPr>
              <w:t>Necessary Implication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B6F2E" w14:textId="77777777" w:rsidR="00C1140B" w:rsidRPr="00CF40CE" w:rsidRDefault="00C1140B" w:rsidP="00767B1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CF40CE">
              <w:rPr>
                <w:rFonts w:asciiTheme="minorHAnsi" w:hAnsiTheme="minorHAnsi"/>
                <w:sz w:val="20"/>
                <w:szCs w:val="20"/>
              </w:rPr>
              <w:t>Budget Execution/Controls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50004" w14:textId="77777777" w:rsidR="00C1140B" w:rsidRPr="00CF40CE" w:rsidRDefault="00C1140B" w:rsidP="00767B1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CF40CE"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</w:tr>
      <w:tr w:rsidR="00CF40CE" w:rsidRPr="00CF40CE" w14:paraId="3D0A8EA6" w14:textId="77777777" w:rsidTr="00767B18">
        <w:trPr>
          <w:cantSplit/>
          <w:trHeight w:val="59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1AA32A" w14:textId="77777777" w:rsidR="00C1140B" w:rsidRPr="00CF40CE" w:rsidRDefault="00C1140B" w:rsidP="00767B1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F26BE7" w14:textId="77777777" w:rsidR="00C1140B" w:rsidRPr="00CF40CE" w:rsidRDefault="00C1140B" w:rsidP="00767B1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28177" w14:textId="77777777" w:rsidR="00C1140B" w:rsidRPr="00CF40CE" w:rsidRDefault="00C1140B" w:rsidP="00767B1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CF40CE">
              <w:rPr>
                <w:rFonts w:asciiTheme="minorHAnsi" w:hAnsiTheme="minorHAnsi"/>
                <w:sz w:val="20"/>
                <w:szCs w:val="20"/>
              </w:rPr>
              <w:t>368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D9883" w14:textId="77777777" w:rsidR="00C1140B" w:rsidRPr="00CF40CE" w:rsidRDefault="00C1140B" w:rsidP="00767B1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CF40C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08ABE" w14:textId="77777777" w:rsidR="00C1140B" w:rsidRPr="00CF40CE" w:rsidRDefault="00C1140B" w:rsidP="00767B1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CF40CE">
              <w:rPr>
                <w:rFonts w:asciiTheme="minorHAnsi" w:hAnsiTheme="minorHAnsi"/>
                <w:sz w:val="20"/>
                <w:szCs w:val="20"/>
              </w:rPr>
              <w:t>Revolving Fund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77ADA" w14:textId="77777777" w:rsidR="00C1140B" w:rsidRPr="00CF40CE" w:rsidRDefault="00C1140B" w:rsidP="00767B1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CF40CE">
              <w:rPr>
                <w:rFonts w:asciiTheme="minorHAnsi" w:hAnsiTheme="minorHAnsi"/>
                <w:sz w:val="20"/>
                <w:szCs w:val="20"/>
              </w:rPr>
              <w:t>Financial Services (Austin)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1099C" w14:textId="77777777" w:rsidR="00C1140B" w:rsidRPr="00CF40CE" w:rsidRDefault="00C1140B" w:rsidP="00767B1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CF40C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CF40CE" w:rsidRPr="00CF40CE" w14:paraId="1813D0FA" w14:textId="77777777" w:rsidTr="00767B18">
        <w:trPr>
          <w:trHeight w:val="62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0F3C23" w14:textId="77777777" w:rsidR="00C1140B" w:rsidRPr="00CF40CE" w:rsidRDefault="00C1140B" w:rsidP="00767B1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82EFA5" w14:textId="77777777" w:rsidR="00C1140B" w:rsidRPr="00CF40CE" w:rsidRDefault="00C1140B" w:rsidP="00767B1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05A1F" w14:textId="77777777" w:rsidR="00C1140B" w:rsidRPr="00CF40CE" w:rsidRDefault="00C1140B" w:rsidP="00767B1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CF40CE">
              <w:rPr>
                <w:rFonts w:asciiTheme="minorHAnsi" w:hAnsiTheme="minorHAnsi"/>
                <w:sz w:val="20"/>
                <w:szCs w:val="20"/>
              </w:rPr>
              <w:t>160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E0E2F" w14:textId="77777777" w:rsidR="00C1140B" w:rsidRPr="00CF40CE" w:rsidRDefault="00C1140B" w:rsidP="00767B1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CF40C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30063" w14:textId="77777777" w:rsidR="00C1140B" w:rsidRPr="00CF40CE" w:rsidRDefault="00C1140B" w:rsidP="00767B1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CF40CE">
              <w:rPr>
                <w:rFonts w:asciiTheme="minorHAnsi" w:hAnsiTheme="minorHAnsi"/>
                <w:sz w:val="20"/>
                <w:szCs w:val="20"/>
              </w:rPr>
              <w:t>Revolving Fund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28B3D" w14:textId="77777777" w:rsidR="00C1140B" w:rsidRPr="00CF40CE" w:rsidRDefault="00C1140B" w:rsidP="00767B1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CF40CE">
              <w:rPr>
                <w:rFonts w:asciiTheme="minorHAnsi" w:hAnsiTheme="minorHAnsi"/>
                <w:sz w:val="20"/>
                <w:szCs w:val="20"/>
              </w:rPr>
              <w:t>Debt Management Center (Minneapolis)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4829F" w14:textId="77777777" w:rsidR="00C1140B" w:rsidRPr="00CF40CE" w:rsidRDefault="00C1140B" w:rsidP="00767B1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CF40C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CF40CE" w:rsidRPr="00CF40CE" w14:paraId="4AEC4555" w14:textId="77777777" w:rsidTr="00767B18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44B7AC" w14:textId="77777777" w:rsidR="00C1140B" w:rsidRPr="00CF40CE" w:rsidRDefault="00C1140B" w:rsidP="00767B1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472BCF" w14:textId="77777777" w:rsidR="00C1140B" w:rsidRPr="00CF40CE" w:rsidRDefault="00C1140B" w:rsidP="00767B1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87460" w14:textId="77777777" w:rsidR="00C1140B" w:rsidRPr="00CF40CE" w:rsidRDefault="00C1140B" w:rsidP="00767B1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CF40C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547FD" w14:textId="77777777" w:rsidR="00C1140B" w:rsidRPr="00CF40CE" w:rsidRDefault="00C1140B" w:rsidP="00767B1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CF40CE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788D4" w14:textId="77777777" w:rsidR="00C1140B" w:rsidRPr="00CF40CE" w:rsidRDefault="00C1140B" w:rsidP="00767B1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CF40CE">
              <w:rPr>
                <w:rFonts w:asciiTheme="minorHAnsi" w:hAnsiTheme="minorHAnsi"/>
                <w:sz w:val="20"/>
                <w:szCs w:val="20"/>
              </w:rPr>
              <w:t>Necessary Implication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917A4" w14:textId="77777777" w:rsidR="00C1140B" w:rsidRPr="00CF40CE" w:rsidRDefault="00C1140B" w:rsidP="00767B1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CF40CE">
              <w:rPr>
                <w:rFonts w:asciiTheme="minorHAnsi" w:hAnsiTheme="minorHAnsi"/>
                <w:sz w:val="20"/>
                <w:szCs w:val="20"/>
              </w:rPr>
              <w:t>Payroll, Travel card administration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CB442" w14:textId="77777777" w:rsidR="00C1140B" w:rsidRPr="00CF40CE" w:rsidRDefault="00C1140B" w:rsidP="00767B1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CF40CE">
              <w:rPr>
                <w:rFonts w:asciiTheme="minorHAnsi" w:hAnsiTheme="minorHAnsi"/>
                <w:sz w:val="20"/>
                <w:szCs w:val="20"/>
              </w:rPr>
              <w:t>83</w:t>
            </w:r>
          </w:p>
        </w:tc>
      </w:tr>
      <w:tr w:rsidR="00CF40CE" w:rsidRPr="00CF40CE" w14:paraId="75BEDD09" w14:textId="77777777" w:rsidTr="00767B18">
        <w:trPr>
          <w:trHeight w:val="62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2CA34C" w14:textId="77777777" w:rsidR="00C1140B" w:rsidRPr="00CF40CE" w:rsidRDefault="00C1140B" w:rsidP="00767B1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817724" w14:textId="77777777" w:rsidR="00C1140B" w:rsidRPr="00CF40CE" w:rsidRDefault="00C1140B" w:rsidP="00767B1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4ACCC" w14:textId="77777777" w:rsidR="00C1140B" w:rsidRPr="00CF40CE" w:rsidRDefault="00C1140B" w:rsidP="00767B1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CF40CE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5C63B" w14:textId="77777777" w:rsidR="00C1140B" w:rsidRPr="00CF40CE" w:rsidRDefault="00C1140B" w:rsidP="00767B1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CF40C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2A125" w14:textId="77777777" w:rsidR="00C1140B" w:rsidRPr="00CF40CE" w:rsidRDefault="00C1140B" w:rsidP="00767B1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CF40CE">
              <w:rPr>
                <w:rFonts w:asciiTheme="minorHAnsi" w:hAnsiTheme="minorHAnsi"/>
                <w:sz w:val="20"/>
                <w:szCs w:val="20"/>
              </w:rPr>
              <w:t>Advanced Appropriation (VHA)/Safety and Property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CEEDE" w14:textId="77777777" w:rsidR="00C1140B" w:rsidRPr="00CF40CE" w:rsidRDefault="00C1140B" w:rsidP="00767B1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CF40CE">
              <w:rPr>
                <w:rFonts w:asciiTheme="minorHAnsi" w:hAnsiTheme="minorHAnsi"/>
                <w:sz w:val="20"/>
                <w:szCs w:val="20"/>
              </w:rPr>
              <w:t>Asset Enterprise Management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4A01A" w14:textId="77777777" w:rsidR="00C1140B" w:rsidRPr="00CF40CE" w:rsidRDefault="00C1140B" w:rsidP="00767B1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CF40CE">
              <w:rPr>
                <w:rFonts w:asciiTheme="minorHAnsi" w:hAnsiTheme="minorHAnsi"/>
                <w:sz w:val="20"/>
                <w:szCs w:val="20"/>
              </w:rPr>
              <w:t>43</w:t>
            </w:r>
          </w:p>
        </w:tc>
      </w:tr>
      <w:tr w:rsidR="00CF40CE" w:rsidRPr="00CF40CE" w14:paraId="23F8DB67" w14:textId="77777777" w:rsidTr="00767B18">
        <w:trPr>
          <w:trHeight w:val="62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328912" w14:textId="77777777" w:rsidR="00C1140B" w:rsidRPr="00CF40CE" w:rsidRDefault="00C1140B" w:rsidP="00767B1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C15978" w14:textId="77777777" w:rsidR="00C1140B" w:rsidRPr="00CF40CE" w:rsidRDefault="00C1140B" w:rsidP="00767B1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239F1" w14:textId="77777777" w:rsidR="00C1140B" w:rsidRPr="00CF40CE" w:rsidRDefault="00C1140B" w:rsidP="00767B1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CF40CE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5BB3A" w14:textId="77777777" w:rsidR="00C1140B" w:rsidRPr="00CF40CE" w:rsidRDefault="00C1140B" w:rsidP="00767B1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CF40CE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C7064" w14:textId="77777777" w:rsidR="00C1140B" w:rsidRPr="00CF40CE" w:rsidRDefault="00C1140B" w:rsidP="00767B1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CF40CE">
              <w:rPr>
                <w:rFonts w:asciiTheme="minorHAnsi" w:hAnsiTheme="minorHAnsi"/>
                <w:sz w:val="20"/>
                <w:szCs w:val="20"/>
              </w:rPr>
              <w:t>Revolving Fund -7/Advanced Appropriation (VHA)-23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0A1BF" w14:textId="77777777" w:rsidR="00C1140B" w:rsidRPr="00CF40CE" w:rsidRDefault="00C1140B" w:rsidP="00767B1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CF40CE">
              <w:rPr>
                <w:rFonts w:asciiTheme="minorHAnsi" w:hAnsiTheme="minorHAnsi"/>
                <w:sz w:val="20"/>
                <w:szCs w:val="20"/>
              </w:rPr>
              <w:t>Business Oversight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9C1B3" w14:textId="77777777" w:rsidR="00C1140B" w:rsidRPr="00CF40CE" w:rsidRDefault="00C1140B" w:rsidP="00767B1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CF40CE">
              <w:rPr>
                <w:rFonts w:asciiTheme="minorHAnsi" w:hAnsiTheme="minorHAnsi"/>
                <w:sz w:val="20"/>
                <w:szCs w:val="20"/>
              </w:rPr>
              <w:t>63</w:t>
            </w:r>
          </w:p>
        </w:tc>
      </w:tr>
    </w:tbl>
    <w:p w14:paraId="3E11DBC7" w14:textId="2C27856F" w:rsidR="00942FC3" w:rsidRPr="00D41575" w:rsidRDefault="00D41575" w:rsidP="00D41575">
      <w:pPr>
        <w:rPr>
          <w:rFonts w:asciiTheme="minorHAnsi" w:hAnsiTheme="minorHAnsi" w:cs="Times New Roman"/>
          <w:b/>
          <w:bCs/>
          <w:color w:val="1F497D"/>
          <w:sz w:val="32"/>
          <w:szCs w:val="28"/>
        </w:rPr>
      </w:pPr>
      <w:r w:rsidRPr="00D41575">
        <w:rPr>
          <w:rFonts w:asciiTheme="minorHAnsi" w:hAnsiTheme="minorHAnsi" w:cs="Times New Roman"/>
          <w:b/>
          <w:bCs/>
          <w:color w:val="1F497D"/>
          <w:sz w:val="32"/>
          <w:szCs w:val="28"/>
        </w:rPr>
        <w:lastRenderedPageBreak/>
        <w:t>Office of Public and Intergovernmental Affairs</w:t>
      </w:r>
    </w:p>
    <w:tbl>
      <w:tblPr>
        <w:tblW w:w="14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1519"/>
        <w:gridCol w:w="1326"/>
        <w:gridCol w:w="1399"/>
        <w:gridCol w:w="2537"/>
        <w:gridCol w:w="3072"/>
        <w:gridCol w:w="1865"/>
      </w:tblGrid>
      <w:tr w:rsidR="008D1D4C" w:rsidRPr="008F69DA" w14:paraId="4F756973" w14:textId="77777777" w:rsidTr="008D1D4C">
        <w:tc>
          <w:tcPr>
            <w:tcW w:w="2826" w:type="dxa"/>
            <w:shd w:val="clear" w:color="auto" w:fill="auto"/>
          </w:tcPr>
          <w:p w14:paraId="766B5203" w14:textId="77777777" w:rsidR="008D1D4C" w:rsidRPr="005D0272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0E36320E" w14:textId="77777777" w:rsidR="008D1D4C" w:rsidRPr="005D0272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7A6B3023" w14:textId="502B0B64" w:rsidR="008D1D4C" w:rsidRPr="0033393D" w:rsidRDefault="008D1D4C" w:rsidP="002E09A4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VA Unit</w:t>
            </w:r>
          </w:p>
        </w:tc>
        <w:tc>
          <w:tcPr>
            <w:tcW w:w="1519" w:type="dxa"/>
            <w:shd w:val="clear" w:color="auto" w:fill="auto"/>
          </w:tcPr>
          <w:p w14:paraId="057F718B" w14:textId="77777777" w:rsidR="008D1D4C" w:rsidRPr="005D0272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0533A4C9" w14:textId="77777777" w:rsidR="008D1D4C" w:rsidRPr="005D0272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5F184711" w14:textId="29456AD8" w:rsidR="008D1D4C" w:rsidRPr="0033393D" w:rsidRDefault="008D1D4C" w:rsidP="002E09A4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Total</w:t>
            </w: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 </w:t>
            </w: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# of Employees</w:t>
            </w:r>
          </w:p>
        </w:tc>
        <w:tc>
          <w:tcPr>
            <w:tcW w:w="1326" w:type="dxa"/>
          </w:tcPr>
          <w:p w14:paraId="416B2D91" w14:textId="69B2C73F" w:rsidR="008D1D4C" w:rsidRPr="0033393D" w:rsidRDefault="008D1D4C" w:rsidP="002E09A4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# of Fully Funded (not subject to lapse; will continue to work)</w:t>
            </w:r>
          </w:p>
        </w:tc>
        <w:tc>
          <w:tcPr>
            <w:tcW w:w="1399" w:type="dxa"/>
            <w:shd w:val="clear" w:color="auto" w:fill="auto"/>
          </w:tcPr>
          <w:p w14:paraId="47BFFE13" w14:textId="360AE0C9" w:rsidR="008D1D4C" w:rsidRPr="0033393D" w:rsidRDefault="008D1D4C" w:rsidP="002E09A4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# of Excepted Employees (legal basis; will continue to work)</w:t>
            </w:r>
          </w:p>
        </w:tc>
        <w:tc>
          <w:tcPr>
            <w:tcW w:w="2537" w:type="dxa"/>
            <w:shd w:val="clear" w:color="auto" w:fill="auto"/>
          </w:tcPr>
          <w:p w14:paraId="6D8FC39B" w14:textId="77777777" w:rsidR="008D1D4C" w:rsidRPr="005D0272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3F4FF45D" w14:textId="77777777" w:rsidR="008D1D4C" w:rsidRPr="005D0272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7B293BFD" w14:textId="795E7291" w:rsidR="008D1D4C" w:rsidRPr="0033393D" w:rsidRDefault="008D1D4C" w:rsidP="002E09A4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Legal Basis for Decision or Full Funding Source</w:t>
            </w:r>
          </w:p>
        </w:tc>
        <w:tc>
          <w:tcPr>
            <w:tcW w:w="3072" w:type="dxa"/>
            <w:shd w:val="clear" w:color="auto" w:fill="auto"/>
          </w:tcPr>
          <w:p w14:paraId="306F0C49" w14:textId="77777777" w:rsidR="008D1D4C" w:rsidRPr="005D0272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2F370D1C" w14:textId="77777777" w:rsidR="008D1D4C" w:rsidRPr="005D0272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750A5C58" w14:textId="6DFEB4AD" w:rsidR="008D1D4C" w:rsidRPr="0033393D" w:rsidRDefault="008D1D4C" w:rsidP="002E09A4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Functions to be Performed</w:t>
            </w:r>
          </w:p>
        </w:tc>
        <w:tc>
          <w:tcPr>
            <w:tcW w:w="1865" w:type="dxa"/>
          </w:tcPr>
          <w:p w14:paraId="6E974710" w14:textId="77777777" w:rsidR="008D1D4C" w:rsidRPr="005D0272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3924AFB4" w14:textId="3C8E2075" w:rsidR="008D1D4C" w:rsidRPr="0033393D" w:rsidRDefault="008D1D4C" w:rsidP="002E09A4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# of Non-Excepted Employees (subject to furlough)</w:t>
            </w:r>
          </w:p>
        </w:tc>
      </w:tr>
      <w:tr w:rsidR="001D55B3" w:rsidRPr="008F69DA" w14:paraId="167C81E6" w14:textId="77777777" w:rsidTr="008D1D4C">
        <w:trPr>
          <w:cantSplit/>
        </w:trPr>
        <w:tc>
          <w:tcPr>
            <w:tcW w:w="2826" w:type="dxa"/>
            <w:shd w:val="clear" w:color="auto" w:fill="auto"/>
          </w:tcPr>
          <w:p w14:paraId="665B518B" w14:textId="77777777" w:rsidR="001D55B3" w:rsidRPr="00600F57" w:rsidRDefault="001D55B3" w:rsidP="002E09A4">
            <w:pPr>
              <w:spacing w:line="320" w:lineRule="atLeast"/>
              <w:contextualSpacing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600F57">
              <w:rPr>
                <w:rFonts w:asciiTheme="minorHAnsi" w:eastAsia="Calibri" w:hAnsiTheme="minorHAnsi" w:cs="Arial"/>
                <w:sz w:val="20"/>
                <w:szCs w:val="20"/>
              </w:rPr>
              <w:t>Office of Public &amp; Intergovernmental Affairs (OPIA)</w:t>
            </w:r>
          </w:p>
          <w:p w14:paraId="5854297F" w14:textId="77777777" w:rsidR="001D55B3" w:rsidRPr="00600F57" w:rsidRDefault="001D55B3" w:rsidP="001D55B3">
            <w:pPr>
              <w:pStyle w:val="ListParagraph"/>
              <w:numPr>
                <w:ilvl w:val="0"/>
                <w:numId w:val="30"/>
              </w:numPr>
              <w:spacing w:line="320" w:lineRule="atLeast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600F57">
              <w:rPr>
                <w:rFonts w:asciiTheme="minorHAnsi" w:eastAsia="Calibri" w:hAnsiTheme="minorHAnsi" w:cs="Arial"/>
                <w:sz w:val="20"/>
                <w:szCs w:val="20"/>
              </w:rPr>
              <w:t>Public Affairs</w:t>
            </w:r>
          </w:p>
          <w:p w14:paraId="2FC8CB79" w14:textId="77777777" w:rsidR="001D55B3" w:rsidRPr="00600F57" w:rsidRDefault="001D55B3" w:rsidP="001D55B3">
            <w:pPr>
              <w:pStyle w:val="ListParagraph"/>
              <w:numPr>
                <w:ilvl w:val="0"/>
                <w:numId w:val="30"/>
              </w:numPr>
              <w:spacing w:line="320" w:lineRule="atLeast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600F57">
              <w:rPr>
                <w:rFonts w:asciiTheme="minorHAnsi" w:eastAsia="Calibri" w:hAnsiTheme="minorHAnsi" w:cs="Arial"/>
                <w:sz w:val="20"/>
                <w:szCs w:val="20"/>
              </w:rPr>
              <w:t>Digital Communications</w:t>
            </w:r>
          </w:p>
          <w:p w14:paraId="4532AEBC" w14:textId="77777777" w:rsidR="001D55B3" w:rsidRPr="00600F57" w:rsidRDefault="001D55B3" w:rsidP="001D55B3">
            <w:pPr>
              <w:pStyle w:val="ListParagraph"/>
              <w:numPr>
                <w:ilvl w:val="0"/>
                <w:numId w:val="30"/>
              </w:numPr>
              <w:spacing w:line="320" w:lineRule="atLeast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600F57">
              <w:rPr>
                <w:rFonts w:asciiTheme="minorHAnsi" w:eastAsia="Calibri" w:hAnsiTheme="minorHAnsi" w:cs="Arial"/>
                <w:sz w:val="20"/>
                <w:szCs w:val="20"/>
              </w:rPr>
              <w:t>Field Operations</w:t>
            </w:r>
          </w:p>
          <w:p w14:paraId="44662A9A" w14:textId="77777777" w:rsidR="001D55B3" w:rsidRPr="00600F57" w:rsidRDefault="001D55B3" w:rsidP="001D55B3">
            <w:pPr>
              <w:pStyle w:val="ListParagraph"/>
              <w:numPr>
                <w:ilvl w:val="0"/>
                <w:numId w:val="30"/>
              </w:numPr>
              <w:spacing w:line="320" w:lineRule="atLeast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600F57">
              <w:rPr>
                <w:rFonts w:asciiTheme="minorHAnsi" w:eastAsia="Calibri" w:hAnsiTheme="minorHAnsi" w:cs="Arial"/>
                <w:sz w:val="20"/>
                <w:szCs w:val="20"/>
              </w:rPr>
              <w:t>Media Relations</w:t>
            </w:r>
          </w:p>
          <w:p w14:paraId="1E7D3AA7" w14:textId="77777777" w:rsidR="001D55B3" w:rsidRPr="00600F57" w:rsidRDefault="001D55B3" w:rsidP="001D55B3">
            <w:pPr>
              <w:pStyle w:val="ListParagraph"/>
              <w:numPr>
                <w:ilvl w:val="0"/>
                <w:numId w:val="30"/>
              </w:numPr>
              <w:spacing w:line="320" w:lineRule="atLeast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600F57">
              <w:rPr>
                <w:rFonts w:asciiTheme="minorHAnsi" w:eastAsia="Calibri" w:hAnsiTheme="minorHAnsi" w:cs="Arial"/>
                <w:sz w:val="20"/>
                <w:szCs w:val="20"/>
              </w:rPr>
              <w:t>Intergovernmental Affairs</w:t>
            </w:r>
          </w:p>
          <w:p w14:paraId="453FD0F0" w14:textId="77777777" w:rsidR="001D55B3" w:rsidRPr="00600F57" w:rsidRDefault="001D55B3" w:rsidP="001D55B3">
            <w:pPr>
              <w:pStyle w:val="ListParagraph"/>
              <w:numPr>
                <w:ilvl w:val="0"/>
                <w:numId w:val="30"/>
              </w:numPr>
              <w:spacing w:line="320" w:lineRule="atLeast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600F57">
              <w:rPr>
                <w:rFonts w:asciiTheme="minorHAnsi" w:eastAsia="Calibri" w:hAnsiTheme="minorHAnsi" w:cs="Arial"/>
                <w:sz w:val="20"/>
                <w:szCs w:val="20"/>
              </w:rPr>
              <w:t>International Affairs</w:t>
            </w:r>
          </w:p>
          <w:p w14:paraId="3C3F70D6" w14:textId="77777777" w:rsidR="001D55B3" w:rsidRPr="00600F57" w:rsidRDefault="001D55B3" w:rsidP="001D55B3">
            <w:pPr>
              <w:pStyle w:val="ListParagraph"/>
              <w:numPr>
                <w:ilvl w:val="0"/>
                <w:numId w:val="30"/>
              </w:numPr>
              <w:spacing w:line="320" w:lineRule="atLeast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600F57">
              <w:rPr>
                <w:rFonts w:asciiTheme="minorHAnsi" w:eastAsia="Calibri" w:hAnsiTheme="minorHAnsi" w:cs="Arial"/>
                <w:sz w:val="20"/>
                <w:szCs w:val="20"/>
              </w:rPr>
              <w:t>Tribal Relations</w:t>
            </w:r>
          </w:p>
          <w:p w14:paraId="68D89FED" w14:textId="77777777" w:rsidR="001D55B3" w:rsidRPr="00600F57" w:rsidRDefault="001D55B3" w:rsidP="001D55B3">
            <w:pPr>
              <w:pStyle w:val="ListParagraph"/>
              <w:numPr>
                <w:ilvl w:val="0"/>
                <w:numId w:val="30"/>
              </w:numPr>
              <w:spacing w:line="320" w:lineRule="atLeast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600F57">
              <w:rPr>
                <w:rFonts w:asciiTheme="minorHAnsi" w:eastAsia="Calibri" w:hAnsiTheme="minorHAnsi" w:cs="Arial"/>
                <w:sz w:val="20"/>
                <w:szCs w:val="20"/>
              </w:rPr>
              <w:t>Outreach</w:t>
            </w:r>
          </w:p>
          <w:p w14:paraId="597C2D4C" w14:textId="77777777" w:rsidR="001D55B3" w:rsidRPr="00600F57" w:rsidRDefault="001D55B3" w:rsidP="001D55B3">
            <w:pPr>
              <w:pStyle w:val="ListParagraph"/>
              <w:numPr>
                <w:ilvl w:val="0"/>
                <w:numId w:val="30"/>
              </w:numPr>
              <w:spacing w:line="320" w:lineRule="atLeast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600F57">
              <w:rPr>
                <w:rFonts w:asciiTheme="minorHAnsi" w:eastAsia="Calibri" w:hAnsiTheme="minorHAnsi" w:cs="Arial"/>
                <w:sz w:val="20"/>
                <w:szCs w:val="20"/>
              </w:rPr>
              <w:t>Sports Programs</w:t>
            </w:r>
          </w:p>
          <w:p w14:paraId="0BE2B386" w14:textId="77777777" w:rsidR="001D55B3" w:rsidRPr="0033393D" w:rsidRDefault="001D55B3" w:rsidP="002E09A4">
            <w:pPr>
              <w:spacing w:line="320" w:lineRule="atLeast"/>
              <w:contextualSpacing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14:paraId="130DD946" w14:textId="77777777" w:rsidR="001D55B3" w:rsidRPr="0033393D" w:rsidRDefault="001D55B3" w:rsidP="002E09A4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</w:rPr>
              <w:t>91</w:t>
            </w:r>
          </w:p>
        </w:tc>
        <w:tc>
          <w:tcPr>
            <w:tcW w:w="1326" w:type="dxa"/>
          </w:tcPr>
          <w:p w14:paraId="155511BF" w14:textId="0CF4C296" w:rsidR="001D55B3" w:rsidRPr="0033393D" w:rsidRDefault="001D55B3" w:rsidP="00177337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33393D"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  <w:r w:rsidR="00177337">
              <w:rPr>
                <w:rFonts w:asciiTheme="minorHAnsi" w:eastAsia="Calibri" w:hAnsiTheme="minorHAnsi" w:cs="Arial"/>
                <w:sz w:val="20"/>
              </w:rPr>
              <w:t>0</w:t>
            </w:r>
          </w:p>
        </w:tc>
        <w:tc>
          <w:tcPr>
            <w:tcW w:w="1399" w:type="dxa"/>
            <w:shd w:val="clear" w:color="auto" w:fill="auto"/>
          </w:tcPr>
          <w:p w14:paraId="7B969284" w14:textId="4BA936CD" w:rsidR="001D55B3" w:rsidRPr="0033393D" w:rsidRDefault="00177337" w:rsidP="002E09A4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14:paraId="5A7FD2C1" w14:textId="2EC78639" w:rsidR="001D55B3" w:rsidRPr="0033393D" w:rsidRDefault="001D55B3" w:rsidP="002E09A4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</w:rPr>
              <w:t>PA</w:t>
            </w:r>
            <w:r w:rsidR="007801FE">
              <w:rPr>
                <w:rFonts w:asciiTheme="minorHAnsi" w:eastAsia="Calibri" w:hAnsiTheme="minorHAnsi" w:cs="Arial"/>
                <w:sz w:val="20"/>
              </w:rPr>
              <w:t xml:space="preserve"> – Protection of Life and Property</w:t>
            </w:r>
          </w:p>
        </w:tc>
        <w:tc>
          <w:tcPr>
            <w:tcW w:w="3072" w:type="dxa"/>
            <w:shd w:val="clear" w:color="auto" w:fill="auto"/>
          </w:tcPr>
          <w:p w14:paraId="74C5193E" w14:textId="77777777" w:rsidR="001D55B3" w:rsidRPr="0033393D" w:rsidRDefault="001D55B3" w:rsidP="002E09A4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600F57">
              <w:rPr>
                <w:rFonts w:asciiTheme="minorHAnsi" w:eastAsia="Calibri" w:hAnsiTheme="minorHAnsi" w:cs="Arial"/>
                <w:sz w:val="20"/>
                <w:szCs w:val="20"/>
              </w:rPr>
              <w:t>Communicate with Veterans regarding availability and location of continued VA services</w:t>
            </w:r>
          </w:p>
        </w:tc>
        <w:tc>
          <w:tcPr>
            <w:tcW w:w="1865" w:type="dxa"/>
          </w:tcPr>
          <w:p w14:paraId="48664547" w14:textId="61FF07BA" w:rsidR="001D55B3" w:rsidRPr="0033393D" w:rsidRDefault="00066EA8" w:rsidP="002E09A4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9</w:t>
            </w:r>
            <w:r w:rsidR="001D55B3">
              <w:rPr>
                <w:rFonts w:asciiTheme="minorHAnsi" w:eastAsia="Calibri" w:hAnsiTheme="minorHAnsi" w:cs="Arial"/>
                <w:sz w:val="20"/>
                <w:szCs w:val="20"/>
              </w:rPr>
              <w:t>0</w:t>
            </w:r>
          </w:p>
        </w:tc>
      </w:tr>
    </w:tbl>
    <w:p w14:paraId="3DB6F438" w14:textId="77777777" w:rsidR="00942FC3" w:rsidRDefault="00942FC3" w:rsidP="00617092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3DB6F439" w14:textId="77777777" w:rsidR="00942FC3" w:rsidRDefault="00942FC3" w:rsidP="00617092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3DB6F45E" w14:textId="4F1433A8" w:rsidR="002F3378" w:rsidRDefault="002F3378">
      <w:pP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50E888D" w14:textId="29995EDE" w:rsidR="00617092" w:rsidRPr="00D41575" w:rsidRDefault="002F3378" w:rsidP="00D41575">
      <w:pPr>
        <w:rPr>
          <w:rFonts w:asciiTheme="minorHAnsi" w:hAnsiTheme="minorHAnsi" w:cs="Times New Roman"/>
          <w:b/>
          <w:bCs/>
          <w:color w:val="1F497D"/>
          <w:sz w:val="32"/>
          <w:szCs w:val="28"/>
        </w:rPr>
      </w:pPr>
      <w:r w:rsidRPr="00D41575">
        <w:rPr>
          <w:rFonts w:asciiTheme="minorHAnsi" w:hAnsiTheme="minorHAnsi" w:cs="Times New Roman"/>
          <w:b/>
          <w:bCs/>
          <w:color w:val="1F497D"/>
          <w:sz w:val="32"/>
          <w:szCs w:val="28"/>
        </w:rPr>
        <w:lastRenderedPageBreak/>
        <w:t>Office of Congressional and Legislative Affairs</w:t>
      </w:r>
    </w:p>
    <w:tbl>
      <w:tblPr>
        <w:tblW w:w="14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1378"/>
        <w:gridCol w:w="1399"/>
        <w:gridCol w:w="1455"/>
        <w:gridCol w:w="2837"/>
        <w:gridCol w:w="3395"/>
        <w:gridCol w:w="2006"/>
      </w:tblGrid>
      <w:tr w:rsidR="008D1D4C" w:rsidRPr="000965B9" w14:paraId="3DD5D104" w14:textId="77777777" w:rsidTr="002E09A4">
        <w:tc>
          <w:tcPr>
            <w:tcW w:w="2074" w:type="dxa"/>
            <w:shd w:val="clear" w:color="auto" w:fill="auto"/>
          </w:tcPr>
          <w:p w14:paraId="03B32F81" w14:textId="77777777" w:rsidR="008D1D4C" w:rsidRPr="005D0272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0C3226BB" w14:textId="77777777" w:rsidR="008D1D4C" w:rsidRPr="005D0272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71EF4414" w14:textId="7B04969E" w:rsidR="008D1D4C" w:rsidRPr="000965B9" w:rsidRDefault="008D1D4C" w:rsidP="002E09A4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VA Unit</w:t>
            </w:r>
          </w:p>
        </w:tc>
        <w:tc>
          <w:tcPr>
            <w:tcW w:w="1378" w:type="dxa"/>
            <w:shd w:val="clear" w:color="auto" w:fill="auto"/>
          </w:tcPr>
          <w:p w14:paraId="4A885B32" w14:textId="77777777" w:rsidR="008D1D4C" w:rsidRPr="005D0272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6C1F61C1" w14:textId="77777777" w:rsidR="008D1D4C" w:rsidRPr="005D0272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17080AD1" w14:textId="0AF62C17" w:rsidR="008D1D4C" w:rsidRPr="000965B9" w:rsidRDefault="008D1D4C" w:rsidP="002E09A4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Total</w:t>
            </w: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 </w:t>
            </w: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# of Employees</w:t>
            </w:r>
          </w:p>
        </w:tc>
        <w:tc>
          <w:tcPr>
            <w:tcW w:w="1399" w:type="dxa"/>
          </w:tcPr>
          <w:p w14:paraId="0097C8EB" w14:textId="0638186E" w:rsidR="008D1D4C" w:rsidRPr="000965B9" w:rsidRDefault="008D1D4C" w:rsidP="002E09A4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# of Fully Funded (not subject to lapse; will continue to work)</w:t>
            </w:r>
          </w:p>
        </w:tc>
        <w:tc>
          <w:tcPr>
            <w:tcW w:w="1455" w:type="dxa"/>
            <w:shd w:val="clear" w:color="auto" w:fill="auto"/>
          </w:tcPr>
          <w:p w14:paraId="5A038A01" w14:textId="7DCAC17A" w:rsidR="008D1D4C" w:rsidRPr="000965B9" w:rsidRDefault="008D1D4C" w:rsidP="002E09A4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# of Excepted Employees (legal basis; will continue to work)</w:t>
            </w:r>
          </w:p>
        </w:tc>
        <w:tc>
          <w:tcPr>
            <w:tcW w:w="2837" w:type="dxa"/>
            <w:shd w:val="clear" w:color="auto" w:fill="auto"/>
          </w:tcPr>
          <w:p w14:paraId="0C83A6F3" w14:textId="77777777" w:rsidR="008D1D4C" w:rsidRPr="005D0272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31A86E14" w14:textId="77777777" w:rsidR="008D1D4C" w:rsidRPr="005D0272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145E7621" w14:textId="2593B8C7" w:rsidR="008D1D4C" w:rsidRPr="000965B9" w:rsidRDefault="008D1D4C" w:rsidP="002E09A4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Legal Basis for Decision or Full Funding Source</w:t>
            </w:r>
          </w:p>
        </w:tc>
        <w:tc>
          <w:tcPr>
            <w:tcW w:w="3395" w:type="dxa"/>
            <w:shd w:val="clear" w:color="auto" w:fill="auto"/>
          </w:tcPr>
          <w:p w14:paraId="24F6D4A8" w14:textId="77777777" w:rsidR="008D1D4C" w:rsidRPr="005D0272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2C4902B4" w14:textId="77777777" w:rsidR="008D1D4C" w:rsidRPr="005D0272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4EC9D4AB" w14:textId="07F98CC9" w:rsidR="008D1D4C" w:rsidRPr="000965B9" w:rsidRDefault="008D1D4C" w:rsidP="002E09A4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Functions to be Performed</w:t>
            </w:r>
          </w:p>
        </w:tc>
        <w:tc>
          <w:tcPr>
            <w:tcW w:w="2006" w:type="dxa"/>
          </w:tcPr>
          <w:p w14:paraId="466783DB" w14:textId="77777777" w:rsidR="008D1D4C" w:rsidRPr="005D0272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7A30D12E" w14:textId="0C3A348A" w:rsidR="008D1D4C" w:rsidRPr="000965B9" w:rsidRDefault="008D1D4C" w:rsidP="002E09A4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# of Non-Excepted Employees (subject to furlough)</w:t>
            </w:r>
          </w:p>
        </w:tc>
      </w:tr>
      <w:tr w:rsidR="0089124E" w:rsidRPr="000965B9" w14:paraId="4AA0B50F" w14:textId="77777777" w:rsidTr="002E09A4">
        <w:trPr>
          <w:cantSplit/>
        </w:trPr>
        <w:tc>
          <w:tcPr>
            <w:tcW w:w="2074" w:type="dxa"/>
            <w:shd w:val="clear" w:color="auto" w:fill="auto"/>
          </w:tcPr>
          <w:p w14:paraId="4EC0514E" w14:textId="77777777" w:rsidR="0089124E" w:rsidRPr="000965B9" w:rsidRDefault="0089124E" w:rsidP="002E09A4">
            <w:pPr>
              <w:spacing w:line="320" w:lineRule="atLeast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0965B9">
              <w:rPr>
                <w:rFonts w:asciiTheme="minorHAnsi" w:eastAsia="Calibri" w:hAnsiTheme="minorHAnsi" w:cs="Arial"/>
                <w:b/>
                <w:sz w:val="20"/>
                <w:szCs w:val="20"/>
              </w:rPr>
              <w:t>Office of Congressional and Legislative Affairs:</w:t>
            </w:r>
          </w:p>
          <w:p w14:paraId="42FC08C9" w14:textId="77777777" w:rsidR="0089124E" w:rsidRPr="000965B9" w:rsidRDefault="0089124E" w:rsidP="002E09A4">
            <w:pPr>
              <w:spacing w:line="320" w:lineRule="atLeast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0965B9">
              <w:rPr>
                <w:rFonts w:asciiTheme="minorHAnsi" w:eastAsia="Calibri" w:hAnsiTheme="minorHAnsi" w:cs="Arial"/>
                <w:sz w:val="20"/>
                <w:szCs w:val="20"/>
              </w:rPr>
              <w:t>- Congressional Relations</w:t>
            </w:r>
          </w:p>
          <w:p w14:paraId="59E9CCA0" w14:textId="77777777" w:rsidR="0089124E" w:rsidRPr="000965B9" w:rsidRDefault="0089124E" w:rsidP="002E09A4">
            <w:pPr>
              <w:spacing w:line="320" w:lineRule="atLeast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0965B9">
              <w:rPr>
                <w:rFonts w:asciiTheme="minorHAnsi" w:eastAsia="Calibri" w:hAnsiTheme="minorHAnsi" w:cs="Arial"/>
                <w:sz w:val="20"/>
                <w:szCs w:val="20"/>
              </w:rPr>
              <w:t>- Communications with Congress</w:t>
            </w:r>
          </w:p>
          <w:p w14:paraId="795C0C82" w14:textId="77777777" w:rsidR="0089124E" w:rsidRPr="000965B9" w:rsidRDefault="0089124E" w:rsidP="002E09A4">
            <w:pPr>
              <w:spacing w:line="320" w:lineRule="atLeast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0965B9">
              <w:rPr>
                <w:rFonts w:asciiTheme="minorHAnsi" w:eastAsia="Calibri" w:hAnsiTheme="minorHAnsi" w:cs="Arial"/>
                <w:sz w:val="20"/>
                <w:szCs w:val="20"/>
              </w:rPr>
              <w:t>- Veterans Legislation</w:t>
            </w:r>
          </w:p>
          <w:p w14:paraId="5B58D721" w14:textId="77777777" w:rsidR="0089124E" w:rsidRPr="000965B9" w:rsidRDefault="0089124E" w:rsidP="002E09A4">
            <w:pPr>
              <w:spacing w:line="320" w:lineRule="atLeast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0965B9">
              <w:rPr>
                <w:rFonts w:asciiTheme="minorHAnsi" w:eastAsia="Calibri" w:hAnsiTheme="minorHAnsi" w:cs="Arial"/>
                <w:sz w:val="20"/>
                <w:szCs w:val="20"/>
              </w:rPr>
              <w:t>- Constituent Casework</w:t>
            </w:r>
          </w:p>
          <w:p w14:paraId="7A41E939" w14:textId="77777777" w:rsidR="0089124E" w:rsidRPr="000965B9" w:rsidRDefault="0089124E" w:rsidP="002E09A4">
            <w:pPr>
              <w:spacing w:line="320" w:lineRule="atLeast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0965B9">
              <w:rPr>
                <w:rFonts w:asciiTheme="minorHAnsi" w:eastAsia="Calibri" w:hAnsiTheme="minorHAnsi" w:cs="Arial"/>
                <w:sz w:val="20"/>
                <w:szCs w:val="20"/>
              </w:rPr>
              <w:t>- GAO</w:t>
            </w:r>
          </w:p>
          <w:p w14:paraId="4D9D208C" w14:textId="77777777" w:rsidR="0089124E" w:rsidRPr="000965B9" w:rsidRDefault="0089124E" w:rsidP="002E09A4">
            <w:pPr>
              <w:spacing w:line="320" w:lineRule="atLeast"/>
              <w:contextualSpacing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14:paraId="1FF689D5" w14:textId="77777777" w:rsidR="0089124E" w:rsidRPr="000965B9" w:rsidRDefault="0089124E" w:rsidP="002E09A4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  <w:p w14:paraId="5012643B" w14:textId="77777777" w:rsidR="0089124E" w:rsidRPr="000965B9" w:rsidRDefault="0089124E" w:rsidP="002E09A4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0965B9">
              <w:rPr>
                <w:rFonts w:asciiTheme="minorHAnsi" w:eastAsia="Calibri" w:hAnsiTheme="minorHAnsi" w:cs="Arial"/>
                <w:sz w:val="20"/>
                <w:szCs w:val="20"/>
              </w:rPr>
              <w:t>46</w:t>
            </w:r>
          </w:p>
        </w:tc>
        <w:tc>
          <w:tcPr>
            <w:tcW w:w="1399" w:type="dxa"/>
          </w:tcPr>
          <w:p w14:paraId="6C9BF995" w14:textId="77777777" w:rsidR="0089124E" w:rsidRPr="000965B9" w:rsidRDefault="0089124E" w:rsidP="002E09A4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  <w:p w14:paraId="36C2B447" w14:textId="77777777" w:rsidR="0089124E" w:rsidRPr="000965B9" w:rsidRDefault="0089124E" w:rsidP="002E09A4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0965B9">
              <w:rPr>
                <w:rFonts w:asciiTheme="minorHAnsi" w:eastAsia="Calibri" w:hAnsiTheme="minorHAnsi" w:cs="Arial"/>
                <w:sz w:val="20"/>
                <w:szCs w:val="20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14:paraId="668AD7E4" w14:textId="77777777" w:rsidR="0089124E" w:rsidRPr="000965B9" w:rsidRDefault="0089124E" w:rsidP="002E09A4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  <w:p w14:paraId="77892655" w14:textId="77777777" w:rsidR="0089124E" w:rsidRPr="000965B9" w:rsidRDefault="0089124E" w:rsidP="002E09A4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0965B9">
              <w:rPr>
                <w:rFonts w:asciiTheme="minorHAnsi" w:eastAsia="Calibri" w:hAnsiTheme="minorHAnsi" w:cs="Arial"/>
                <w:sz w:val="20"/>
                <w:szCs w:val="20"/>
              </w:rPr>
              <w:t>1</w:t>
            </w:r>
          </w:p>
        </w:tc>
        <w:tc>
          <w:tcPr>
            <w:tcW w:w="2837" w:type="dxa"/>
            <w:shd w:val="clear" w:color="auto" w:fill="auto"/>
          </w:tcPr>
          <w:p w14:paraId="63908948" w14:textId="77777777" w:rsidR="0089124E" w:rsidRPr="000965B9" w:rsidRDefault="0089124E" w:rsidP="002E09A4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  <w:p w14:paraId="3AEF797B" w14:textId="77777777" w:rsidR="0089124E" w:rsidRPr="000965B9" w:rsidRDefault="0089124E" w:rsidP="002E09A4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0965B9">
              <w:rPr>
                <w:rFonts w:asciiTheme="minorHAnsi" w:eastAsia="Calibri" w:hAnsiTheme="minorHAnsi" w:cs="Arial"/>
                <w:sz w:val="20"/>
                <w:szCs w:val="20"/>
              </w:rPr>
              <w:t>PAS</w:t>
            </w:r>
          </w:p>
        </w:tc>
        <w:tc>
          <w:tcPr>
            <w:tcW w:w="3395" w:type="dxa"/>
            <w:shd w:val="clear" w:color="auto" w:fill="auto"/>
          </w:tcPr>
          <w:p w14:paraId="101433DC" w14:textId="77777777" w:rsidR="0089124E" w:rsidRPr="000965B9" w:rsidRDefault="0089124E" w:rsidP="002E09A4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0965B9">
              <w:rPr>
                <w:rFonts w:asciiTheme="minorHAnsi" w:eastAsia="Calibri" w:hAnsiTheme="minorHAnsi" w:cs="Arial"/>
                <w:sz w:val="20"/>
                <w:szCs w:val="20"/>
              </w:rPr>
              <w:t>Confidential policy support to senior VA leadership. Very limited communications with Congress.</w:t>
            </w:r>
          </w:p>
        </w:tc>
        <w:tc>
          <w:tcPr>
            <w:tcW w:w="2006" w:type="dxa"/>
          </w:tcPr>
          <w:p w14:paraId="72164008" w14:textId="77777777" w:rsidR="0089124E" w:rsidRPr="000965B9" w:rsidRDefault="0089124E" w:rsidP="002E09A4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  <w:p w14:paraId="5AA36D30" w14:textId="77777777" w:rsidR="0089124E" w:rsidRPr="000965B9" w:rsidRDefault="0089124E" w:rsidP="002E09A4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0965B9">
              <w:rPr>
                <w:rFonts w:asciiTheme="minorHAnsi" w:eastAsia="Calibri" w:hAnsiTheme="minorHAnsi" w:cs="Arial"/>
                <w:sz w:val="20"/>
                <w:szCs w:val="20"/>
              </w:rPr>
              <w:t>45</w:t>
            </w:r>
          </w:p>
        </w:tc>
      </w:tr>
    </w:tbl>
    <w:p w14:paraId="3DB6F488" w14:textId="36FA1FDF" w:rsidR="002F3378" w:rsidRDefault="002F3378">
      <w:pP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34A58322" w14:textId="6BCBED6D" w:rsidR="002F3378" w:rsidRPr="00D41575" w:rsidRDefault="002F3378" w:rsidP="00D41575">
      <w:pPr>
        <w:rPr>
          <w:rFonts w:asciiTheme="minorHAnsi" w:hAnsiTheme="minorHAnsi" w:cs="Times New Roman"/>
          <w:b/>
          <w:bCs/>
          <w:color w:val="1F497D"/>
          <w:sz w:val="32"/>
          <w:szCs w:val="28"/>
        </w:rPr>
      </w:pPr>
      <w:r w:rsidRPr="00D41575">
        <w:rPr>
          <w:rFonts w:asciiTheme="minorHAnsi" w:hAnsiTheme="minorHAnsi" w:cs="Times New Roman"/>
          <w:b/>
          <w:bCs/>
          <w:color w:val="1F497D"/>
          <w:sz w:val="32"/>
          <w:szCs w:val="28"/>
        </w:rPr>
        <w:lastRenderedPageBreak/>
        <w:t>Office of the Inspector General</w:t>
      </w:r>
    </w:p>
    <w:tbl>
      <w:tblPr>
        <w:tblW w:w="14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1601"/>
        <w:gridCol w:w="1402"/>
        <w:gridCol w:w="1456"/>
        <w:gridCol w:w="2864"/>
        <w:gridCol w:w="3420"/>
        <w:gridCol w:w="2016"/>
      </w:tblGrid>
      <w:tr w:rsidR="008D1D4C" w:rsidRPr="009C4D57" w14:paraId="6F3F18A3" w14:textId="77777777" w:rsidTr="002E09A4">
        <w:tc>
          <w:tcPr>
            <w:tcW w:w="1785" w:type="dxa"/>
            <w:shd w:val="clear" w:color="auto" w:fill="auto"/>
          </w:tcPr>
          <w:p w14:paraId="087587A3" w14:textId="77777777" w:rsidR="008D1D4C" w:rsidRPr="005D0272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1FE12300" w14:textId="77777777" w:rsidR="008D1D4C" w:rsidRPr="005D0272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2CE04593" w14:textId="1B0885FA" w:rsidR="008D1D4C" w:rsidRPr="009C4D57" w:rsidRDefault="008D1D4C" w:rsidP="002E09A4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VA Unit</w:t>
            </w:r>
          </w:p>
        </w:tc>
        <w:tc>
          <w:tcPr>
            <w:tcW w:w="1601" w:type="dxa"/>
            <w:shd w:val="clear" w:color="auto" w:fill="auto"/>
          </w:tcPr>
          <w:p w14:paraId="3004068A" w14:textId="77777777" w:rsidR="008D1D4C" w:rsidRPr="005D0272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257B9A66" w14:textId="77777777" w:rsidR="008D1D4C" w:rsidRPr="005D0272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78DBB499" w14:textId="11DF12B9" w:rsidR="008D1D4C" w:rsidRPr="009C4D57" w:rsidRDefault="008D1D4C" w:rsidP="002E09A4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Total</w:t>
            </w: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 </w:t>
            </w: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# of Employees</w:t>
            </w:r>
          </w:p>
        </w:tc>
        <w:tc>
          <w:tcPr>
            <w:tcW w:w="1402" w:type="dxa"/>
          </w:tcPr>
          <w:p w14:paraId="1FAC41AD" w14:textId="224A06D9" w:rsidR="008D1D4C" w:rsidRPr="009C4D57" w:rsidRDefault="008D1D4C" w:rsidP="002E09A4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# of Fully Funded (not subject to lapse; will continue to work)</w:t>
            </w:r>
          </w:p>
        </w:tc>
        <w:tc>
          <w:tcPr>
            <w:tcW w:w="1456" w:type="dxa"/>
            <w:shd w:val="clear" w:color="auto" w:fill="auto"/>
          </w:tcPr>
          <w:p w14:paraId="2E60597F" w14:textId="3FC41AF4" w:rsidR="008D1D4C" w:rsidRPr="009C4D57" w:rsidRDefault="008D1D4C" w:rsidP="002E09A4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# of Excepted Employees (legal basis; will continue to work)</w:t>
            </w:r>
          </w:p>
        </w:tc>
        <w:tc>
          <w:tcPr>
            <w:tcW w:w="2864" w:type="dxa"/>
            <w:shd w:val="clear" w:color="auto" w:fill="auto"/>
          </w:tcPr>
          <w:p w14:paraId="11355E22" w14:textId="77777777" w:rsidR="008D1D4C" w:rsidRPr="005D0272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4768F86C" w14:textId="77777777" w:rsidR="008D1D4C" w:rsidRPr="005D0272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35761276" w14:textId="210F184F" w:rsidR="008D1D4C" w:rsidRPr="009C4D57" w:rsidRDefault="008D1D4C" w:rsidP="002E09A4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Legal Basis for Decision or Full Funding Source</w:t>
            </w:r>
          </w:p>
        </w:tc>
        <w:tc>
          <w:tcPr>
            <w:tcW w:w="3420" w:type="dxa"/>
            <w:shd w:val="clear" w:color="auto" w:fill="auto"/>
          </w:tcPr>
          <w:p w14:paraId="1C1F2696" w14:textId="77777777" w:rsidR="008D1D4C" w:rsidRPr="005D0272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7218113F" w14:textId="77777777" w:rsidR="008D1D4C" w:rsidRPr="005D0272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2BA5AF6E" w14:textId="205A860A" w:rsidR="008D1D4C" w:rsidRPr="009C4D57" w:rsidRDefault="008D1D4C" w:rsidP="002E09A4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Functions to be Performed</w:t>
            </w:r>
          </w:p>
        </w:tc>
        <w:tc>
          <w:tcPr>
            <w:tcW w:w="2016" w:type="dxa"/>
          </w:tcPr>
          <w:p w14:paraId="438FE108" w14:textId="77777777" w:rsidR="008D1D4C" w:rsidRPr="005D0272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0E04F531" w14:textId="01B8B8F7" w:rsidR="008D1D4C" w:rsidRPr="009C4D57" w:rsidRDefault="008D1D4C" w:rsidP="002E09A4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# of Non-Excepted Employees (subject to furlough)</w:t>
            </w:r>
          </w:p>
        </w:tc>
      </w:tr>
      <w:tr w:rsidR="009A5100" w:rsidRPr="009C4D57" w14:paraId="1F40B1B3" w14:textId="77777777" w:rsidTr="002E09A4">
        <w:trPr>
          <w:cantSplit/>
        </w:trPr>
        <w:tc>
          <w:tcPr>
            <w:tcW w:w="1785" w:type="dxa"/>
            <w:vMerge w:val="restart"/>
            <w:shd w:val="clear" w:color="auto" w:fill="auto"/>
          </w:tcPr>
          <w:p w14:paraId="62A11C20" w14:textId="77777777" w:rsidR="009A5100" w:rsidRPr="009C4D57" w:rsidRDefault="009A5100" w:rsidP="002E09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4D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Office of the Inspector General (OIG)</w:t>
            </w:r>
          </w:p>
          <w:p w14:paraId="59C0DBA7" w14:textId="77777777" w:rsidR="009A5100" w:rsidRPr="009C4D57" w:rsidRDefault="009A5100" w:rsidP="009A5100">
            <w:pPr>
              <w:numPr>
                <w:ilvl w:val="0"/>
                <w:numId w:val="22"/>
              </w:numPr>
              <w:tabs>
                <w:tab w:val="num" w:pos="153"/>
              </w:tabs>
              <w:spacing w:before="0" w:after="80"/>
              <w:ind w:left="158" w:hanging="158"/>
              <w:rPr>
                <w:rFonts w:asciiTheme="minorHAnsi" w:hAnsiTheme="minorHAnsi" w:cstheme="minorHAnsi"/>
                <w:sz w:val="20"/>
                <w:szCs w:val="20"/>
              </w:rPr>
            </w:pPr>
            <w:r w:rsidRPr="009C4D57">
              <w:rPr>
                <w:rFonts w:asciiTheme="minorHAnsi" w:hAnsiTheme="minorHAnsi" w:cstheme="minorHAnsi"/>
                <w:sz w:val="20"/>
                <w:szCs w:val="20"/>
              </w:rPr>
              <w:t>Investigations</w:t>
            </w:r>
          </w:p>
          <w:p w14:paraId="56B78250" w14:textId="77777777" w:rsidR="009A5100" w:rsidRPr="009C4D57" w:rsidRDefault="009A5100" w:rsidP="009A5100">
            <w:pPr>
              <w:numPr>
                <w:ilvl w:val="0"/>
                <w:numId w:val="22"/>
              </w:numPr>
              <w:tabs>
                <w:tab w:val="num" w:pos="153"/>
              </w:tabs>
              <w:spacing w:before="0" w:after="80"/>
              <w:ind w:left="158" w:hanging="158"/>
              <w:rPr>
                <w:rFonts w:asciiTheme="minorHAnsi" w:hAnsiTheme="minorHAnsi" w:cstheme="minorHAnsi"/>
                <w:sz w:val="20"/>
                <w:szCs w:val="20"/>
              </w:rPr>
            </w:pPr>
            <w:r w:rsidRPr="009C4D57">
              <w:rPr>
                <w:rFonts w:asciiTheme="minorHAnsi" w:hAnsiTheme="minorHAnsi" w:cstheme="minorHAnsi"/>
                <w:sz w:val="20"/>
                <w:szCs w:val="20"/>
              </w:rPr>
              <w:t>Audits</w:t>
            </w:r>
          </w:p>
          <w:p w14:paraId="590F1F70" w14:textId="77777777" w:rsidR="009A5100" w:rsidRPr="009C4D57" w:rsidRDefault="009A5100" w:rsidP="009A5100">
            <w:pPr>
              <w:numPr>
                <w:ilvl w:val="0"/>
                <w:numId w:val="22"/>
              </w:numPr>
              <w:tabs>
                <w:tab w:val="num" w:pos="153"/>
              </w:tabs>
              <w:spacing w:before="0" w:after="80"/>
              <w:ind w:left="158" w:hanging="158"/>
              <w:rPr>
                <w:rFonts w:asciiTheme="minorHAnsi" w:hAnsiTheme="minorHAnsi" w:cstheme="minorHAnsi"/>
                <w:sz w:val="20"/>
                <w:szCs w:val="20"/>
              </w:rPr>
            </w:pPr>
            <w:r w:rsidRPr="009C4D57">
              <w:rPr>
                <w:rFonts w:asciiTheme="minorHAnsi" w:hAnsiTheme="minorHAnsi" w:cstheme="minorHAnsi"/>
                <w:sz w:val="20"/>
                <w:szCs w:val="20"/>
              </w:rPr>
              <w:t>Healthcare Inspections</w:t>
            </w:r>
          </w:p>
          <w:p w14:paraId="3435E680" w14:textId="77777777" w:rsidR="009A5100" w:rsidRPr="009C4D57" w:rsidRDefault="009A5100" w:rsidP="009A5100">
            <w:pPr>
              <w:numPr>
                <w:ilvl w:val="0"/>
                <w:numId w:val="22"/>
              </w:numPr>
              <w:tabs>
                <w:tab w:val="num" w:pos="153"/>
              </w:tabs>
              <w:spacing w:before="0" w:after="80"/>
              <w:ind w:left="158" w:hanging="158"/>
              <w:rPr>
                <w:rFonts w:asciiTheme="minorHAnsi" w:hAnsiTheme="minorHAnsi" w:cstheme="minorHAnsi"/>
                <w:sz w:val="20"/>
                <w:szCs w:val="20"/>
              </w:rPr>
            </w:pPr>
            <w:r w:rsidRPr="009C4D57">
              <w:rPr>
                <w:rFonts w:asciiTheme="minorHAnsi" w:hAnsiTheme="minorHAnsi" w:cstheme="minorHAnsi"/>
                <w:sz w:val="20"/>
                <w:szCs w:val="20"/>
              </w:rPr>
              <w:t>Management &amp; Administration</w:t>
            </w:r>
          </w:p>
        </w:tc>
        <w:tc>
          <w:tcPr>
            <w:tcW w:w="1601" w:type="dxa"/>
            <w:vMerge w:val="restart"/>
            <w:shd w:val="clear" w:color="auto" w:fill="auto"/>
          </w:tcPr>
          <w:p w14:paraId="12D89C09" w14:textId="77777777" w:rsidR="009A5100" w:rsidRPr="009C4D57" w:rsidRDefault="009A5100" w:rsidP="002E09A4">
            <w:pPr>
              <w:spacing w:after="1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4D57">
              <w:rPr>
                <w:rFonts w:asciiTheme="minorHAnsi" w:hAnsiTheme="minorHAnsi" w:cstheme="minorHAnsi"/>
                <w:sz w:val="20"/>
                <w:szCs w:val="20"/>
              </w:rPr>
              <w:t>645</w:t>
            </w:r>
          </w:p>
          <w:p w14:paraId="1AE6CF73" w14:textId="77777777" w:rsidR="009A5100" w:rsidRPr="009C4D57" w:rsidRDefault="009A5100" w:rsidP="002E09A4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14:paraId="23B141E0" w14:textId="6C560384" w:rsidR="009A5100" w:rsidRPr="009C4D57" w:rsidRDefault="00C95CD3" w:rsidP="002E09A4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</w:tcPr>
          <w:p w14:paraId="6238F2B5" w14:textId="1C26846D" w:rsidR="009A5100" w:rsidRPr="009C4D57" w:rsidRDefault="00C95CD3" w:rsidP="002E09A4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</w:rPr>
              <w:t>1</w:t>
            </w:r>
          </w:p>
        </w:tc>
        <w:tc>
          <w:tcPr>
            <w:tcW w:w="2864" w:type="dxa"/>
            <w:shd w:val="clear" w:color="auto" w:fill="auto"/>
          </w:tcPr>
          <w:p w14:paraId="3DC3FCC5" w14:textId="77777777" w:rsidR="009A5100" w:rsidRPr="009C4D57" w:rsidRDefault="009A5100" w:rsidP="002E09A4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9C4D57">
              <w:rPr>
                <w:rFonts w:asciiTheme="minorHAnsi" w:eastAsia="Calibri" w:hAnsiTheme="minorHAnsi" w:cs="Arial"/>
                <w:sz w:val="20"/>
                <w:szCs w:val="20"/>
              </w:rPr>
              <w:t>PAS</w:t>
            </w:r>
          </w:p>
        </w:tc>
        <w:tc>
          <w:tcPr>
            <w:tcW w:w="3420" w:type="dxa"/>
            <w:shd w:val="clear" w:color="auto" w:fill="auto"/>
          </w:tcPr>
          <w:p w14:paraId="22C4E470" w14:textId="409C1C8A" w:rsidR="009A5100" w:rsidRPr="009C4D57" w:rsidRDefault="00B1782E" w:rsidP="002E09A4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Oversight of excepted employees</w:t>
            </w:r>
          </w:p>
        </w:tc>
        <w:tc>
          <w:tcPr>
            <w:tcW w:w="2016" w:type="dxa"/>
          </w:tcPr>
          <w:p w14:paraId="767C727A" w14:textId="77777777" w:rsidR="009A5100" w:rsidRPr="009C4D57" w:rsidRDefault="009A5100" w:rsidP="002E09A4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9A5100" w:rsidRPr="009C4D57" w14:paraId="6AF43AEB" w14:textId="77777777" w:rsidTr="002E09A4">
        <w:tc>
          <w:tcPr>
            <w:tcW w:w="1785" w:type="dxa"/>
            <w:vMerge/>
            <w:shd w:val="clear" w:color="auto" w:fill="auto"/>
          </w:tcPr>
          <w:p w14:paraId="0FEDF1C7" w14:textId="77777777" w:rsidR="009A5100" w:rsidRPr="009C4D57" w:rsidRDefault="009A5100" w:rsidP="002E09A4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14:paraId="3661194A" w14:textId="77777777" w:rsidR="009A5100" w:rsidRPr="009C4D57" w:rsidRDefault="009A5100" w:rsidP="002E09A4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14:paraId="4613F5FD" w14:textId="77777777" w:rsidR="009A5100" w:rsidRPr="009C4D57" w:rsidRDefault="009A5100" w:rsidP="002E09A4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9C4D57">
              <w:rPr>
                <w:rFonts w:asciiTheme="minorHAnsi" w:eastAsia="Calibri" w:hAnsiTheme="minorHAnsi" w:cs="Arial"/>
                <w:sz w:val="20"/>
                <w:szCs w:val="20"/>
              </w:rPr>
              <w:t>29</w:t>
            </w:r>
          </w:p>
        </w:tc>
        <w:tc>
          <w:tcPr>
            <w:tcW w:w="1456" w:type="dxa"/>
            <w:shd w:val="clear" w:color="auto" w:fill="auto"/>
          </w:tcPr>
          <w:p w14:paraId="06D0B70B" w14:textId="77777777" w:rsidR="009A5100" w:rsidRPr="009C4D57" w:rsidRDefault="009A5100" w:rsidP="002E09A4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</w:rPr>
              <w:t>0</w:t>
            </w:r>
          </w:p>
        </w:tc>
        <w:tc>
          <w:tcPr>
            <w:tcW w:w="2864" w:type="dxa"/>
            <w:shd w:val="clear" w:color="auto" w:fill="auto"/>
          </w:tcPr>
          <w:p w14:paraId="100AC317" w14:textId="77777777" w:rsidR="009A5100" w:rsidRPr="009C4D57" w:rsidRDefault="009A5100" w:rsidP="002E09A4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9C4D57">
              <w:rPr>
                <w:rFonts w:asciiTheme="minorHAnsi" w:hAnsiTheme="minorHAnsi" w:cstheme="minorHAnsi"/>
                <w:sz w:val="20"/>
                <w:szCs w:val="20"/>
              </w:rPr>
              <w:t>Continuing Funding from Supply Fund</w:t>
            </w:r>
          </w:p>
        </w:tc>
        <w:tc>
          <w:tcPr>
            <w:tcW w:w="3420" w:type="dxa"/>
            <w:shd w:val="clear" w:color="auto" w:fill="auto"/>
          </w:tcPr>
          <w:p w14:paraId="07EB15A3" w14:textId="4953679A" w:rsidR="009A5100" w:rsidRPr="009C4D57" w:rsidRDefault="00C24FA3" w:rsidP="002E09A4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Supply Fund Audits</w:t>
            </w:r>
          </w:p>
        </w:tc>
        <w:tc>
          <w:tcPr>
            <w:tcW w:w="2016" w:type="dxa"/>
          </w:tcPr>
          <w:p w14:paraId="60A9BE3E" w14:textId="77777777" w:rsidR="009A5100" w:rsidRPr="009C4D57" w:rsidRDefault="009A5100" w:rsidP="002E09A4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9A5100" w:rsidRPr="009C4D57" w14:paraId="35F40263" w14:textId="77777777" w:rsidTr="002E09A4">
        <w:tc>
          <w:tcPr>
            <w:tcW w:w="1785" w:type="dxa"/>
            <w:vMerge/>
            <w:shd w:val="clear" w:color="auto" w:fill="auto"/>
          </w:tcPr>
          <w:p w14:paraId="368546E0" w14:textId="77777777" w:rsidR="009A5100" w:rsidRPr="009C4D57" w:rsidRDefault="009A5100" w:rsidP="002E09A4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14:paraId="31FCE2CE" w14:textId="77777777" w:rsidR="009A5100" w:rsidRPr="009C4D57" w:rsidRDefault="009A5100" w:rsidP="002E09A4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14:paraId="4D95D419" w14:textId="77777777" w:rsidR="009A5100" w:rsidRPr="009C4D57" w:rsidRDefault="009A5100" w:rsidP="002E09A4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</w:rPr>
              <w:t>0</w:t>
            </w:r>
          </w:p>
        </w:tc>
        <w:tc>
          <w:tcPr>
            <w:tcW w:w="1456" w:type="dxa"/>
            <w:shd w:val="clear" w:color="auto" w:fill="auto"/>
          </w:tcPr>
          <w:p w14:paraId="07F6A611" w14:textId="77777777" w:rsidR="009A5100" w:rsidRPr="009C4D57" w:rsidRDefault="009A5100" w:rsidP="002E09A4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9C4D57">
              <w:rPr>
                <w:rFonts w:asciiTheme="minorHAnsi" w:eastAsia="Calibri" w:hAnsiTheme="minorHAnsi" w:cs="Arial"/>
                <w:sz w:val="20"/>
                <w:szCs w:val="20"/>
              </w:rPr>
              <w:t>148</w:t>
            </w:r>
          </w:p>
        </w:tc>
        <w:tc>
          <w:tcPr>
            <w:tcW w:w="2864" w:type="dxa"/>
            <w:shd w:val="clear" w:color="auto" w:fill="auto"/>
          </w:tcPr>
          <w:p w14:paraId="1C4D8BA2" w14:textId="4D1012B4" w:rsidR="009A5100" w:rsidRPr="009C4D57" w:rsidRDefault="00CE1667" w:rsidP="002E09A4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Protection of Life and Property - </w:t>
            </w:r>
            <w:r w:rsidR="009A5100" w:rsidRPr="009C4D57">
              <w:rPr>
                <w:rFonts w:asciiTheme="minorHAnsi" w:hAnsiTheme="minorHAnsi" w:cstheme="minorHAnsi"/>
                <w:sz w:val="20"/>
                <w:szCs w:val="20"/>
              </w:rPr>
              <w:t>Law Enforcement</w:t>
            </w:r>
          </w:p>
        </w:tc>
        <w:tc>
          <w:tcPr>
            <w:tcW w:w="3420" w:type="dxa"/>
            <w:shd w:val="clear" w:color="auto" w:fill="auto"/>
          </w:tcPr>
          <w:p w14:paraId="65F274D4" w14:textId="77777777" w:rsidR="009A5100" w:rsidRPr="009C4D57" w:rsidRDefault="009A5100" w:rsidP="002E09A4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9C4D57">
              <w:rPr>
                <w:rFonts w:asciiTheme="minorHAnsi" w:hAnsiTheme="minorHAnsi" w:cstheme="minorHAnsi"/>
                <w:sz w:val="20"/>
                <w:szCs w:val="20"/>
              </w:rPr>
              <w:t>Support ongoing criminal cases, investigations, and prosecutions</w:t>
            </w:r>
          </w:p>
        </w:tc>
        <w:tc>
          <w:tcPr>
            <w:tcW w:w="2016" w:type="dxa"/>
          </w:tcPr>
          <w:p w14:paraId="2178E4F3" w14:textId="77777777" w:rsidR="009A5100" w:rsidRPr="009C4D57" w:rsidRDefault="009A5100" w:rsidP="002E09A4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9A5100" w:rsidRPr="009C4D57" w14:paraId="047F30D5" w14:textId="77777777" w:rsidTr="002E09A4">
        <w:tc>
          <w:tcPr>
            <w:tcW w:w="1785" w:type="dxa"/>
            <w:vMerge/>
            <w:shd w:val="clear" w:color="auto" w:fill="auto"/>
          </w:tcPr>
          <w:p w14:paraId="6D0C6E13" w14:textId="77777777" w:rsidR="009A5100" w:rsidRPr="009C4D57" w:rsidRDefault="009A5100" w:rsidP="002E09A4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14:paraId="10E7AE24" w14:textId="77777777" w:rsidR="009A5100" w:rsidRPr="009C4D57" w:rsidRDefault="009A5100" w:rsidP="002E09A4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14:paraId="23104976" w14:textId="77777777" w:rsidR="009A5100" w:rsidRPr="009C4D57" w:rsidRDefault="009A5100" w:rsidP="002E09A4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</w:rPr>
              <w:t>0</w:t>
            </w:r>
          </w:p>
        </w:tc>
        <w:tc>
          <w:tcPr>
            <w:tcW w:w="1456" w:type="dxa"/>
            <w:shd w:val="clear" w:color="auto" w:fill="auto"/>
          </w:tcPr>
          <w:p w14:paraId="42DEF80D" w14:textId="77777777" w:rsidR="009A5100" w:rsidRPr="009C4D57" w:rsidRDefault="009A5100" w:rsidP="002E09A4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9C4D57">
              <w:rPr>
                <w:rFonts w:asciiTheme="minorHAnsi" w:eastAsia="Calibri" w:hAnsiTheme="minorHAnsi" w:cs="Arial"/>
                <w:sz w:val="20"/>
                <w:szCs w:val="20"/>
              </w:rPr>
              <w:t>12</w:t>
            </w:r>
          </w:p>
        </w:tc>
        <w:tc>
          <w:tcPr>
            <w:tcW w:w="2864" w:type="dxa"/>
            <w:shd w:val="clear" w:color="auto" w:fill="auto"/>
          </w:tcPr>
          <w:p w14:paraId="7EDEEFCC" w14:textId="77777777" w:rsidR="009A5100" w:rsidRPr="009C4D57" w:rsidRDefault="009A5100" w:rsidP="002E09A4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9C4D57">
              <w:rPr>
                <w:rFonts w:asciiTheme="minorHAnsi" w:hAnsiTheme="minorHAnsi" w:cstheme="minorHAnsi"/>
                <w:sz w:val="20"/>
                <w:szCs w:val="20"/>
              </w:rPr>
              <w:t>Necessary implication</w:t>
            </w:r>
          </w:p>
        </w:tc>
        <w:tc>
          <w:tcPr>
            <w:tcW w:w="3420" w:type="dxa"/>
            <w:shd w:val="clear" w:color="auto" w:fill="auto"/>
          </w:tcPr>
          <w:p w14:paraId="49A26696" w14:textId="77777777" w:rsidR="009A5100" w:rsidRPr="009C4D57" w:rsidRDefault="009A5100" w:rsidP="002E09A4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9C4D57">
              <w:rPr>
                <w:rFonts w:asciiTheme="minorHAnsi" w:hAnsiTheme="minorHAnsi" w:cstheme="minorHAnsi"/>
                <w:sz w:val="20"/>
                <w:szCs w:val="20"/>
              </w:rPr>
              <w:t>Support essential functions of excepted staff</w:t>
            </w:r>
          </w:p>
        </w:tc>
        <w:tc>
          <w:tcPr>
            <w:tcW w:w="2016" w:type="dxa"/>
          </w:tcPr>
          <w:p w14:paraId="76465D88" w14:textId="77777777" w:rsidR="009A5100" w:rsidRPr="009C4D57" w:rsidRDefault="009A5100" w:rsidP="002E09A4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9A5100" w:rsidRPr="009C4D57" w14:paraId="2852B1C1" w14:textId="77777777" w:rsidTr="002E09A4">
        <w:tc>
          <w:tcPr>
            <w:tcW w:w="1785" w:type="dxa"/>
            <w:vMerge/>
            <w:shd w:val="clear" w:color="auto" w:fill="auto"/>
          </w:tcPr>
          <w:p w14:paraId="1E81099D" w14:textId="77777777" w:rsidR="009A5100" w:rsidRPr="009C4D57" w:rsidRDefault="009A5100" w:rsidP="002E09A4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14:paraId="575A8248" w14:textId="77777777" w:rsidR="009A5100" w:rsidRPr="009C4D57" w:rsidRDefault="009A5100" w:rsidP="002E09A4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14:paraId="4644F17A" w14:textId="77777777" w:rsidR="009A5100" w:rsidRPr="009C4D57" w:rsidRDefault="009A5100" w:rsidP="002E09A4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14:paraId="5DF0AFAF" w14:textId="77777777" w:rsidR="009A5100" w:rsidRPr="009C4D57" w:rsidRDefault="009A5100" w:rsidP="002E09A4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7590A8A8" w14:textId="77777777" w:rsidR="009A5100" w:rsidRPr="009C4D57" w:rsidRDefault="009A5100" w:rsidP="002E09A4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49A33E4D" w14:textId="77777777" w:rsidR="009A5100" w:rsidRPr="009C4D57" w:rsidRDefault="009A5100" w:rsidP="002E09A4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14:paraId="1699E0D3" w14:textId="77777777" w:rsidR="009A5100" w:rsidRPr="009C4D57" w:rsidRDefault="009A5100" w:rsidP="002E09A4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9C4D57">
              <w:rPr>
                <w:rFonts w:asciiTheme="minorHAnsi" w:eastAsia="Calibri" w:hAnsiTheme="minorHAnsi" w:cs="Arial"/>
                <w:sz w:val="20"/>
                <w:szCs w:val="20"/>
              </w:rPr>
              <w:t>455</w:t>
            </w:r>
          </w:p>
        </w:tc>
      </w:tr>
    </w:tbl>
    <w:p w14:paraId="09605AB9" w14:textId="77777777" w:rsidR="002F3378" w:rsidRDefault="002F3378">
      <w:pP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3DB6F4BF" w14:textId="2205BEEA" w:rsidR="00617092" w:rsidRPr="00D41575" w:rsidRDefault="002F3378" w:rsidP="00D41575">
      <w:pPr>
        <w:rPr>
          <w:rFonts w:asciiTheme="minorHAnsi" w:hAnsiTheme="minorHAnsi" w:cs="Times New Roman"/>
          <w:b/>
          <w:bCs/>
          <w:color w:val="1F497D"/>
          <w:sz w:val="32"/>
          <w:szCs w:val="28"/>
        </w:rPr>
      </w:pPr>
      <w:r w:rsidRPr="00D41575">
        <w:rPr>
          <w:rFonts w:asciiTheme="minorHAnsi" w:hAnsiTheme="minorHAnsi" w:cs="Times New Roman"/>
          <w:b/>
          <w:bCs/>
          <w:color w:val="1F497D"/>
          <w:sz w:val="32"/>
          <w:szCs w:val="28"/>
        </w:rPr>
        <w:lastRenderedPageBreak/>
        <w:t>Office of Operations, Security and Preparedness</w:t>
      </w:r>
    </w:p>
    <w:tbl>
      <w:tblPr>
        <w:tblW w:w="14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1601"/>
        <w:gridCol w:w="1402"/>
        <w:gridCol w:w="1456"/>
        <w:gridCol w:w="2864"/>
        <w:gridCol w:w="3420"/>
        <w:gridCol w:w="2016"/>
      </w:tblGrid>
      <w:tr w:rsidR="00A00CD8" w:rsidRPr="00B834E4" w14:paraId="1E5B7C92" w14:textId="77777777" w:rsidTr="007A641C">
        <w:tc>
          <w:tcPr>
            <w:tcW w:w="1785" w:type="dxa"/>
            <w:shd w:val="clear" w:color="auto" w:fill="auto"/>
          </w:tcPr>
          <w:p w14:paraId="0D9932D6" w14:textId="77777777" w:rsidR="00A00CD8" w:rsidRPr="005D0272" w:rsidRDefault="00A00CD8" w:rsidP="007A641C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493FE4CD" w14:textId="77777777" w:rsidR="00A00CD8" w:rsidRPr="005D0272" w:rsidRDefault="00A00CD8" w:rsidP="007A641C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69DE1329" w14:textId="33397AFE" w:rsidR="00A00CD8" w:rsidRPr="00B834E4" w:rsidRDefault="00A00CD8" w:rsidP="007A641C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VA Unit</w:t>
            </w:r>
          </w:p>
        </w:tc>
        <w:tc>
          <w:tcPr>
            <w:tcW w:w="1601" w:type="dxa"/>
            <w:shd w:val="clear" w:color="auto" w:fill="auto"/>
          </w:tcPr>
          <w:p w14:paraId="38091B83" w14:textId="77777777" w:rsidR="00A00CD8" w:rsidRPr="005D0272" w:rsidRDefault="00A00CD8" w:rsidP="007A641C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50713320" w14:textId="77777777" w:rsidR="00A00CD8" w:rsidRPr="005D0272" w:rsidRDefault="00A00CD8" w:rsidP="007A641C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410511D2" w14:textId="21C337DB" w:rsidR="00A00CD8" w:rsidRPr="00B834E4" w:rsidRDefault="00A00CD8" w:rsidP="007A641C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Total</w:t>
            </w: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 </w:t>
            </w: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# of Employees</w:t>
            </w:r>
          </w:p>
        </w:tc>
        <w:tc>
          <w:tcPr>
            <w:tcW w:w="1402" w:type="dxa"/>
          </w:tcPr>
          <w:p w14:paraId="0840A244" w14:textId="697E30B0" w:rsidR="00A00CD8" w:rsidRPr="00B834E4" w:rsidRDefault="00A00CD8" w:rsidP="007A641C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# of Fully Funded (not subject to lapse; will continue to work)</w:t>
            </w:r>
          </w:p>
        </w:tc>
        <w:tc>
          <w:tcPr>
            <w:tcW w:w="1456" w:type="dxa"/>
            <w:shd w:val="clear" w:color="auto" w:fill="auto"/>
          </w:tcPr>
          <w:p w14:paraId="329DCB11" w14:textId="196F5CF1" w:rsidR="00A00CD8" w:rsidRPr="00B834E4" w:rsidRDefault="00A00CD8" w:rsidP="007A641C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# of Excepted Employees (legal basis; will continue to work)</w:t>
            </w:r>
          </w:p>
        </w:tc>
        <w:tc>
          <w:tcPr>
            <w:tcW w:w="2864" w:type="dxa"/>
            <w:shd w:val="clear" w:color="auto" w:fill="auto"/>
          </w:tcPr>
          <w:p w14:paraId="0E282759" w14:textId="77777777" w:rsidR="00A00CD8" w:rsidRPr="005D0272" w:rsidRDefault="00A00CD8" w:rsidP="007A641C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357A387B" w14:textId="77777777" w:rsidR="00A00CD8" w:rsidRPr="005D0272" w:rsidRDefault="00A00CD8" w:rsidP="007A641C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2F05C560" w14:textId="2CD59489" w:rsidR="00A00CD8" w:rsidRPr="00B834E4" w:rsidRDefault="00A00CD8" w:rsidP="007A641C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Legal Basis for Decision or Full Funding Source</w:t>
            </w:r>
          </w:p>
        </w:tc>
        <w:tc>
          <w:tcPr>
            <w:tcW w:w="3420" w:type="dxa"/>
            <w:shd w:val="clear" w:color="auto" w:fill="auto"/>
          </w:tcPr>
          <w:p w14:paraId="370A5594" w14:textId="77777777" w:rsidR="00A00CD8" w:rsidRPr="005D0272" w:rsidRDefault="00A00CD8" w:rsidP="007A641C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2281EDC7" w14:textId="77777777" w:rsidR="00A00CD8" w:rsidRPr="005D0272" w:rsidRDefault="00A00CD8" w:rsidP="007A641C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6F97154D" w14:textId="6D8BAB0E" w:rsidR="00A00CD8" w:rsidRPr="00B834E4" w:rsidRDefault="00A00CD8" w:rsidP="007A641C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Functions to be Performed</w:t>
            </w:r>
          </w:p>
        </w:tc>
        <w:tc>
          <w:tcPr>
            <w:tcW w:w="2016" w:type="dxa"/>
          </w:tcPr>
          <w:p w14:paraId="5FC27C9E" w14:textId="77777777" w:rsidR="00A00CD8" w:rsidRPr="005D0272" w:rsidRDefault="00A00CD8" w:rsidP="007A641C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7EABC2C2" w14:textId="43339EB4" w:rsidR="00A00CD8" w:rsidRPr="00B834E4" w:rsidRDefault="00A00CD8" w:rsidP="007A641C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# of Non-Excepted Employees (subject to furlough)</w:t>
            </w:r>
          </w:p>
        </w:tc>
      </w:tr>
      <w:tr w:rsidR="00A00CD8" w:rsidRPr="00B834E4" w14:paraId="736F45F7" w14:textId="77777777" w:rsidTr="007A641C">
        <w:trPr>
          <w:cantSplit/>
        </w:trPr>
        <w:tc>
          <w:tcPr>
            <w:tcW w:w="1785" w:type="dxa"/>
            <w:shd w:val="clear" w:color="auto" w:fill="auto"/>
          </w:tcPr>
          <w:p w14:paraId="36C6BCB0" w14:textId="77777777" w:rsidR="00A00CD8" w:rsidRPr="00B834E4" w:rsidRDefault="00A00CD8" w:rsidP="007A641C">
            <w:pPr>
              <w:spacing w:line="320" w:lineRule="atLeast"/>
              <w:contextualSpacing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B834E4">
              <w:rPr>
                <w:rFonts w:asciiTheme="minorHAnsi" w:eastAsia="Calibri" w:hAnsiTheme="minorHAnsi" w:cs="Arial"/>
                <w:sz w:val="20"/>
                <w:szCs w:val="20"/>
              </w:rPr>
              <w:t>Office of Operations, Security, and Preparedness (OSP)</w:t>
            </w:r>
          </w:p>
          <w:p w14:paraId="01418901" w14:textId="77777777" w:rsidR="00A00CD8" w:rsidRPr="00B834E4" w:rsidRDefault="00A00CD8" w:rsidP="007A641C">
            <w:pPr>
              <w:spacing w:line="320" w:lineRule="atLeast"/>
              <w:contextualSpacing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B834E4">
              <w:rPr>
                <w:rFonts w:asciiTheme="minorHAnsi" w:eastAsia="Calibri" w:hAnsiTheme="minorHAnsi" w:cs="Arial"/>
                <w:sz w:val="20"/>
                <w:szCs w:val="20"/>
              </w:rPr>
              <w:t>• Office of Security and Law Enforcement</w:t>
            </w:r>
          </w:p>
          <w:p w14:paraId="4A318F67" w14:textId="77777777" w:rsidR="00A00CD8" w:rsidRPr="00B834E4" w:rsidRDefault="00A00CD8" w:rsidP="007A641C">
            <w:pPr>
              <w:spacing w:line="320" w:lineRule="atLeast"/>
              <w:contextualSpacing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B834E4">
              <w:rPr>
                <w:rFonts w:asciiTheme="minorHAnsi" w:eastAsia="Calibri" w:hAnsiTheme="minorHAnsi" w:cs="Arial"/>
                <w:sz w:val="20"/>
                <w:szCs w:val="20"/>
              </w:rPr>
              <w:t>• Office of Emergency Management</w:t>
            </w:r>
          </w:p>
          <w:p w14:paraId="6A574A6B" w14:textId="77777777" w:rsidR="00A00CD8" w:rsidRPr="00B834E4" w:rsidRDefault="00A00CD8" w:rsidP="007A641C">
            <w:pPr>
              <w:spacing w:line="320" w:lineRule="atLeast"/>
              <w:contextualSpacing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B834E4">
              <w:rPr>
                <w:rFonts w:asciiTheme="minorHAnsi" w:eastAsia="Calibri" w:hAnsiTheme="minorHAnsi" w:cs="Arial"/>
                <w:sz w:val="20"/>
                <w:szCs w:val="20"/>
              </w:rPr>
              <w:t xml:space="preserve">• Office of Personnel Security and Identity </w:t>
            </w:r>
          </w:p>
          <w:p w14:paraId="31CED4AC" w14:textId="77777777" w:rsidR="00A00CD8" w:rsidRPr="00B834E4" w:rsidRDefault="00A00CD8" w:rsidP="007A641C">
            <w:pPr>
              <w:spacing w:line="320" w:lineRule="atLeast"/>
              <w:contextualSpacing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B834E4">
              <w:rPr>
                <w:rFonts w:asciiTheme="minorHAnsi" w:eastAsia="Calibri" w:hAnsiTheme="minorHAnsi" w:cs="Arial"/>
                <w:sz w:val="20"/>
                <w:szCs w:val="20"/>
              </w:rPr>
              <w:t>Management</w:t>
            </w:r>
          </w:p>
          <w:p w14:paraId="66C1903E" w14:textId="77777777" w:rsidR="00A00CD8" w:rsidRPr="00B834E4" w:rsidRDefault="00A00CD8" w:rsidP="007A641C">
            <w:pPr>
              <w:spacing w:line="320" w:lineRule="atLeast"/>
              <w:contextualSpacing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B834E4">
              <w:rPr>
                <w:rFonts w:asciiTheme="minorHAnsi" w:eastAsia="Calibri" w:hAnsiTheme="minorHAnsi" w:cs="Arial"/>
                <w:sz w:val="20"/>
                <w:szCs w:val="20"/>
              </w:rPr>
              <w:t>• Office of Resource Management</w:t>
            </w:r>
          </w:p>
        </w:tc>
        <w:tc>
          <w:tcPr>
            <w:tcW w:w="1601" w:type="dxa"/>
            <w:shd w:val="clear" w:color="auto" w:fill="auto"/>
          </w:tcPr>
          <w:p w14:paraId="2AC7787C" w14:textId="77777777" w:rsidR="00A00CD8" w:rsidRPr="00B834E4" w:rsidRDefault="00A00CD8" w:rsidP="007A641C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B834E4">
              <w:rPr>
                <w:rFonts w:asciiTheme="minorHAnsi" w:eastAsia="Calibri" w:hAnsiTheme="minorHAnsi" w:cs="Arial"/>
                <w:sz w:val="20"/>
                <w:szCs w:val="20"/>
              </w:rPr>
              <w:t>165</w:t>
            </w:r>
          </w:p>
        </w:tc>
        <w:tc>
          <w:tcPr>
            <w:tcW w:w="1402" w:type="dxa"/>
          </w:tcPr>
          <w:p w14:paraId="4165FE58" w14:textId="5ED3553D" w:rsidR="00A00CD8" w:rsidRPr="009F7354" w:rsidRDefault="00A10AFB" w:rsidP="007A641C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9F7354">
              <w:rPr>
                <w:rFonts w:asciiTheme="minorHAnsi" w:eastAsia="Calibri" w:hAnsiTheme="minorHAnsi" w:cs="Arial"/>
                <w:sz w:val="20"/>
                <w:szCs w:val="20"/>
              </w:rPr>
              <w:t>70</w:t>
            </w:r>
          </w:p>
        </w:tc>
        <w:tc>
          <w:tcPr>
            <w:tcW w:w="1456" w:type="dxa"/>
            <w:shd w:val="clear" w:color="auto" w:fill="auto"/>
          </w:tcPr>
          <w:p w14:paraId="00DB52E2" w14:textId="6D920A4C" w:rsidR="00A00CD8" w:rsidRPr="009F7354" w:rsidRDefault="00A10AFB" w:rsidP="007A641C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9F7354">
              <w:rPr>
                <w:rFonts w:asciiTheme="minorHAnsi" w:eastAsia="Calibri" w:hAnsiTheme="minorHAnsi" w:cs="Arial"/>
                <w:sz w:val="20"/>
                <w:szCs w:val="20"/>
              </w:rPr>
              <w:t>16</w:t>
            </w:r>
          </w:p>
        </w:tc>
        <w:tc>
          <w:tcPr>
            <w:tcW w:w="2864" w:type="dxa"/>
            <w:shd w:val="clear" w:color="auto" w:fill="auto"/>
          </w:tcPr>
          <w:p w14:paraId="79076491" w14:textId="77777777" w:rsidR="00A00CD8" w:rsidRPr="00B834E4" w:rsidRDefault="00A00CD8" w:rsidP="007A641C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B834E4">
              <w:rPr>
                <w:rFonts w:asciiTheme="minorHAnsi" w:eastAsia="Calibri" w:hAnsiTheme="minorHAnsi" w:cs="Arial"/>
                <w:sz w:val="20"/>
                <w:szCs w:val="20"/>
              </w:rPr>
              <w:t>Protection of life and property</w:t>
            </w:r>
          </w:p>
          <w:p w14:paraId="2BA9FEEC" w14:textId="77777777" w:rsidR="00A00CD8" w:rsidRPr="00B834E4" w:rsidRDefault="00A00CD8" w:rsidP="007A641C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B834E4"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  <w:r w:rsidRPr="00B834E4">
              <w:rPr>
                <w:rFonts w:asciiTheme="minorHAnsi" w:eastAsia="Calibri" w:hAnsiTheme="minorHAnsi" w:cs="Arial"/>
                <w:sz w:val="20"/>
                <w:szCs w:val="20"/>
              </w:rPr>
              <w:tab/>
            </w:r>
          </w:p>
        </w:tc>
        <w:tc>
          <w:tcPr>
            <w:tcW w:w="3420" w:type="dxa"/>
            <w:shd w:val="clear" w:color="auto" w:fill="auto"/>
          </w:tcPr>
          <w:p w14:paraId="33A5667F" w14:textId="77777777" w:rsidR="00A00CD8" w:rsidRPr="00B834E4" w:rsidRDefault="00A00CD8" w:rsidP="007A641C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B834E4">
              <w:rPr>
                <w:rFonts w:asciiTheme="minorHAnsi" w:eastAsia="Calibri" w:hAnsiTheme="minorHAnsi" w:cs="Arial"/>
                <w:sz w:val="20"/>
                <w:szCs w:val="20"/>
              </w:rPr>
              <w:t>Maintain the Integrated Operations Center and provide Executive Protection</w:t>
            </w:r>
          </w:p>
        </w:tc>
        <w:tc>
          <w:tcPr>
            <w:tcW w:w="2016" w:type="dxa"/>
          </w:tcPr>
          <w:p w14:paraId="6B59E9E7" w14:textId="3C823FC9" w:rsidR="00A00CD8" w:rsidRPr="00B834E4" w:rsidRDefault="00A10AFB" w:rsidP="007A641C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9F7354">
              <w:rPr>
                <w:rFonts w:asciiTheme="minorHAnsi" w:eastAsia="Calibri" w:hAnsiTheme="minorHAnsi" w:cs="Arial"/>
                <w:sz w:val="20"/>
                <w:szCs w:val="20"/>
              </w:rPr>
              <w:t>79</w:t>
            </w:r>
          </w:p>
        </w:tc>
      </w:tr>
    </w:tbl>
    <w:p w14:paraId="3DB6F4E8" w14:textId="0497C160" w:rsidR="002F3378" w:rsidRDefault="002F3378">
      <w:pP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3DB6F4E9" w14:textId="2DD1D406" w:rsidR="00617092" w:rsidRPr="00D41575" w:rsidRDefault="002F3378" w:rsidP="00D41575">
      <w:pPr>
        <w:rPr>
          <w:rFonts w:asciiTheme="minorHAnsi" w:hAnsiTheme="minorHAnsi" w:cs="Times New Roman"/>
          <w:b/>
          <w:bCs/>
          <w:color w:val="1F497D"/>
          <w:sz w:val="32"/>
          <w:szCs w:val="28"/>
        </w:rPr>
      </w:pPr>
      <w:r w:rsidRPr="00D41575">
        <w:rPr>
          <w:rFonts w:asciiTheme="minorHAnsi" w:hAnsiTheme="minorHAnsi" w:cs="Times New Roman"/>
          <w:b/>
          <w:bCs/>
          <w:color w:val="1F497D"/>
          <w:sz w:val="32"/>
          <w:szCs w:val="28"/>
        </w:rPr>
        <w:lastRenderedPageBreak/>
        <w:t>Office of Policy and Planning</w:t>
      </w:r>
    </w:p>
    <w:tbl>
      <w:tblPr>
        <w:tblW w:w="14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406"/>
        <w:gridCol w:w="1389"/>
        <w:gridCol w:w="1451"/>
        <w:gridCol w:w="2759"/>
        <w:gridCol w:w="3292"/>
        <w:gridCol w:w="1979"/>
      </w:tblGrid>
      <w:tr w:rsidR="008D1D4C" w:rsidRPr="002A35E0" w14:paraId="7C5C310F" w14:textId="77777777" w:rsidTr="00B8005E">
        <w:tc>
          <w:tcPr>
            <w:tcW w:w="2268" w:type="dxa"/>
            <w:shd w:val="clear" w:color="auto" w:fill="auto"/>
          </w:tcPr>
          <w:p w14:paraId="01D8FE75" w14:textId="77777777" w:rsidR="008D1D4C" w:rsidRPr="005D0272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7CA68C8B" w14:textId="77777777" w:rsidR="008D1D4C" w:rsidRPr="005D0272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201C71E9" w14:textId="1C6A99A0" w:rsidR="008D1D4C" w:rsidRPr="002A35E0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VA Unit</w:t>
            </w:r>
          </w:p>
        </w:tc>
        <w:tc>
          <w:tcPr>
            <w:tcW w:w="1406" w:type="dxa"/>
            <w:shd w:val="clear" w:color="auto" w:fill="auto"/>
          </w:tcPr>
          <w:p w14:paraId="15558264" w14:textId="77777777" w:rsidR="008D1D4C" w:rsidRPr="005D0272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0C780515" w14:textId="77777777" w:rsidR="008D1D4C" w:rsidRPr="005D0272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3BA4F4CB" w14:textId="7367A66E" w:rsidR="008D1D4C" w:rsidRPr="002A35E0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Total</w:t>
            </w: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 </w:t>
            </w: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# of Employees</w:t>
            </w:r>
          </w:p>
        </w:tc>
        <w:tc>
          <w:tcPr>
            <w:tcW w:w="1389" w:type="dxa"/>
          </w:tcPr>
          <w:p w14:paraId="0B235ACF" w14:textId="5079C681" w:rsidR="008D1D4C" w:rsidRPr="002A35E0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# of Fully Funded (not subject to lapse; will continue to work)</w:t>
            </w:r>
          </w:p>
        </w:tc>
        <w:tc>
          <w:tcPr>
            <w:tcW w:w="1451" w:type="dxa"/>
            <w:shd w:val="clear" w:color="auto" w:fill="auto"/>
          </w:tcPr>
          <w:p w14:paraId="665F80DA" w14:textId="0FC43C8E" w:rsidR="008D1D4C" w:rsidRPr="002A35E0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# of Excepted Employees (legal basis; will continue to work)</w:t>
            </w:r>
          </w:p>
        </w:tc>
        <w:tc>
          <w:tcPr>
            <w:tcW w:w="2759" w:type="dxa"/>
            <w:shd w:val="clear" w:color="auto" w:fill="auto"/>
          </w:tcPr>
          <w:p w14:paraId="06D7A4B0" w14:textId="77777777" w:rsidR="008D1D4C" w:rsidRPr="005D0272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19D5A05F" w14:textId="77777777" w:rsidR="008D1D4C" w:rsidRPr="005D0272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3A353513" w14:textId="33762B56" w:rsidR="008D1D4C" w:rsidRPr="002A35E0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Legal Basis for Decision or Full Funding Source</w:t>
            </w:r>
          </w:p>
        </w:tc>
        <w:tc>
          <w:tcPr>
            <w:tcW w:w="3292" w:type="dxa"/>
            <w:shd w:val="clear" w:color="auto" w:fill="auto"/>
          </w:tcPr>
          <w:p w14:paraId="007CDD9D" w14:textId="77777777" w:rsidR="008D1D4C" w:rsidRPr="005D0272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514E8D8D" w14:textId="77777777" w:rsidR="008D1D4C" w:rsidRPr="005D0272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4CFC8110" w14:textId="4D9938EF" w:rsidR="008D1D4C" w:rsidRPr="002A35E0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Functions to be Performed</w:t>
            </w:r>
          </w:p>
        </w:tc>
        <w:tc>
          <w:tcPr>
            <w:tcW w:w="1979" w:type="dxa"/>
          </w:tcPr>
          <w:p w14:paraId="0816EC8C" w14:textId="77777777" w:rsidR="008D1D4C" w:rsidRPr="005D0272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0C2ED98A" w14:textId="727D665C" w:rsidR="008D1D4C" w:rsidRPr="002A35E0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# of Non-Excepted Employees (subject to furlough)</w:t>
            </w:r>
          </w:p>
        </w:tc>
      </w:tr>
      <w:tr w:rsidR="00CB69C1" w:rsidRPr="002A35E0" w14:paraId="6A21D172" w14:textId="77777777" w:rsidTr="00B8005E">
        <w:trPr>
          <w:cantSplit/>
        </w:trPr>
        <w:tc>
          <w:tcPr>
            <w:tcW w:w="2268" w:type="dxa"/>
            <w:shd w:val="clear" w:color="auto" w:fill="auto"/>
          </w:tcPr>
          <w:p w14:paraId="77D319E9" w14:textId="77777777" w:rsidR="00CB69C1" w:rsidRPr="002A35E0" w:rsidRDefault="00CB69C1" w:rsidP="00B8005E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2A35E0">
              <w:rPr>
                <w:rFonts w:asciiTheme="minorHAnsi" w:eastAsia="Calibri" w:hAnsiTheme="minorHAnsi" w:cs="Arial"/>
                <w:sz w:val="20"/>
                <w:szCs w:val="20"/>
              </w:rPr>
              <w:t>Office of Policy and Planning</w:t>
            </w:r>
          </w:p>
          <w:p w14:paraId="7895FD72" w14:textId="77777777" w:rsidR="00CB69C1" w:rsidRPr="002A35E0" w:rsidRDefault="00CB69C1" w:rsidP="00CB69C1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2A35E0">
              <w:rPr>
                <w:rFonts w:asciiTheme="minorHAnsi" w:hAnsiTheme="minorHAnsi" w:cs="Arial"/>
                <w:sz w:val="20"/>
                <w:szCs w:val="20"/>
              </w:rPr>
              <w:t>Strategic Planning</w:t>
            </w:r>
          </w:p>
          <w:p w14:paraId="2D28FDB8" w14:textId="77777777" w:rsidR="00CB69C1" w:rsidRPr="002A35E0" w:rsidRDefault="00CB69C1" w:rsidP="00CB69C1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2A35E0">
              <w:rPr>
                <w:rFonts w:asciiTheme="minorHAnsi" w:hAnsiTheme="minorHAnsi" w:cs="Arial"/>
                <w:sz w:val="20"/>
                <w:szCs w:val="20"/>
              </w:rPr>
              <w:t>Policy Analysis and Development</w:t>
            </w:r>
          </w:p>
          <w:p w14:paraId="189A46B3" w14:textId="77777777" w:rsidR="00CB69C1" w:rsidRPr="002A35E0" w:rsidRDefault="00CB69C1" w:rsidP="00CB69C1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2A35E0">
              <w:rPr>
                <w:rFonts w:asciiTheme="minorHAnsi" w:hAnsiTheme="minorHAnsi" w:cs="Arial"/>
                <w:sz w:val="20"/>
                <w:szCs w:val="20"/>
              </w:rPr>
              <w:t>VA Governance</w:t>
            </w:r>
          </w:p>
          <w:p w14:paraId="7197061C" w14:textId="77777777" w:rsidR="00CB69C1" w:rsidRPr="002A35E0" w:rsidRDefault="00CB69C1" w:rsidP="00CB69C1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2A35E0">
              <w:rPr>
                <w:rFonts w:asciiTheme="minorHAnsi" w:hAnsiTheme="minorHAnsi" w:cs="Arial"/>
                <w:sz w:val="20"/>
                <w:szCs w:val="20"/>
              </w:rPr>
              <w:t>Data and Statistical Analysis</w:t>
            </w:r>
          </w:p>
          <w:p w14:paraId="49D24C25" w14:textId="77777777" w:rsidR="00CB69C1" w:rsidRPr="002A35E0" w:rsidRDefault="00CB69C1" w:rsidP="00CB69C1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2A35E0">
              <w:rPr>
                <w:rFonts w:asciiTheme="minorHAnsi" w:hAnsiTheme="minorHAnsi" w:cs="Arial"/>
                <w:sz w:val="20"/>
                <w:szCs w:val="20"/>
              </w:rPr>
              <w:t>Predictive Modeling</w:t>
            </w:r>
          </w:p>
          <w:p w14:paraId="23BFF78B" w14:textId="77777777" w:rsidR="00CB69C1" w:rsidRPr="002A35E0" w:rsidRDefault="00CB69C1" w:rsidP="00CB69C1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2A35E0">
              <w:rPr>
                <w:rFonts w:asciiTheme="minorHAnsi" w:hAnsiTheme="minorHAnsi" w:cs="Arial"/>
                <w:sz w:val="20"/>
                <w:szCs w:val="20"/>
              </w:rPr>
              <w:t>Data Governance</w:t>
            </w:r>
          </w:p>
          <w:p w14:paraId="168849A5" w14:textId="77777777" w:rsidR="00CB69C1" w:rsidRPr="002A35E0" w:rsidRDefault="00CB69C1" w:rsidP="00CB69C1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2A35E0">
              <w:rPr>
                <w:rFonts w:asciiTheme="minorHAnsi" w:hAnsiTheme="minorHAnsi" w:cs="Arial"/>
                <w:sz w:val="20"/>
                <w:szCs w:val="20"/>
              </w:rPr>
              <w:t>VA/</w:t>
            </w:r>
            <w:proofErr w:type="spellStart"/>
            <w:r w:rsidRPr="002A35E0">
              <w:rPr>
                <w:rFonts w:asciiTheme="minorHAnsi" w:hAnsiTheme="minorHAnsi" w:cs="Arial"/>
                <w:sz w:val="20"/>
                <w:szCs w:val="20"/>
              </w:rPr>
              <w:t>DoD</w:t>
            </w:r>
            <w:proofErr w:type="spellEnd"/>
            <w:r w:rsidRPr="002A35E0">
              <w:rPr>
                <w:rFonts w:asciiTheme="minorHAnsi" w:hAnsiTheme="minorHAnsi" w:cs="Arial"/>
                <w:sz w:val="20"/>
                <w:szCs w:val="20"/>
              </w:rPr>
              <w:t xml:space="preserve"> Collaboration</w:t>
            </w:r>
          </w:p>
          <w:p w14:paraId="057DF09F" w14:textId="77777777" w:rsidR="00CB69C1" w:rsidRPr="002A35E0" w:rsidRDefault="00CB69C1" w:rsidP="00CB69C1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2A35E0">
              <w:rPr>
                <w:rFonts w:asciiTheme="minorHAnsi" w:hAnsiTheme="minorHAnsi" w:cs="Arial"/>
                <w:sz w:val="20"/>
                <w:szCs w:val="20"/>
              </w:rPr>
              <w:t>Interagency Integration and Collaboration</w:t>
            </w:r>
          </w:p>
          <w:p w14:paraId="4B84C7A5" w14:textId="77777777" w:rsidR="00CB69C1" w:rsidRPr="002A35E0" w:rsidRDefault="00CB69C1" w:rsidP="00CB69C1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2A35E0">
              <w:rPr>
                <w:rFonts w:asciiTheme="minorHAnsi" w:hAnsiTheme="minorHAnsi" w:cs="Arial"/>
                <w:sz w:val="20"/>
                <w:szCs w:val="20"/>
              </w:rPr>
              <w:t>Multi-year Programming</w:t>
            </w:r>
          </w:p>
          <w:p w14:paraId="3FEBF483" w14:textId="77777777" w:rsidR="00CB69C1" w:rsidRPr="002A35E0" w:rsidRDefault="00CB69C1" w:rsidP="00CB69C1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2A35E0">
              <w:rPr>
                <w:rFonts w:asciiTheme="minorHAnsi" w:hAnsiTheme="minorHAnsi" w:cs="Arial"/>
                <w:sz w:val="20"/>
                <w:szCs w:val="20"/>
              </w:rPr>
              <w:t>Program Analysis and Evaluation</w:t>
            </w:r>
          </w:p>
          <w:p w14:paraId="5A100AD3" w14:textId="77777777" w:rsidR="00CB69C1" w:rsidRPr="002A35E0" w:rsidRDefault="00CB69C1" w:rsidP="00CB69C1">
            <w:pPr>
              <w:pStyle w:val="ListParagraph"/>
              <w:numPr>
                <w:ilvl w:val="0"/>
                <w:numId w:val="32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2A35E0">
              <w:rPr>
                <w:rFonts w:asciiTheme="minorHAnsi" w:hAnsiTheme="minorHAnsi" w:cs="Arial"/>
                <w:sz w:val="20"/>
                <w:szCs w:val="20"/>
              </w:rPr>
              <w:t>Program Management and Oversight of Major Initiatives.</w:t>
            </w:r>
          </w:p>
        </w:tc>
        <w:tc>
          <w:tcPr>
            <w:tcW w:w="1406" w:type="dxa"/>
            <w:shd w:val="clear" w:color="auto" w:fill="auto"/>
          </w:tcPr>
          <w:p w14:paraId="347C1433" w14:textId="03964F45" w:rsidR="00CB69C1" w:rsidRPr="002A35E0" w:rsidRDefault="00CB69C1" w:rsidP="00B8005E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2A35E0">
              <w:rPr>
                <w:rFonts w:asciiTheme="minorHAnsi" w:eastAsia="Calibri" w:hAnsiTheme="minorHAnsi" w:cs="Arial"/>
                <w:sz w:val="20"/>
                <w:szCs w:val="20"/>
              </w:rPr>
              <w:t>1</w:t>
            </w:r>
            <w:r w:rsidR="000B472E">
              <w:rPr>
                <w:rFonts w:asciiTheme="minorHAnsi" w:eastAsia="Calibri" w:hAnsiTheme="minorHAnsi" w:cs="Arial"/>
                <w:sz w:val="20"/>
                <w:szCs w:val="20"/>
              </w:rPr>
              <w:t>12</w:t>
            </w:r>
          </w:p>
        </w:tc>
        <w:tc>
          <w:tcPr>
            <w:tcW w:w="1389" w:type="dxa"/>
          </w:tcPr>
          <w:p w14:paraId="171FB050" w14:textId="77777777" w:rsidR="00CB69C1" w:rsidRPr="002A35E0" w:rsidRDefault="00CB69C1" w:rsidP="00B8005E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2A35E0">
              <w:rPr>
                <w:rFonts w:asciiTheme="minorHAnsi" w:eastAsia="Calibri" w:hAnsiTheme="minorHAnsi" w:cs="Arial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auto"/>
          </w:tcPr>
          <w:p w14:paraId="35BBA0FD" w14:textId="1822715F" w:rsidR="00CB69C1" w:rsidRPr="002A35E0" w:rsidRDefault="000B472E" w:rsidP="00B8005E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2</w:t>
            </w:r>
          </w:p>
        </w:tc>
        <w:tc>
          <w:tcPr>
            <w:tcW w:w="2759" w:type="dxa"/>
            <w:shd w:val="clear" w:color="auto" w:fill="auto"/>
          </w:tcPr>
          <w:p w14:paraId="7A1BDF07" w14:textId="17BEACFC" w:rsidR="00CB69C1" w:rsidRPr="002A35E0" w:rsidRDefault="000B472E" w:rsidP="00B8005E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Necessary Implication</w:t>
            </w:r>
          </w:p>
        </w:tc>
        <w:tc>
          <w:tcPr>
            <w:tcW w:w="3292" w:type="dxa"/>
            <w:shd w:val="clear" w:color="auto" w:fill="auto"/>
          </w:tcPr>
          <w:p w14:paraId="1A47F692" w14:textId="38C362A6" w:rsidR="00CB69C1" w:rsidRPr="002A35E0" w:rsidRDefault="000E39DA" w:rsidP="002B20C4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Orderly </w:t>
            </w:r>
            <w:r w:rsidR="002B20C4">
              <w:rPr>
                <w:rFonts w:asciiTheme="minorHAnsi" w:eastAsia="Calibri" w:hAnsiTheme="minorHAnsi" w:cs="Arial"/>
                <w:sz w:val="20"/>
                <w:szCs w:val="20"/>
              </w:rPr>
              <w:t>operations during ongoing shutdown</w:t>
            </w:r>
            <w:r w:rsidR="00CB69C1" w:rsidRPr="002A35E0"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14:paraId="55CB0F96" w14:textId="4A067351" w:rsidR="00CB69C1" w:rsidRPr="002A35E0" w:rsidRDefault="00CB69C1" w:rsidP="00B8005E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2A35E0">
              <w:rPr>
                <w:rFonts w:asciiTheme="minorHAnsi" w:eastAsia="Calibri" w:hAnsiTheme="minorHAnsi" w:cs="Arial"/>
                <w:sz w:val="20"/>
                <w:szCs w:val="20"/>
              </w:rPr>
              <w:t>1</w:t>
            </w:r>
            <w:r w:rsidR="000B472E">
              <w:rPr>
                <w:rFonts w:asciiTheme="minorHAnsi" w:eastAsia="Calibri" w:hAnsiTheme="minorHAnsi" w:cs="Arial"/>
                <w:sz w:val="20"/>
                <w:szCs w:val="20"/>
              </w:rPr>
              <w:t>10</w:t>
            </w:r>
          </w:p>
        </w:tc>
      </w:tr>
    </w:tbl>
    <w:p w14:paraId="3DB6F523" w14:textId="6B546DFB" w:rsidR="002F3378" w:rsidRDefault="002F3378">
      <w:pP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3DB6F525" w14:textId="1235EC01" w:rsidR="00D41575" w:rsidRPr="00D41575" w:rsidRDefault="002F3378" w:rsidP="00D41575">
      <w:pPr>
        <w:rPr>
          <w:rFonts w:asciiTheme="minorHAnsi" w:hAnsiTheme="minorHAnsi" w:cs="Times New Roman"/>
          <w:b/>
          <w:bCs/>
          <w:color w:val="1F497D"/>
          <w:sz w:val="32"/>
          <w:szCs w:val="28"/>
        </w:rPr>
      </w:pPr>
      <w:r w:rsidRPr="00D41575">
        <w:rPr>
          <w:rFonts w:asciiTheme="minorHAnsi" w:hAnsiTheme="minorHAnsi" w:cs="Times New Roman"/>
          <w:b/>
          <w:bCs/>
          <w:color w:val="1F497D"/>
          <w:sz w:val="32"/>
          <w:szCs w:val="28"/>
        </w:rPr>
        <w:lastRenderedPageBreak/>
        <w:t xml:space="preserve">Office of </w:t>
      </w:r>
      <w:r w:rsidR="00D41575">
        <w:rPr>
          <w:rFonts w:asciiTheme="minorHAnsi" w:hAnsiTheme="minorHAnsi" w:cs="Times New Roman"/>
          <w:b/>
          <w:bCs/>
          <w:color w:val="1F497D"/>
          <w:sz w:val="32"/>
          <w:szCs w:val="28"/>
        </w:rPr>
        <w:t xml:space="preserve">the </w:t>
      </w:r>
      <w:r w:rsidRPr="00D41575">
        <w:rPr>
          <w:rFonts w:asciiTheme="minorHAnsi" w:hAnsiTheme="minorHAnsi" w:cs="Times New Roman"/>
          <w:b/>
          <w:bCs/>
          <w:color w:val="1F497D"/>
          <w:sz w:val="32"/>
          <w:szCs w:val="28"/>
        </w:rPr>
        <w:t>Secretary</w:t>
      </w:r>
    </w:p>
    <w:tbl>
      <w:tblPr>
        <w:tblW w:w="14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1601"/>
        <w:gridCol w:w="1402"/>
        <w:gridCol w:w="1456"/>
        <w:gridCol w:w="2864"/>
        <w:gridCol w:w="3420"/>
        <w:gridCol w:w="2016"/>
      </w:tblGrid>
      <w:tr w:rsidR="008D1D4C" w:rsidRPr="008F69DA" w14:paraId="41405CB9" w14:textId="77777777" w:rsidTr="002E09A4">
        <w:tc>
          <w:tcPr>
            <w:tcW w:w="1785" w:type="dxa"/>
            <w:shd w:val="clear" w:color="auto" w:fill="auto"/>
          </w:tcPr>
          <w:p w14:paraId="143495FA" w14:textId="77777777" w:rsidR="008D1D4C" w:rsidRPr="005D0272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406A64A9" w14:textId="77777777" w:rsidR="008D1D4C" w:rsidRPr="005D0272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3207C6A4" w14:textId="4CA47881" w:rsidR="008D1D4C" w:rsidRPr="00A05890" w:rsidRDefault="008D1D4C" w:rsidP="002E09A4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VA Unit</w:t>
            </w:r>
          </w:p>
        </w:tc>
        <w:tc>
          <w:tcPr>
            <w:tcW w:w="1601" w:type="dxa"/>
            <w:shd w:val="clear" w:color="auto" w:fill="auto"/>
          </w:tcPr>
          <w:p w14:paraId="5F2190A8" w14:textId="77777777" w:rsidR="008D1D4C" w:rsidRPr="005D0272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25B75719" w14:textId="77777777" w:rsidR="008D1D4C" w:rsidRPr="005D0272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6D6053BB" w14:textId="05951A4D" w:rsidR="008D1D4C" w:rsidRPr="00A05890" w:rsidRDefault="008D1D4C" w:rsidP="002E09A4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Total</w:t>
            </w: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 </w:t>
            </w: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# of Employees</w:t>
            </w:r>
          </w:p>
        </w:tc>
        <w:tc>
          <w:tcPr>
            <w:tcW w:w="1402" w:type="dxa"/>
          </w:tcPr>
          <w:p w14:paraId="23790D85" w14:textId="66521690" w:rsidR="008D1D4C" w:rsidRPr="00A05890" w:rsidRDefault="008D1D4C" w:rsidP="002E09A4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# of Fully Funded (not subject to lapse; will continue to work)</w:t>
            </w:r>
          </w:p>
        </w:tc>
        <w:tc>
          <w:tcPr>
            <w:tcW w:w="1456" w:type="dxa"/>
            <w:shd w:val="clear" w:color="auto" w:fill="auto"/>
          </w:tcPr>
          <w:p w14:paraId="76086009" w14:textId="6FA7EE2C" w:rsidR="008D1D4C" w:rsidRPr="00A05890" w:rsidRDefault="008D1D4C" w:rsidP="002E09A4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# of Excepted Employees (legal basis; will continue to work)</w:t>
            </w:r>
          </w:p>
        </w:tc>
        <w:tc>
          <w:tcPr>
            <w:tcW w:w="2864" w:type="dxa"/>
            <w:shd w:val="clear" w:color="auto" w:fill="auto"/>
          </w:tcPr>
          <w:p w14:paraId="0D7B056B" w14:textId="77777777" w:rsidR="008D1D4C" w:rsidRPr="005D0272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438B89D3" w14:textId="77777777" w:rsidR="008D1D4C" w:rsidRPr="005D0272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6B7487C2" w14:textId="5B334715" w:rsidR="008D1D4C" w:rsidRPr="00A05890" w:rsidRDefault="008D1D4C" w:rsidP="002E09A4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Legal Basis for Decision or Full Funding Source</w:t>
            </w:r>
          </w:p>
        </w:tc>
        <w:tc>
          <w:tcPr>
            <w:tcW w:w="3420" w:type="dxa"/>
            <w:shd w:val="clear" w:color="auto" w:fill="auto"/>
          </w:tcPr>
          <w:p w14:paraId="3FACCCCF" w14:textId="77777777" w:rsidR="008D1D4C" w:rsidRPr="005D0272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6339F903" w14:textId="77777777" w:rsidR="008D1D4C" w:rsidRPr="005D0272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138F40D5" w14:textId="4212E3CC" w:rsidR="008D1D4C" w:rsidRPr="00A05890" w:rsidRDefault="008D1D4C" w:rsidP="002E09A4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Functions to be Performed</w:t>
            </w:r>
          </w:p>
        </w:tc>
        <w:tc>
          <w:tcPr>
            <w:tcW w:w="2016" w:type="dxa"/>
          </w:tcPr>
          <w:p w14:paraId="1AA07D53" w14:textId="77777777" w:rsidR="008D1D4C" w:rsidRPr="005D0272" w:rsidRDefault="008D1D4C" w:rsidP="00B8005E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40DB89C0" w14:textId="19F490E7" w:rsidR="008D1D4C" w:rsidRPr="00A05890" w:rsidRDefault="008D1D4C" w:rsidP="002E09A4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# of Non-Excepted Employees (subject to furlough)</w:t>
            </w:r>
          </w:p>
        </w:tc>
      </w:tr>
      <w:tr w:rsidR="003A5E04" w:rsidRPr="008F69DA" w14:paraId="0FCE2EB2" w14:textId="77777777" w:rsidTr="002E09A4">
        <w:trPr>
          <w:cantSplit/>
        </w:trPr>
        <w:tc>
          <w:tcPr>
            <w:tcW w:w="1785" w:type="dxa"/>
            <w:shd w:val="clear" w:color="auto" w:fill="auto"/>
          </w:tcPr>
          <w:p w14:paraId="5D31F41B" w14:textId="77777777" w:rsidR="003A5E04" w:rsidRPr="00A05890" w:rsidRDefault="003A5E04" w:rsidP="002E09A4">
            <w:pPr>
              <w:spacing w:line="320" w:lineRule="atLeast"/>
              <w:contextualSpacing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A05890">
              <w:rPr>
                <w:rFonts w:asciiTheme="minorHAnsi" w:eastAsia="Calibri" w:hAnsiTheme="minorHAnsi" w:cs="Arial"/>
                <w:sz w:val="20"/>
                <w:szCs w:val="20"/>
              </w:rPr>
              <w:t>The Office of the Secretary (OSVA) provides day-to-day operations support for SECVA, as well as executive-level support and guidance to the entire Administration</w:t>
            </w:r>
          </w:p>
        </w:tc>
        <w:tc>
          <w:tcPr>
            <w:tcW w:w="1601" w:type="dxa"/>
            <w:shd w:val="clear" w:color="auto" w:fill="auto"/>
          </w:tcPr>
          <w:p w14:paraId="606E93E9" w14:textId="45AC6A8A" w:rsidR="003A5E04" w:rsidRPr="00A05890" w:rsidRDefault="003A5E04" w:rsidP="002E09A4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92</w:t>
            </w:r>
          </w:p>
        </w:tc>
        <w:tc>
          <w:tcPr>
            <w:tcW w:w="1402" w:type="dxa"/>
          </w:tcPr>
          <w:p w14:paraId="0D2D4543" w14:textId="31170BA3" w:rsidR="003A5E04" w:rsidRPr="00A05890" w:rsidRDefault="003A5E04" w:rsidP="002E09A4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A05890">
              <w:rPr>
                <w:rFonts w:asciiTheme="minorHAnsi" w:eastAsia="Calibri" w:hAnsiTheme="minorHAnsi" w:cs="Arial"/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</w:tcPr>
          <w:p w14:paraId="1CC6D93C" w14:textId="6BADC693" w:rsidR="003A5E04" w:rsidRPr="00A05890" w:rsidRDefault="00A03E34" w:rsidP="002E09A4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9</w:t>
            </w:r>
          </w:p>
        </w:tc>
        <w:tc>
          <w:tcPr>
            <w:tcW w:w="2864" w:type="dxa"/>
            <w:shd w:val="clear" w:color="auto" w:fill="auto"/>
          </w:tcPr>
          <w:p w14:paraId="1F55CEF3" w14:textId="6C5D829B" w:rsidR="003A5E04" w:rsidRDefault="002065B0" w:rsidP="002E09A4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Necessary Implication</w:t>
            </w:r>
          </w:p>
          <w:p w14:paraId="138887A0" w14:textId="011AC35F" w:rsidR="006F65C2" w:rsidRPr="00A05890" w:rsidRDefault="006F65C2" w:rsidP="002E09A4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77C7BAC5" w14:textId="549EA22E" w:rsidR="003A5E04" w:rsidRPr="00A05890" w:rsidRDefault="003A5E04" w:rsidP="002E09A4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A05890">
              <w:rPr>
                <w:rFonts w:asciiTheme="minorHAnsi" w:eastAsia="Calibri" w:hAnsiTheme="minorHAnsi" w:cs="Arial"/>
                <w:sz w:val="20"/>
                <w:szCs w:val="20"/>
              </w:rPr>
              <w:t xml:space="preserve">Department oversight </w:t>
            </w:r>
            <w:r w:rsidR="002065B0">
              <w:rPr>
                <w:rFonts w:asciiTheme="minorHAnsi" w:eastAsia="Calibri" w:hAnsiTheme="minorHAnsi" w:cs="Arial"/>
                <w:sz w:val="20"/>
                <w:szCs w:val="20"/>
              </w:rPr>
              <w:t xml:space="preserve">of critical VA operations </w:t>
            </w:r>
            <w:r w:rsidRPr="00A05890">
              <w:rPr>
                <w:rFonts w:asciiTheme="minorHAnsi" w:eastAsia="Calibri" w:hAnsiTheme="minorHAnsi" w:cs="Arial"/>
                <w:sz w:val="20"/>
                <w:szCs w:val="20"/>
              </w:rPr>
              <w:t>(SECVA/COSVA)</w:t>
            </w:r>
            <w:r w:rsidR="00A03E34">
              <w:rPr>
                <w:rFonts w:asciiTheme="minorHAnsi" w:eastAsia="Calibri" w:hAnsiTheme="minorHAnsi" w:cs="Arial"/>
                <w:sz w:val="20"/>
                <w:szCs w:val="20"/>
              </w:rPr>
              <w:t>;</w:t>
            </w:r>
            <w:r w:rsidR="00A03E34" w:rsidRPr="00A05890">
              <w:rPr>
                <w:rFonts w:asciiTheme="minorHAnsi" w:eastAsia="Calibri" w:hAnsiTheme="minorHAnsi" w:cs="Arial"/>
                <w:sz w:val="20"/>
                <w:szCs w:val="20"/>
              </w:rPr>
              <w:t xml:space="preserve"> Senior advisors/staff to SECVA/COSVA</w:t>
            </w:r>
            <w:r w:rsidR="00A03E34">
              <w:rPr>
                <w:rFonts w:asciiTheme="minorHAnsi" w:eastAsia="Calibri" w:hAnsiTheme="minorHAnsi" w:cs="Arial"/>
                <w:sz w:val="20"/>
                <w:szCs w:val="20"/>
              </w:rPr>
              <w:t xml:space="preserve">; Executive support; Strategic communication </w:t>
            </w:r>
          </w:p>
        </w:tc>
        <w:tc>
          <w:tcPr>
            <w:tcW w:w="2016" w:type="dxa"/>
          </w:tcPr>
          <w:p w14:paraId="445519DE" w14:textId="4071C34C" w:rsidR="003A5E04" w:rsidRPr="00A05890" w:rsidRDefault="003A5E04" w:rsidP="002E09A4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83</w:t>
            </w:r>
          </w:p>
        </w:tc>
      </w:tr>
    </w:tbl>
    <w:p w14:paraId="4FE10BE3" w14:textId="77777777" w:rsidR="003A5E04" w:rsidRDefault="003A5E04">
      <w:pPr>
        <w:spacing w:before="0" w:after="0"/>
        <w:rPr>
          <w:rFonts w:ascii="Arial Narrow Bold" w:hAnsi="Arial Narrow Bold" w:cs="Times New Roman"/>
          <w:b/>
          <w:bCs/>
          <w:color w:val="1F497D"/>
          <w:kern w:val="32"/>
          <w:sz w:val="36"/>
          <w:szCs w:val="32"/>
        </w:rPr>
      </w:pPr>
      <w:r>
        <w:rPr>
          <w:rFonts w:ascii="Arial Narrow Bold" w:hAnsi="Arial Narrow Bold" w:cs="Times New Roman"/>
          <w:b/>
          <w:bCs/>
          <w:color w:val="1F497D"/>
          <w:kern w:val="32"/>
          <w:sz w:val="36"/>
          <w:szCs w:val="32"/>
        </w:rPr>
        <w:br w:type="page"/>
      </w:r>
    </w:p>
    <w:p w14:paraId="626F8571" w14:textId="77777777" w:rsidR="003A5E04" w:rsidRDefault="003A5E04" w:rsidP="003A5E04">
      <w:pPr>
        <w:rPr>
          <w:rFonts w:ascii="Arial Narrow Bold" w:hAnsi="Arial Narrow Bold" w:cs="Times New Roman"/>
          <w:b/>
          <w:bCs/>
          <w:color w:val="1F497D"/>
          <w:kern w:val="32"/>
          <w:sz w:val="36"/>
          <w:szCs w:val="32"/>
        </w:rPr>
      </w:pPr>
      <w:r w:rsidRPr="003A5E04">
        <w:rPr>
          <w:rFonts w:asciiTheme="minorHAnsi" w:hAnsiTheme="minorHAnsi" w:cs="Times New Roman"/>
          <w:b/>
          <w:bCs/>
          <w:color w:val="1F497D"/>
          <w:sz w:val="32"/>
          <w:szCs w:val="28"/>
        </w:rPr>
        <w:lastRenderedPageBreak/>
        <w:t>Office of Employment Discrimination Complaint Adjudication</w:t>
      </w:r>
      <w:r>
        <w:rPr>
          <w:rFonts w:ascii="Arial Narrow Bold" w:hAnsi="Arial Narrow Bold" w:cs="Times New Roman"/>
          <w:b/>
          <w:bCs/>
          <w:color w:val="1F497D"/>
          <w:kern w:val="32"/>
          <w:sz w:val="36"/>
          <w:szCs w:val="32"/>
        </w:rPr>
        <w:t xml:space="preserve"> </w:t>
      </w:r>
    </w:p>
    <w:tbl>
      <w:tblPr>
        <w:tblW w:w="14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1601"/>
        <w:gridCol w:w="1402"/>
        <w:gridCol w:w="1456"/>
        <w:gridCol w:w="2864"/>
        <w:gridCol w:w="3420"/>
        <w:gridCol w:w="2016"/>
      </w:tblGrid>
      <w:tr w:rsidR="003A5E04" w:rsidRPr="008F69DA" w14:paraId="4C0075BB" w14:textId="77777777" w:rsidTr="00B20E88">
        <w:tc>
          <w:tcPr>
            <w:tcW w:w="1785" w:type="dxa"/>
            <w:shd w:val="clear" w:color="auto" w:fill="auto"/>
          </w:tcPr>
          <w:p w14:paraId="3AAD6EC9" w14:textId="77777777" w:rsidR="003A5E04" w:rsidRPr="005D0272" w:rsidRDefault="003A5E04" w:rsidP="00B20E8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2A7FE4AC" w14:textId="77777777" w:rsidR="003A5E04" w:rsidRPr="005D0272" w:rsidRDefault="003A5E04" w:rsidP="00B20E8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07745130" w14:textId="77777777" w:rsidR="003A5E04" w:rsidRPr="00A05890" w:rsidRDefault="003A5E04" w:rsidP="00B20E8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VA Unit</w:t>
            </w:r>
          </w:p>
        </w:tc>
        <w:tc>
          <w:tcPr>
            <w:tcW w:w="1601" w:type="dxa"/>
            <w:shd w:val="clear" w:color="auto" w:fill="auto"/>
          </w:tcPr>
          <w:p w14:paraId="145B427B" w14:textId="77777777" w:rsidR="003A5E04" w:rsidRPr="005D0272" w:rsidRDefault="003A5E04" w:rsidP="00B20E8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0C122A53" w14:textId="77777777" w:rsidR="003A5E04" w:rsidRPr="005D0272" w:rsidRDefault="003A5E04" w:rsidP="00B20E8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2FEE6A20" w14:textId="77777777" w:rsidR="003A5E04" w:rsidRPr="00A05890" w:rsidRDefault="003A5E04" w:rsidP="00B20E8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Total</w:t>
            </w: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 </w:t>
            </w: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# of Employees</w:t>
            </w:r>
          </w:p>
        </w:tc>
        <w:tc>
          <w:tcPr>
            <w:tcW w:w="1402" w:type="dxa"/>
          </w:tcPr>
          <w:p w14:paraId="686A1B66" w14:textId="77777777" w:rsidR="003A5E04" w:rsidRPr="00A05890" w:rsidRDefault="003A5E04" w:rsidP="00B20E8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# of Fully Funded (not subject to lapse; will continue to work)</w:t>
            </w:r>
          </w:p>
        </w:tc>
        <w:tc>
          <w:tcPr>
            <w:tcW w:w="1456" w:type="dxa"/>
            <w:shd w:val="clear" w:color="auto" w:fill="auto"/>
          </w:tcPr>
          <w:p w14:paraId="49AA06B9" w14:textId="77777777" w:rsidR="003A5E04" w:rsidRPr="00A05890" w:rsidRDefault="003A5E04" w:rsidP="00B20E8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# of Excepted Employees (legal basis; will continue to work)</w:t>
            </w:r>
          </w:p>
        </w:tc>
        <w:tc>
          <w:tcPr>
            <w:tcW w:w="2864" w:type="dxa"/>
            <w:shd w:val="clear" w:color="auto" w:fill="auto"/>
          </w:tcPr>
          <w:p w14:paraId="1AD0CBEA" w14:textId="77777777" w:rsidR="003A5E04" w:rsidRPr="005D0272" w:rsidRDefault="003A5E04" w:rsidP="00B20E8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572B8847" w14:textId="77777777" w:rsidR="003A5E04" w:rsidRPr="005D0272" w:rsidRDefault="003A5E04" w:rsidP="00B20E8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3C17F571" w14:textId="77777777" w:rsidR="003A5E04" w:rsidRPr="00A05890" w:rsidRDefault="003A5E04" w:rsidP="00B20E8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Legal Basis for Decision or Full Funding Source</w:t>
            </w:r>
          </w:p>
        </w:tc>
        <w:tc>
          <w:tcPr>
            <w:tcW w:w="3420" w:type="dxa"/>
            <w:shd w:val="clear" w:color="auto" w:fill="auto"/>
          </w:tcPr>
          <w:p w14:paraId="7E2FCE3B" w14:textId="77777777" w:rsidR="003A5E04" w:rsidRPr="005D0272" w:rsidRDefault="003A5E04" w:rsidP="00B20E8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0B07BA01" w14:textId="77777777" w:rsidR="003A5E04" w:rsidRPr="005D0272" w:rsidRDefault="003A5E04" w:rsidP="00B20E8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4277628C" w14:textId="77777777" w:rsidR="003A5E04" w:rsidRPr="00A05890" w:rsidRDefault="003A5E04" w:rsidP="00B20E8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Functions to be Performed</w:t>
            </w:r>
          </w:p>
        </w:tc>
        <w:tc>
          <w:tcPr>
            <w:tcW w:w="2016" w:type="dxa"/>
          </w:tcPr>
          <w:p w14:paraId="790C78D0" w14:textId="77777777" w:rsidR="003A5E04" w:rsidRPr="005D0272" w:rsidRDefault="003A5E04" w:rsidP="00B20E8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6E83A93D" w14:textId="77777777" w:rsidR="003A5E04" w:rsidRPr="00A05890" w:rsidRDefault="003A5E04" w:rsidP="00B20E8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# of Non-Excepted Employees (subject to furlough)</w:t>
            </w:r>
          </w:p>
        </w:tc>
      </w:tr>
      <w:tr w:rsidR="003A5E04" w:rsidRPr="008F69DA" w14:paraId="0E991DCF" w14:textId="77777777" w:rsidTr="00B20E88">
        <w:trPr>
          <w:cantSplit/>
        </w:trPr>
        <w:tc>
          <w:tcPr>
            <w:tcW w:w="1785" w:type="dxa"/>
            <w:shd w:val="clear" w:color="auto" w:fill="auto"/>
          </w:tcPr>
          <w:p w14:paraId="48B1686A" w14:textId="77777777" w:rsidR="003A5E04" w:rsidRPr="00A05890" w:rsidRDefault="003A5E04" w:rsidP="00B20E88">
            <w:pPr>
              <w:spacing w:line="320" w:lineRule="atLeast"/>
              <w:contextualSpacing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A05890">
              <w:rPr>
                <w:rFonts w:asciiTheme="minorHAnsi" w:eastAsia="Calibri" w:hAnsiTheme="minorHAnsi" w:cs="Arial"/>
                <w:sz w:val="20"/>
                <w:szCs w:val="20"/>
              </w:rPr>
              <w:t>The Office of the Secretary (OSVA) provides day-to-day operations support for SECVA, as well as executive-level support and guidance to the entire Administration</w:t>
            </w:r>
          </w:p>
        </w:tc>
        <w:tc>
          <w:tcPr>
            <w:tcW w:w="1601" w:type="dxa"/>
            <w:shd w:val="clear" w:color="auto" w:fill="auto"/>
          </w:tcPr>
          <w:p w14:paraId="58FF9069" w14:textId="539D15A5" w:rsidR="003A5E04" w:rsidRPr="00A05890" w:rsidRDefault="00D02CA4" w:rsidP="00B20E8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20</w:t>
            </w:r>
          </w:p>
        </w:tc>
        <w:tc>
          <w:tcPr>
            <w:tcW w:w="1402" w:type="dxa"/>
          </w:tcPr>
          <w:p w14:paraId="5F53E72E" w14:textId="77777777" w:rsidR="003A5E04" w:rsidRPr="00A05890" w:rsidRDefault="003A5E04" w:rsidP="00B20E8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A05890">
              <w:rPr>
                <w:rFonts w:asciiTheme="minorHAnsi" w:eastAsia="Calibri" w:hAnsiTheme="minorHAnsi" w:cs="Arial"/>
                <w:sz w:val="20"/>
                <w:szCs w:val="20"/>
              </w:rPr>
              <w:t>20</w:t>
            </w:r>
          </w:p>
        </w:tc>
        <w:tc>
          <w:tcPr>
            <w:tcW w:w="1456" w:type="dxa"/>
            <w:shd w:val="clear" w:color="auto" w:fill="auto"/>
          </w:tcPr>
          <w:p w14:paraId="30D8C427" w14:textId="77777777" w:rsidR="003A5E04" w:rsidRPr="00A05890" w:rsidRDefault="003A5E04" w:rsidP="00B20E8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0</w:t>
            </w:r>
          </w:p>
        </w:tc>
        <w:tc>
          <w:tcPr>
            <w:tcW w:w="2864" w:type="dxa"/>
            <w:shd w:val="clear" w:color="auto" w:fill="auto"/>
          </w:tcPr>
          <w:p w14:paraId="06E9C9FD" w14:textId="77777777" w:rsidR="003A5E04" w:rsidRPr="00A05890" w:rsidRDefault="003A5E04" w:rsidP="00B20E8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A05890">
              <w:rPr>
                <w:rFonts w:asciiTheme="minorHAnsi" w:eastAsia="Calibri" w:hAnsiTheme="minorHAnsi" w:cs="Arial"/>
                <w:sz w:val="20"/>
                <w:szCs w:val="20"/>
              </w:rPr>
              <w:t>Reimbursable fund (VHA)</w:t>
            </w:r>
          </w:p>
        </w:tc>
        <w:tc>
          <w:tcPr>
            <w:tcW w:w="3420" w:type="dxa"/>
            <w:shd w:val="clear" w:color="auto" w:fill="auto"/>
          </w:tcPr>
          <w:p w14:paraId="51F69CC4" w14:textId="77777777" w:rsidR="003A5E04" w:rsidRPr="00A05890" w:rsidRDefault="003A5E04" w:rsidP="00B20E8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A05890">
              <w:rPr>
                <w:rFonts w:asciiTheme="minorHAnsi" w:eastAsia="Calibri" w:hAnsiTheme="minorHAnsi" w:cs="Arial"/>
                <w:sz w:val="20"/>
                <w:szCs w:val="20"/>
              </w:rPr>
              <w:t>Existing duties (</w:t>
            </w:r>
            <w:r w:rsidRPr="0065631C">
              <w:rPr>
                <w:rFonts w:asciiTheme="minorHAnsi" w:eastAsia="Calibri" w:hAnsiTheme="minorHAnsi" w:cs="Arial"/>
                <w:sz w:val="20"/>
                <w:szCs w:val="20"/>
              </w:rPr>
              <w:t>Office of Employment Discrimination Complaint Adjudication</w:t>
            </w:r>
            <w:r>
              <w:rPr>
                <w:rFonts w:asciiTheme="minorHAnsi" w:eastAsia="Calibri" w:hAnsiTheme="minorHAnsi" w:cs="Arial"/>
                <w:sz w:val="20"/>
              </w:rPr>
              <w:t>)</w:t>
            </w:r>
          </w:p>
        </w:tc>
        <w:tc>
          <w:tcPr>
            <w:tcW w:w="2016" w:type="dxa"/>
          </w:tcPr>
          <w:p w14:paraId="7CE8EB55" w14:textId="77777777" w:rsidR="003A5E04" w:rsidRPr="00A05890" w:rsidRDefault="003A5E04" w:rsidP="00B20E8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A05890">
              <w:rPr>
                <w:rFonts w:asciiTheme="minorHAnsi" w:eastAsia="Calibri" w:hAnsiTheme="minorHAnsi" w:cs="Arial"/>
                <w:sz w:val="20"/>
                <w:szCs w:val="20"/>
              </w:rPr>
              <w:t>0</w:t>
            </w:r>
          </w:p>
        </w:tc>
      </w:tr>
    </w:tbl>
    <w:p w14:paraId="5534B16E" w14:textId="77777777" w:rsidR="00D02CA4" w:rsidRDefault="00D02CA4" w:rsidP="003A5E04">
      <w:pPr>
        <w:rPr>
          <w:rFonts w:asciiTheme="minorHAnsi" w:hAnsiTheme="minorHAnsi" w:cs="Times New Roman"/>
          <w:b/>
          <w:bCs/>
          <w:color w:val="1F497D"/>
          <w:sz w:val="32"/>
          <w:szCs w:val="28"/>
        </w:rPr>
      </w:pPr>
    </w:p>
    <w:p w14:paraId="2EBEFEA4" w14:textId="77777777" w:rsidR="00D02CA4" w:rsidRDefault="00D02CA4">
      <w:pPr>
        <w:spacing w:before="0" w:after="0"/>
        <w:rPr>
          <w:rFonts w:asciiTheme="minorHAnsi" w:hAnsiTheme="minorHAnsi" w:cs="Times New Roman"/>
          <w:b/>
          <w:bCs/>
          <w:color w:val="1F497D"/>
          <w:sz w:val="32"/>
          <w:szCs w:val="28"/>
        </w:rPr>
      </w:pPr>
      <w:r>
        <w:rPr>
          <w:rFonts w:asciiTheme="minorHAnsi" w:hAnsiTheme="minorHAnsi" w:cs="Times New Roman"/>
          <w:b/>
          <w:bCs/>
          <w:color w:val="1F497D"/>
          <w:sz w:val="32"/>
          <w:szCs w:val="28"/>
        </w:rPr>
        <w:br w:type="page"/>
      </w:r>
    </w:p>
    <w:p w14:paraId="7A01F11D" w14:textId="6187B887" w:rsidR="003A5E04" w:rsidRDefault="003A5E04" w:rsidP="003A5E04">
      <w:pPr>
        <w:rPr>
          <w:rFonts w:ascii="Arial Narrow Bold" w:hAnsi="Arial Narrow Bold" w:cs="Times New Roman"/>
          <w:b/>
          <w:bCs/>
          <w:color w:val="1F497D"/>
          <w:kern w:val="32"/>
          <w:sz w:val="36"/>
          <w:szCs w:val="32"/>
        </w:rPr>
      </w:pPr>
      <w:r w:rsidRPr="003A5E04">
        <w:rPr>
          <w:rFonts w:asciiTheme="minorHAnsi" w:hAnsiTheme="minorHAnsi" w:cs="Times New Roman"/>
          <w:b/>
          <w:bCs/>
          <w:color w:val="1F497D"/>
          <w:sz w:val="32"/>
          <w:szCs w:val="28"/>
        </w:rPr>
        <w:lastRenderedPageBreak/>
        <w:t>Office of Small and Disadvantaged Business Utilization</w:t>
      </w:r>
      <w:r>
        <w:rPr>
          <w:rFonts w:ascii="Arial Narrow Bold" w:hAnsi="Arial Narrow Bold" w:cs="Times New Roman"/>
          <w:b/>
          <w:bCs/>
          <w:color w:val="1F497D"/>
          <w:kern w:val="32"/>
          <w:sz w:val="36"/>
          <w:szCs w:val="32"/>
        </w:rPr>
        <w:t xml:space="preserve"> </w:t>
      </w:r>
    </w:p>
    <w:tbl>
      <w:tblPr>
        <w:tblW w:w="14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1601"/>
        <w:gridCol w:w="1402"/>
        <w:gridCol w:w="1456"/>
        <w:gridCol w:w="2864"/>
        <w:gridCol w:w="3420"/>
        <w:gridCol w:w="2016"/>
      </w:tblGrid>
      <w:tr w:rsidR="003A5E04" w:rsidRPr="008F69DA" w14:paraId="45A2DE97" w14:textId="77777777" w:rsidTr="00B20E88">
        <w:tc>
          <w:tcPr>
            <w:tcW w:w="1785" w:type="dxa"/>
            <w:shd w:val="clear" w:color="auto" w:fill="auto"/>
          </w:tcPr>
          <w:p w14:paraId="0B4A28CF" w14:textId="77777777" w:rsidR="003A5E04" w:rsidRPr="005D0272" w:rsidRDefault="003A5E04" w:rsidP="00B20E8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370C4B8A" w14:textId="77777777" w:rsidR="003A5E04" w:rsidRPr="005D0272" w:rsidRDefault="003A5E04" w:rsidP="00B20E8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6DBACBC4" w14:textId="77777777" w:rsidR="003A5E04" w:rsidRPr="00A05890" w:rsidRDefault="003A5E04" w:rsidP="00B20E8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VA Unit</w:t>
            </w:r>
          </w:p>
        </w:tc>
        <w:tc>
          <w:tcPr>
            <w:tcW w:w="1601" w:type="dxa"/>
            <w:shd w:val="clear" w:color="auto" w:fill="auto"/>
          </w:tcPr>
          <w:p w14:paraId="322807DA" w14:textId="77777777" w:rsidR="003A5E04" w:rsidRPr="005D0272" w:rsidRDefault="003A5E04" w:rsidP="00B20E8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44C21461" w14:textId="77777777" w:rsidR="003A5E04" w:rsidRPr="005D0272" w:rsidRDefault="003A5E04" w:rsidP="00B20E8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6494B370" w14:textId="77777777" w:rsidR="003A5E04" w:rsidRPr="00A05890" w:rsidRDefault="003A5E04" w:rsidP="00B20E8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Total</w:t>
            </w: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 </w:t>
            </w: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# of Employees</w:t>
            </w:r>
          </w:p>
        </w:tc>
        <w:tc>
          <w:tcPr>
            <w:tcW w:w="1402" w:type="dxa"/>
          </w:tcPr>
          <w:p w14:paraId="37B4C699" w14:textId="77777777" w:rsidR="003A5E04" w:rsidRPr="00A05890" w:rsidRDefault="003A5E04" w:rsidP="00B20E8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# of Fully Funded (not subject to lapse; will continue to work)</w:t>
            </w:r>
          </w:p>
        </w:tc>
        <w:tc>
          <w:tcPr>
            <w:tcW w:w="1456" w:type="dxa"/>
            <w:shd w:val="clear" w:color="auto" w:fill="auto"/>
          </w:tcPr>
          <w:p w14:paraId="2D33BF8A" w14:textId="77777777" w:rsidR="003A5E04" w:rsidRPr="00A05890" w:rsidRDefault="003A5E04" w:rsidP="00B20E8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# of Excepted Employees (legal basis; will continue to work)</w:t>
            </w:r>
          </w:p>
        </w:tc>
        <w:tc>
          <w:tcPr>
            <w:tcW w:w="2864" w:type="dxa"/>
            <w:shd w:val="clear" w:color="auto" w:fill="auto"/>
          </w:tcPr>
          <w:p w14:paraId="3547D073" w14:textId="77777777" w:rsidR="003A5E04" w:rsidRPr="005D0272" w:rsidRDefault="003A5E04" w:rsidP="00B20E8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1F1491EA" w14:textId="77777777" w:rsidR="003A5E04" w:rsidRPr="005D0272" w:rsidRDefault="003A5E04" w:rsidP="00B20E8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732E7215" w14:textId="77777777" w:rsidR="003A5E04" w:rsidRPr="00A05890" w:rsidRDefault="003A5E04" w:rsidP="00B20E8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Legal Basis for Decision or Full Funding Source</w:t>
            </w:r>
          </w:p>
        </w:tc>
        <w:tc>
          <w:tcPr>
            <w:tcW w:w="3420" w:type="dxa"/>
            <w:shd w:val="clear" w:color="auto" w:fill="auto"/>
          </w:tcPr>
          <w:p w14:paraId="57DB72AF" w14:textId="77777777" w:rsidR="003A5E04" w:rsidRPr="005D0272" w:rsidRDefault="003A5E04" w:rsidP="00B20E8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18CB825C" w14:textId="77777777" w:rsidR="003A5E04" w:rsidRPr="005D0272" w:rsidRDefault="003A5E04" w:rsidP="00B20E8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5254D4A5" w14:textId="77777777" w:rsidR="003A5E04" w:rsidRPr="00A05890" w:rsidRDefault="003A5E04" w:rsidP="00B20E8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Functions to be Performed</w:t>
            </w:r>
          </w:p>
        </w:tc>
        <w:tc>
          <w:tcPr>
            <w:tcW w:w="2016" w:type="dxa"/>
          </w:tcPr>
          <w:p w14:paraId="1B6E93E3" w14:textId="77777777" w:rsidR="003A5E04" w:rsidRPr="005D0272" w:rsidRDefault="003A5E04" w:rsidP="00B20E8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7C2C2C0D" w14:textId="77777777" w:rsidR="003A5E04" w:rsidRPr="00A05890" w:rsidRDefault="003A5E04" w:rsidP="00B20E88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5D0272">
              <w:rPr>
                <w:rFonts w:asciiTheme="minorHAnsi" w:eastAsia="Calibri" w:hAnsiTheme="minorHAnsi" w:cs="Arial"/>
                <w:b/>
                <w:sz w:val="20"/>
                <w:szCs w:val="20"/>
              </w:rPr>
              <w:t># of Non-Excepted Employees (subject to furlough)</w:t>
            </w:r>
          </w:p>
        </w:tc>
      </w:tr>
      <w:tr w:rsidR="009B3F16" w:rsidRPr="008F69DA" w14:paraId="70BD463B" w14:textId="77777777" w:rsidTr="00B20E88">
        <w:trPr>
          <w:cantSplit/>
        </w:trPr>
        <w:tc>
          <w:tcPr>
            <w:tcW w:w="1785" w:type="dxa"/>
            <w:shd w:val="clear" w:color="auto" w:fill="auto"/>
          </w:tcPr>
          <w:p w14:paraId="1442280A" w14:textId="77777777" w:rsidR="009B3F16" w:rsidRPr="00A05890" w:rsidRDefault="009B3F16" w:rsidP="00B20E88">
            <w:pPr>
              <w:spacing w:line="320" w:lineRule="atLeast"/>
              <w:contextualSpacing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A05890">
              <w:rPr>
                <w:rFonts w:asciiTheme="minorHAnsi" w:eastAsia="Calibri" w:hAnsiTheme="minorHAnsi" w:cs="Arial"/>
                <w:sz w:val="20"/>
                <w:szCs w:val="20"/>
              </w:rPr>
              <w:t>The Office of the Secretary (OSVA) provides day-to-day operations support for SECVA, as well as executive-level support and guidance to the entire Administration</w:t>
            </w:r>
          </w:p>
        </w:tc>
        <w:tc>
          <w:tcPr>
            <w:tcW w:w="1601" w:type="dxa"/>
            <w:shd w:val="clear" w:color="auto" w:fill="auto"/>
          </w:tcPr>
          <w:p w14:paraId="4906D1A9" w14:textId="42853AF4" w:rsidR="009B3F16" w:rsidRPr="00A05890" w:rsidRDefault="009B3F16" w:rsidP="00B20E8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37</w:t>
            </w:r>
          </w:p>
        </w:tc>
        <w:tc>
          <w:tcPr>
            <w:tcW w:w="1402" w:type="dxa"/>
          </w:tcPr>
          <w:p w14:paraId="25A62BEB" w14:textId="74FCB38E" w:rsidR="009B3F16" w:rsidRPr="00A05890" w:rsidRDefault="009B3F16" w:rsidP="00B20E8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A05890">
              <w:rPr>
                <w:rFonts w:asciiTheme="minorHAnsi" w:eastAsia="Calibri" w:hAnsiTheme="minorHAnsi" w:cs="Arial"/>
                <w:sz w:val="20"/>
                <w:szCs w:val="20"/>
              </w:rPr>
              <w:t>37</w:t>
            </w:r>
          </w:p>
        </w:tc>
        <w:tc>
          <w:tcPr>
            <w:tcW w:w="1456" w:type="dxa"/>
            <w:shd w:val="clear" w:color="auto" w:fill="auto"/>
          </w:tcPr>
          <w:p w14:paraId="72EFA2F2" w14:textId="02628809" w:rsidR="009B3F16" w:rsidRPr="00A05890" w:rsidRDefault="009B3F16" w:rsidP="00B20E8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0</w:t>
            </w:r>
          </w:p>
        </w:tc>
        <w:tc>
          <w:tcPr>
            <w:tcW w:w="2864" w:type="dxa"/>
            <w:shd w:val="clear" w:color="auto" w:fill="auto"/>
          </w:tcPr>
          <w:p w14:paraId="6E4B102D" w14:textId="279E272C" w:rsidR="009B3F16" w:rsidRPr="00A05890" w:rsidRDefault="00AF6658" w:rsidP="00B20E8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Reimbursable fund (Supply Fund)</w:t>
            </w:r>
          </w:p>
        </w:tc>
        <w:tc>
          <w:tcPr>
            <w:tcW w:w="3420" w:type="dxa"/>
            <w:shd w:val="clear" w:color="auto" w:fill="auto"/>
          </w:tcPr>
          <w:p w14:paraId="50B88EB3" w14:textId="32373124" w:rsidR="009B3F16" w:rsidRPr="00A05890" w:rsidRDefault="009B3F16" w:rsidP="00B20E8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A05890">
              <w:rPr>
                <w:rFonts w:asciiTheme="minorHAnsi" w:eastAsia="Calibri" w:hAnsiTheme="minorHAnsi" w:cs="Arial"/>
                <w:sz w:val="20"/>
                <w:szCs w:val="20"/>
              </w:rPr>
              <w:t>Existing duties (Office of Small and Disadvantaged Business Utilization)</w:t>
            </w:r>
          </w:p>
        </w:tc>
        <w:tc>
          <w:tcPr>
            <w:tcW w:w="2016" w:type="dxa"/>
          </w:tcPr>
          <w:p w14:paraId="534748B6" w14:textId="5EB8685F" w:rsidR="009B3F16" w:rsidRPr="00A05890" w:rsidRDefault="009B3F16" w:rsidP="00B20E88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A05890">
              <w:rPr>
                <w:rFonts w:asciiTheme="minorHAnsi" w:eastAsia="Calibri" w:hAnsiTheme="minorHAnsi" w:cs="Arial"/>
                <w:sz w:val="20"/>
                <w:szCs w:val="20"/>
              </w:rPr>
              <w:t>0</w:t>
            </w:r>
          </w:p>
        </w:tc>
      </w:tr>
    </w:tbl>
    <w:p w14:paraId="375ECCD4" w14:textId="6388FEB8" w:rsidR="00D41575" w:rsidRDefault="00D41575" w:rsidP="003A5E04">
      <w:pPr>
        <w:rPr>
          <w:rFonts w:ascii="Arial Narrow Bold" w:hAnsi="Arial Narrow Bold" w:cs="Times New Roman"/>
          <w:b/>
          <w:bCs/>
          <w:color w:val="1F497D"/>
          <w:kern w:val="32"/>
          <w:sz w:val="36"/>
          <w:szCs w:val="32"/>
        </w:rPr>
      </w:pPr>
    </w:p>
    <w:p w14:paraId="466C444E" w14:textId="77777777" w:rsidR="009B3F16" w:rsidRDefault="009B3F16">
      <w:pPr>
        <w:spacing w:before="0" w:after="0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br w:type="page"/>
      </w:r>
    </w:p>
    <w:p w14:paraId="3DB6F562" w14:textId="19A0BC80" w:rsidR="00072E99" w:rsidRPr="00627081" w:rsidRDefault="000D3DC6" w:rsidP="00617092">
      <w:pPr>
        <w:spacing w:before="0" w:after="0"/>
        <w:rPr>
          <w:rFonts w:asciiTheme="minorHAnsi" w:hAnsiTheme="minorHAnsi" w:cstheme="minorHAnsi"/>
          <w:b/>
          <w:sz w:val="28"/>
          <w:szCs w:val="22"/>
        </w:rPr>
      </w:pPr>
      <w:r w:rsidRPr="00F66E9F">
        <w:rPr>
          <w:rFonts w:asciiTheme="minorHAnsi" w:hAnsiTheme="minorHAnsi" w:cstheme="minorHAnsi"/>
          <w:b/>
          <w:sz w:val="28"/>
          <w:szCs w:val="22"/>
        </w:rPr>
        <w:lastRenderedPageBreak/>
        <w:t>Appendix C</w:t>
      </w:r>
      <w:r w:rsidR="00072E99" w:rsidRPr="00F66E9F">
        <w:rPr>
          <w:rFonts w:asciiTheme="minorHAnsi" w:hAnsiTheme="minorHAnsi" w:cstheme="minorHAnsi"/>
          <w:b/>
          <w:sz w:val="28"/>
          <w:szCs w:val="22"/>
        </w:rPr>
        <w:t xml:space="preserve"> – Suspended Functions</w:t>
      </w:r>
      <w:r w:rsidR="00E531E3" w:rsidRPr="00F66E9F">
        <w:rPr>
          <w:rFonts w:asciiTheme="minorHAnsi" w:hAnsiTheme="minorHAnsi" w:cstheme="minorHAnsi"/>
          <w:b/>
          <w:sz w:val="28"/>
          <w:szCs w:val="22"/>
        </w:rPr>
        <w:t xml:space="preserve"> in 2013</w:t>
      </w:r>
    </w:p>
    <w:tbl>
      <w:tblPr>
        <w:tblStyle w:val="LightShading-Accent11"/>
        <w:tblW w:w="14148" w:type="dxa"/>
        <w:jc w:val="center"/>
        <w:tblLook w:val="0420" w:firstRow="1" w:lastRow="0" w:firstColumn="0" w:lastColumn="0" w:noHBand="0" w:noVBand="1"/>
      </w:tblPr>
      <w:tblGrid>
        <w:gridCol w:w="1764"/>
        <w:gridCol w:w="12384"/>
      </w:tblGrid>
      <w:tr w:rsidR="00F66E9F" w:rsidRPr="00072E99" w14:paraId="65BF5154" w14:textId="77777777" w:rsidTr="00D86C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  <w:jc w:val="center"/>
        </w:trPr>
        <w:tc>
          <w:tcPr>
            <w:tcW w:w="1764" w:type="dxa"/>
            <w:hideMark/>
          </w:tcPr>
          <w:p w14:paraId="0059DF5C" w14:textId="77777777" w:rsidR="00F66E9F" w:rsidRPr="00072E99" w:rsidRDefault="00F66E9F" w:rsidP="00D86CD5">
            <w:pPr>
              <w:spacing w:before="0" w:after="0"/>
              <w:rPr>
                <w:rFonts w:asciiTheme="minorHAnsi" w:hAnsiTheme="minorHAnsi" w:cstheme="minorHAnsi"/>
                <w:color w:val="auto"/>
                <w:sz w:val="28"/>
                <w:szCs w:val="22"/>
              </w:rPr>
            </w:pPr>
            <w:r w:rsidRPr="00072E99">
              <w:rPr>
                <w:rFonts w:asciiTheme="minorHAnsi" w:hAnsiTheme="minorHAnsi" w:cstheme="minorHAnsi"/>
                <w:color w:val="auto"/>
                <w:sz w:val="28"/>
                <w:szCs w:val="22"/>
              </w:rPr>
              <w:t>Organization</w:t>
            </w:r>
          </w:p>
        </w:tc>
        <w:tc>
          <w:tcPr>
            <w:tcW w:w="12384" w:type="dxa"/>
            <w:hideMark/>
          </w:tcPr>
          <w:p w14:paraId="12DA8F7C" w14:textId="77777777" w:rsidR="00F66E9F" w:rsidRPr="00072E99" w:rsidRDefault="00F66E9F" w:rsidP="00D86CD5">
            <w:pPr>
              <w:spacing w:before="0" w:after="0"/>
              <w:rPr>
                <w:rFonts w:asciiTheme="minorHAnsi" w:hAnsiTheme="minorHAnsi" w:cstheme="minorHAnsi"/>
                <w:color w:val="auto"/>
                <w:sz w:val="28"/>
                <w:szCs w:val="22"/>
              </w:rPr>
            </w:pPr>
            <w:r w:rsidRPr="00072E99">
              <w:rPr>
                <w:rFonts w:asciiTheme="minorHAnsi" w:hAnsiTheme="minorHAnsi" w:cstheme="minorHAnsi"/>
                <w:color w:val="auto"/>
                <w:sz w:val="28"/>
                <w:szCs w:val="22"/>
              </w:rPr>
              <w:t>Functions to be Suspended</w:t>
            </w:r>
          </w:p>
        </w:tc>
      </w:tr>
      <w:tr w:rsidR="00F66E9F" w:rsidRPr="00072E99" w14:paraId="69D9C8CC" w14:textId="77777777" w:rsidTr="00D86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  <w:jc w:val="center"/>
        </w:trPr>
        <w:tc>
          <w:tcPr>
            <w:tcW w:w="1764" w:type="dxa"/>
            <w:hideMark/>
          </w:tcPr>
          <w:p w14:paraId="779FDE15" w14:textId="77777777" w:rsidR="00F66E9F" w:rsidRPr="00640A0F" w:rsidRDefault="00F66E9F" w:rsidP="00D86CD5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</w:pPr>
            <w:r w:rsidRPr="00640A0F"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  <w:t>VHA</w:t>
            </w:r>
          </w:p>
        </w:tc>
        <w:tc>
          <w:tcPr>
            <w:tcW w:w="12384" w:type="dxa"/>
            <w:hideMark/>
          </w:tcPr>
          <w:p w14:paraId="4B17C47D" w14:textId="77777777" w:rsidR="00F66E9F" w:rsidRPr="00F66E9F" w:rsidRDefault="00F66E9F" w:rsidP="00D86CD5">
            <w:pPr>
              <w:spacing w:before="0"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66E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</w:t>
            </w:r>
          </w:p>
        </w:tc>
      </w:tr>
      <w:tr w:rsidR="00F66E9F" w:rsidRPr="00072E99" w14:paraId="589E48A2" w14:textId="77777777" w:rsidTr="00D86CD5">
        <w:trPr>
          <w:trHeight w:val="368"/>
          <w:jc w:val="center"/>
        </w:trPr>
        <w:tc>
          <w:tcPr>
            <w:tcW w:w="1764" w:type="dxa"/>
            <w:hideMark/>
          </w:tcPr>
          <w:p w14:paraId="62F92EB2" w14:textId="77777777" w:rsidR="00F66E9F" w:rsidRPr="00072E99" w:rsidRDefault="00F66E9F" w:rsidP="00D86CD5">
            <w:pPr>
              <w:spacing w:before="0"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bookmarkStart w:id="2" w:name="_Hlk289781040"/>
            <w:r w:rsidRPr="00072E99"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  <w:t>VBA</w:t>
            </w:r>
          </w:p>
        </w:tc>
        <w:tc>
          <w:tcPr>
            <w:tcW w:w="12384" w:type="dxa"/>
            <w:hideMark/>
          </w:tcPr>
          <w:p w14:paraId="0C8154C9" w14:textId="62F8BF38" w:rsidR="00F66E9F" w:rsidRPr="00B928E4" w:rsidRDefault="009F3D66" w:rsidP="00D86CD5">
            <w:pPr>
              <w:spacing w:before="0"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928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Overseas Military Coordinator; All Outreach; Education Call Center; All Public Contact Activities; Appeals Teams; Transition Assistance/</w:t>
            </w:r>
            <w:proofErr w:type="spellStart"/>
            <w:r w:rsidRPr="00B928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Predischarge</w:t>
            </w:r>
            <w:proofErr w:type="spellEnd"/>
            <w:r w:rsidRPr="00B928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Activities; Chapter 36 Counseling; Vet Success on Campus; Education Compliance; Quality Review/Assurance Programs</w:t>
            </w:r>
          </w:p>
        </w:tc>
      </w:tr>
      <w:tr w:rsidR="00F66E9F" w:rsidRPr="00072E99" w14:paraId="215F2E92" w14:textId="77777777" w:rsidTr="00D86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  <w:jc w:val="center"/>
        </w:trPr>
        <w:tc>
          <w:tcPr>
            <w:tcW w:w="1764" w:type="dxa"/>
            <w:hideMark/>
          </w:tcPr>
          <w:p w14:paraId="4B554FBC" w14:textId="77777777" w:rsidR="00F66E9F" w:rsidRPr="00072E99" w:rsidRDefault="00F66E9F" w:rsidP="00D86CD5">
            <w:pPr>
              <w:spacing w:before="0"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072E99"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  <w:t>NCA</w:t>
            </w:r>
          </w:p>
        </w:tc>
        <w:tc>
          <w:tcPr>
            <w:tcW w:w="12384" w:type="dxa"/>
            <w:hideMark/>
          </w:tcPr>
          <w:p w14:paraId="22E0B3D1" w14:textId="77777777" w:rsidR="00F66E9F" w:rsidRPr="00F66E9F" w:rsidRDefault="00F66E9F" w:rsidP="00D86CD5">
            <w:pPr>
              <w:spacing w:before="0"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66E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Processing applications for Presidential Memorial Certificates; Activities at NCA Training Center; NCA will bring in contractors to accomplish interments at those national cemeteries already under contract. NCA will also restrict the number of interments at mid-range cemeteries to 8 per day.</w:t>
            </w:r>
          </w:p>
        </w:tc>
      </w:tr>
      <w:tr w:rsidR="00F66E9F" w:rsidRPr="00072E99" w14:paraId="2B8CCE13" w14:textId="77777777" w:rsidTr="00D86CD5">
        <w:trPr>
          <w:trHeight w:val="368"/>
          <w:jc w:val="center"/>
        </w:trPr>
        <w:tc>
          <w:tcPr>
            <w:tcW w:w="1764" w:type="dxa"/>
            <w:hideMark/>
          </w:tcPr>
          <w:p w14:paraId="5B8A621E" w14:textId="77777777" w:rsidR="00F66E9F" w:rsidRPr="00072E99" w:rsidRDefault="00F66E9F" w:rsidP="00D86CD5">
            <w:pPr>
              <w:spacing w:before="0"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072E99"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  <w:t>OSVA</w:t>
            </w:r>
          </w:p>
        </w:tc>
        <w:tc>
          <w:tcPr>
            <w:tcW w:w="12384" w:type="dxa"/>
            <w:hideMark/>
          </w:tcPr>
          <w:p w14:paraId="66E2F2E3" w14:textId="77777777" w:rsidR="00F66E9F" w:rsidRPr="00F66E9F" w:rsidRDefault="00F66E9F" w:rsidP="00D86CD5">
            <w:pPr>
              <w:spacing w:before="0"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66E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Special program activities; Executive correspondence and communication; Strategic planning  and communications; protocol</w:t>
            </w:r>
          </w:p>
        </w:tc>
      </w:tr>
      <w:tr w:rsidR="00F66E9F" w:rsidRPr="00072E99" w14:paraId="6AA834BC" w14:textId="77777777" w:rsidTr="00D86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  <w:jc w:val="center"/>
        </w:trPr>
        <w:tc>
          <w:tcPr>
            <w:tcW w:w="1764" w:type="dxa"/>
            <w:hideMark/>
          </w:tcPr>
          <w:p w14:paraId="53CA800C" w14:textId="77777777" w:rsidR="00F66E9F" w:rsidRPr="00072E99" w:rsidRDefault="00F66E9F" w:rsidP="00D86CD5">
            <w:pPr>
              <w:spacing w:before="0"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072E99"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  <w:t>OALC</w:t>
            </w:r>
          </w:p>
        </w:tc>
        <w:tc>
          <w:tcPr>
            <w:tcW w:w="12384" w:type="dxa"/>
            <w:hideMark/>
          </w:tcPr>
          <w:p w14:paraId="1A9F41B3" w14:textId="77777777" w:rsidR="00F66E9F" w:rsidRPr="00F66E9F" w:rsidRDefault="00F66E9F" w:rsidP="00D86CD5">
            <w:pPr>
              <w:spacing w:before="0"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66E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Development of design standards, criteria, and guides; Technical architectural and engineering (A/E) consulting support; Technical real property/architectural and engineering design support; Cost estimating and A/E Selection; Administrative support functions for IT, space, human resources and financial administration</w:t>
            </w:r>
          </w:p>
        </w:tc>
      </w:tr>
      <w:tr w:rsidR="00F66E9F" w:rsidRPr="00072E99" w14:paraId="0D15C3C2" w14:textId="77777777" w:rsidTr="00D86CD5">
        <w:trPr>
          <w:trHeight w:val="368"/>
          <w:jc w:val="center"/>
        </w:trPr>
        <w:tc>
          <w:tcPr>
            <w:tcW w:w="1764" w:type="dxa"/>
            <w:hideMark/>
          </w:tcPr>
          <w:p w14:paraId="51FBFFCA" w14:textId="77777777" w:rsidR="00F66E9F" w:rsidRPr="00072E99" w:rsidRDefault="00F66E9F" w:rsidP="00D86CD5">
            <w:pPr>
              <w:spacing w:before="0"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072E99"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  <w:t>BVA</w:t>
            </w:r>
          </w:p>
        </w:tc>
        <w:tc>
          <w:tcPr>
            <w:tcW w:w="12384" w:type="dxa"/>
            <w:hideMark/>
          </w:tcPr>
          <w:p w14:paraId="4B90CD03" w14:textId="77777777" w:rsidR="00F66E9F" w:rsidRPr="00F66E9F" w:rsidRDefault="00F66E9F" w:rsidP="00D86CD5">
            <w:pPr>
              <w:spacing w:before="0"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66E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Claims appeals will be discontinued.</w:t>
            </w:r>
          </w:p>
        </w:tc>
      </w:tr>
      <w:tr w:rsidR="00F66E9F" w:rsidRPr="00072E99" w14:paraId="05C0F35F" w14:textId="77777777" w:rsidTr="00D86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  <w:jc w:val="center"/>
        </w:trPr>
        <w:tc>
          <w:tcPr>
            <w:tcW w:w="1764" w:type="dxa"/>
            <w:hideMark/>
          </w:tcPr>
          <w:p w14:paraId="1703B0E3" w14:textId="77777777" w:rsidR="00F66E9F" w:rsidRPr="00072E99" w:rsidRDefault="00F66E9F" w:rsidP="00D86CD5">
            <w:pPr>
              <w:spacing w:before="0"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072E99"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  <w:t>OCLA</w:t>
            </w:r>
          </w:p>
        </w:tc>
        <w:tc>
          <w:tcPr>
            <w:tcW w:w="12384" w:type="dxa"/>
            <w:hideMark/>
          </w:tcPr>
          <w:p w14:paraId="03A5ABEA" w14:textId="77777777" w:rsidR="00F66E9F" w:rsidRPr="00F66E9F" w:rsidRDefault="00F66E9F" w:rsidP="00D86CD5">
            <w:pPr>
              <w:spacing w:before="0"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66E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All functions including: Congressional relations; Responding to congressional requests for information; Processing testimony and questions for the record; Congressional correspondence; Constituent casework; Advisory Committee Management; GAO coordination; Office administrative functions</w:t>
            </w:r>
          </w:p>
        </w:tc>
      </w:tr>
      <w:tr w:rsidR="00F66E9F" w:rsidRPr="00072E99" w14:paraId="2F10F803" w14:textId="77777777" w:rsidTr="00D86CD5">
        <w:trPr>
          <w:trHeight w:val="580"/>
          <w:jc w:val="center"/>
        </w:trPr>
        <w:tc>
          <w:tcPr>
            <w:tcW w:w="1764" w:type="dxa"/>
            <w:hideMark/>
          </w:tcPr>
          <w:p w14:paraId="5645424D" w14:textId="77777777" w:rsidR="00F66E9F" w:rsidRPr="00072E99" w:rsidRDefault="00F66E9F" w:rsidP="00D86CD5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</w:pPr>
            <w:r w:rsidRPr="00072E99"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  <w:t>OGC</w:t>
            </w:r>
          </w:p>
        </w:tc>
        <w:tc>
          <w:tcPr>
            <w:tcW w:w="12384" w:type="dxa"/>
            <w:hideMark/>
          </w:tcPr>
          <w:p w14:paraId="3A0D660E" w14:textId="77777777" w:rsidR="00F66E9F" w:rsidRPr="00F66E9F" w:rsidRDefault="00F66E9F" w:rsidP="00D86CD5">
            <w:pPr>
              <w:spacing w:before="0"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66E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Represent the Secretary before courts, including the US Court of Appeals for Veterans Claims, and other tribunals; Routine legal services for VHA, VBA, NCA and Staff Offices regarding personnel law, ethics, torts, and other legal matters</w:t>
            </w:r>
          </w:p>
        </w:tc>
      </w:tr>
      <w:tr w:rsidR="00F66E9F" w:rsidRPr="00072E99" w14:paraId="61192019" w14:textId="77777777" w:rsidTr="00D86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  <w:jc w:val="center"/>
        </w:trPr>
        <w:tc>
          <w:tcPr>
            <w:tcW w:w="1764" w:type="dxa"/>
            <w:hideMark/>
          </w:tcPr>
          <w:p w14:paraId="39074529" w14:textId="77777777" w:rsidR="00F66E9F" w:rsidRPr="00072E99" w:rsidRDefault="00F66E9F" w:rsidP="00D86CD5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</w:pPr>
            <w:r w:rsidRPr="00072E99"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  <w:t>HR&amp;A</w:t>
            </w:r>
          </w:p>
        </w:tc>
        <w:tc>
          <w:tcPr>
            <w:tcW w:w="12384" w:type="dxa"/>
            <w:hideMark/>
          </w:tcPr>
          <w:p w14:paraId="66F506F7" w14:textId="77777777" w:rsidR="00F66E9F" w:rsidRPr="00F66E9F" w:rsidRDefault="00F66E9F" w:rsidP="00D86CD5">
            <w:pPr>
              <w:spacing w:before="0"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66E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HR Policy; Recruiting; Hiring; Staffing; Training; Labor-Management  Relations; ADR; Diversity; Classification; VACO building maintenance support; Veteran Employment Outreach</w:t>
            </w:r>
          </w:p>
        </w:tc>
      </w:tr>
      <w:tr w:rsidR="00F66E9F" w:rsidRPr="00072E99" w14:paraId="35B85D03" w14:textId="77777777" w:rsidTr="00D86CD5">
        <w:trPr>
          <w:trHeight w:val="580"/>
          <w:jc w:val="center"/>
        </w:trPr>
        <w:tc>
          <w:tcPr>
            <w:tcW w:w="1764" w:type="dxa"/>
            <w:hideMark/>
          </w:tcPr>
          <w:p w14:paraId="1BF14E47" w14:textId="77777777" w:rsidR="00F66E9F" w:rsidRPr="00072E99" w:rsidRDefault="00F66E9F" w:rsidP="00D86CD5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</w:pPr>
            <w:r w:rsidRPr="00072E99"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  <w:t>OI&amp;T</w:t>
            </w:r>
          </w:p>
        </w:tc>
        <w:tc>
          <w:tcPr>
            <w:tcW w:w="12384" w:type="dxa"/>
            <w:hideMark/>
          </w:tcPr>
          <w:p w14:paraId="1354C28D" w14:textId="0314CDCB" w:rsidR="00F66E9F" w:rsidRPr="00B928E4" w:rsidRDefault="00E943FF" w:rsidP="00D86CD5">
            <w:pPr>
              <w:spacing w:before="0"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928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Oversight and compliance; Policy functions; Planning functions; Correspondence management; Congressional, GAO, IG, OMB inquires about VA Directives, FOIA, Records Mgmt., and System of Records Management</w:t>
            </w:r>
          </w:p>
        </w:tc>
      </w:tr>
      <w:tr w:rsidR="00F66E9F" w:rsidRPr="00072E99" w14:paraId="17BB73D4" w14:textId="77777777" w:rsidTr="00D86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  <w:jc w:val="center"/>
        </w:trPr>
        <w:tc>
          <w:tcPr>
            <w:tcW w:w="1764" w:type="dxa"/>
            <w:hideMark/>
          </w:tcPr>
          <w:p w14:paraId="7CD501FF" w14:textId="77777777" w:rsidR="00F66E9F" w:rsidRPr="00072E99" w:rsidRDefault="00F66E9F" w:rsidP="00D86CD5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</w:pPr>
            <w:r w:rsidRPr="00072E99"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  <w:t>IG</w:t>
            </w:r>
          </w:p>
        </w:tc>
        <w:tc>
          <w:tcPr>
            <w:tcW w:w="12384" w:type="dxa"/>
            <w:hideMark/>
          </w:tcPr>
          <w:p w14:paraId="12BA7F89" w14:textId="77777777" w:rsidR="00F66E9F" w:rsidRPr="00F66E9F" w:rsidRDefault="00F66E9F" w:rsidP="00D86CD5">
            <w:pPr>
              <w:spacing w:before="0"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66E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Audits and Evaluations; Administrative Investigations; OIG Hotline; Healthcare Inspections; OIG Legal and Release of Information</w:t>
            </w:r>
          </w:p>
        </w:tc>
      </w:tr>
      <w:tr w:rsidR="00F66E9F" w:rsidRPr="00072E99" w14:paraId="063E853B" w14:textId="77777777" w:rsidTr="00D86CD5">
        <w:trPr>
          <w:trHeight w:val="580"/>
          <w:jc w:val="center"/>
        </w:trPr>
        <w:tc>
          <w:tcPr>
            <w:tcW w:w="1764" w:type="dxa"/>
            <w:hideMark/>
          </w:tcPr>
          <w:p w14:paraId="0D574351" w14:textId="77777777" w:rsidR="00F66E9F" w:rsidRPr="00072E99" w:rsidRDefault="00F66E9F" w:rsidP="00D86CD5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</w:pPr>
            <w:r w:rsidRPr="00072E99"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  <w:t>OM</w:t>
            </w:r>
          </w:p>
        </w:tc>
        <w:tc>
          <w:tcPr>
            <w:tcW w:w="12384" w:type="dxa"/>
            <w:hideMark/>
          </w:tcPr>
          <w:p w14:paraId="67BE2FD9" w14:textId="39CA2D32" w:rsidR="00F66E9F" w:rsidRPr="00F66E9F" w:rsidRDefault="00F66E9F" w:rsidP="00D86CD5">
            <w:pPr>
              <w:spacing w:before="0"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66E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Performance Management; Asset Enterprise Management; Green/Energy programs </w:t>
            </w:r>
            <w:r w:rsidR="00E943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; Financial policy</w:t>
            </w:r>
            <w:r w:rsidRPr="00F66E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; Budget Formulation and analysis</w:t>
            </w:r>
          </w:p>
        </w:tc>
      </w:tr>
      <w:tr w:rsidR="00F66E9F" w:rsidRPr="00072E99" w14:paraId="5BC598E1" w14:textId="77777777" w:rsidTr="00D86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  <w:jc w:val="center"/>
        </w:trPr>
        <w:tc>
          <w:tcPr>
            <w:tcW w:w="1764" w:type="dxa"/>
            <w:hideMark/>
          </w:tcPr>
          <w:p w14:paraId="2789E367" w14:textId="77777777" w:rsidR="00F66E9F" w:rsidRPr="00072E99" w:rsidRDefault="00F66E9F" w:rsidP="00D86CD5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</w:pPr>
            <w:r w:rsidRPr="00072E99"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  <w:t>OPIA</w:t>
            </w:r>
          </w:p>
        </w:tc>
        <w:tc>
          <w:tcPr>
            <w:tcW w:w="12384" w:type="dxa"/>
            <w:hideMark/>
          </w:tcPr>
          <w:p w14:paraId="6FE5BE62" w14:textId="77777777" w:rsidR="00F66E9F" w:rsidRPr="00F66E9F" w:rsidRDefault="00F66E9F" w:rsidP="00D86CD5">
            <w:pPr>
              <w:spacing w:before="0"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66E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All functions including: National programs and special events; Tribal Government Relations; National Veterans Awareness Campaign; Interaction with state and local government and international visitors</w:t>
            </w:r>
          </w:p>
        </w:tc>
      </w:tr>
      <w:tr w:rsidR="00F66E9F" w:rsidRPr="00072E99" w14:paraId="0D123440" w14:textId="77777777" w:rsidTr="00D86CD5">
        <w:trPr>
          <w:trHeight w:val="580"/>
          <w:jc w:val="center"/>
        </w:trPr>
        <w:tc>
          <w:tcPr>
            <w:tcW w:w="1764" w:type="dxa"/>
            <w:hideMark/>
          </w:tcPr>
          <w:p w14:paraId="4686E381" w14:textId="77777777" w:rsidR="00F66E9F" w:rsidRPr="00072E99" w:rsidRDefault="00F66E9F" w:rsidP="00D86CD5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</w:pPr>
            <w:r w:rsidRPr="00072E99"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  <w:t>OSP</w:t>
            </w:r>
          </w:p>
        </w:tc>
        <w:tc>
          <w:tcPr>
            <w:tcW w:w="12384" w:type="dxa"/>
            <w:hideMark/>
          </w:tcPr>
          <w:p w14:paraId="3FD297B1" w14:textId="77777777" w:rsidR="00F66E9F" w:rsidRPr="00F66E9F" w:rsidRDefault="00F66E9F" w:rsidP="00D86CD5">
            <w:pPr>
              <w:spacing w:before="0"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66E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National Security Planning and Operations; Policy Program Inspections; HSPD-12; Personnel Security and Suitability; Resource Management</w:t>
            </w:r>
          </w:p>
        </w:tc>
      </w:tr>
      <w:tr w:rsidR="00F66E9F" w:rsidRPr="00072E99" w14:paraId="14FBB0A7" w14:textId="77777777" w:rsidTr="00D86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  <w:jc w:val="center"/>
        </w:trPr>
        <w:tc>
          <w:tcPr>
            <w:tcW w:w="1764" w:type="dxa"/>
          </w:tcPr>
          <w:p w14:paraId="0E6B31A7" w14:textId="77777777" w:rsidR="00F66E9F" w:rsidRPr="003A675C" w:rsidRDefault="00F66E9F" w:rsidP="00D86CD5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</w:pPr>
            <w:r w:rsidRPr="003A675C"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  <w:t>OPP</w:t>
            </w:r>
          </w:p>
        </w:tc>
        <w:tc>
          <w:tcPr>
            <w:tcW w:w="12384" w:type="dxa"/>
          </w:tcPr>
          <w:p w14:paraId="415C8233" w14:textId="51CDBC85" w:rsidR="00F66E9F" w:rsidRPr="00F66E9F" w:rsidRDefault="00F66E9F" w:rsidP="00B928E4">
            <w:pPr>
              <w:spacing w:before="0" w:after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F66E9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All functions including: </w:t>
            </w:r>
            <w:r w:rsidRPr="00F66E9F">
              <w:rPr>
                <w:rFonts w:asciiTheme="minorHAnsi" w:hAnsiTheme="minorHAnsi" w:cs="Arial"/>
                <w:color w:val="auto"/>
                <w:sz w:val="22"/>
                <w:szCs w:val="22"/>
              </w:rPr>
              <w:t>Strategic Planning; Policy Analysis and Development; VA Governance; Data and Statistical Analysis; Predictive Modeling; Data Governance; VA/</w:t>
            </w:r>
            <w:proofErr w:type="spellStart"/>
            <w:r w:rsidRPr="00F66E9F">
              <w:rPr>
                <w:rFonts w:asciiTheme="minorHAnsi" w:hAnsiTheme="minorHAnsi" w:cs="Arial"/>
                <w:color w:val="auto"/>
                <w:sz w:val="22"/>
                <w:szCs w:val="22"/>
              </w:rPr>
              <w:t>DoD</w:t>
            </w:r>
            <w:proofErr w:type="spellEnd"/>
            <w:r w:rsidRPr="00F66E9F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Collaboration; Interagency Integration and Collaboration; Multi-year Programming; Program Analysis and Evaluation; and Program Management and</w:t>
            </w:r>
            <w:r w:rsidR="00B928E4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Oversight of Major Initiatives</w:t>
            </w:r>
          </w:p>
        </w:tc>
      </w:tr>
      <w:bookmarkEnd w:id="2"/>
    </w:tbl>
    <w:p w14:paraId="6816ED02" w14:textId="77777777" w:rsidR="00F2219E" w:rsidRDefault="00F2219E" w:rsidP="0071439F">
      <w:pPr>
        <w:spacing w:before="0" w:after="0"/>
        <w:rPr>
          <w:rFonts w:asciiTheme="minorHAnsi" w:hAnsiTheme="minorHAnsi" w:cstheme="minorHAnsi"/>
          <w:b/>
          <w:sz w:val="28"/>
          <w:szCs w:val="22"/>
        </w:rPr>
      </w:pPr>
    </w:p>
    <w:sectPr w:rsidR="00F2219E" w:rsidSect="009737D5">
      <w:pgSz w:w="15840" w:h="12240" w:orient="landscape"/>
      <w:pgMar w:top="547" w:right="720" w:bottom="720" w:left="72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6F59C" w14:textId="77777777" w:rsidR="00767B18" w:rsidRDefault="00767B18" w:rsidP="00224E28">
      <w:r>
        <w:separator/>
      </w:r>
    </w:p>
    <w:p w14:paraId="3DB6F59D" w14:textId="77777777" w:rsidR="00767B18" w:rsidRDefault="00767B18" w:rsidP="00224E28"/>
  </w:endnote>
  <w:endnote w:type="continuationSeparator" w:id="0">
    <w:p w14:paraId="3DB6F59E" w14:textId="77777777" w:rsidR="00767B18" w:rsidRDefault="00767B18" w:rsidP="00224E28">
      <w:r>
        <w:continuationSeparator/>
      </w:r>
    </w:p>
    <w:p w14:paraId="3DB6F59F" w14:textId="77777777" w:rsidR="00767B18" w:rsidRDefault="00767B18" w:rsidP="00224E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TRE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748156"/>
      <w:docPartObj>
        <w:docPartGallery w:val="Page Numbers (Bottom of Page)"/>
        <w:docPartUnique/>
      </w:docPartObj>
    </w:sdtPr>
    <w:sdtEndPr/>
    <w:sdtContent>
      <w:p w14:paraId="3DB6F5A0" w14:textId="77777777" w:rsidR="00767B18" w:rsidRDefault="00767B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2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B6F5A1" w14:textId="77777777" w:rsidR="00767B18" w:rsidRDefault="00767B18" w:rsidP="00224E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902943"/>
      <w:docPartObj>
        <w:docPartGallery w:val="Page Numbers (Bottom of Page)"/>
        <w:docPartUnique/>
      </w:docPartObj>
    </w:sdtPr>
    <w:sdtEndPr/>
    <w:sdtContent>
      <w:p w14:paraId="3DB6F5A3" w14:textId="77777777" w:rsidR="00767B18" w:rsidRDefault="00767B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240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6F5A5" w14:textId="77777777" w:rsidR="00767B18" w:rsidRDefault="00767B18" w:rsidP="00224E28">
    <w:pPr>
      <w:pStyle w:val="Footer"/>
    </w:pPr>
    <w:r>
      <w:fldChar w:fldCharType="begin"/>
    </w:r>
    <w:r>
      <w:instrText xml:space="preserve"> STYLEREF  "Doc Title"  \* MERGEFORMAT </w:instrText>
    </w:r>
    <w:r>
      <w:fldChar w:fldCharType="end"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6F598" w14:textId="77777777" w:rsidR="00767B18" w:rsidRDefault="00767B18" w:rsidP="00224E28">
      <w:r>
        <w:separator/>
      </w:r>
    </w:p>
    <w:p w14:paraId="3DB6F599" w14:textId="77777777" w:rsidR="00767B18" w:rsidRDefault="00767B18" w:rsidP="00224E28"/>
  </w:footnote>
  <w:footnote w:type="continuationSeparator" w:id="0">
    <w:p w14:paraId="3DB6F59A" w14:textId="77777777" w:rsidR="00767B18" w:rsidRDefault="00767B18" w:rsidP="00224E28">
      <w:r>
        <w:continuationSeparator/>
      </w:r>
    </w:p>
    <w:p w14:paraId="3DB6F59B" w14:textId="77777777" w:rsidR="00767B18" w:rsidRDefault="00767B18" w:rsidP="00224E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6F5A2" w14:textId="544E0ED4" w:rsidR="00767B18" w:rsidRPr="00942FC3" w:rsidRDefault="00FA7240" w:rsidP="00942FC3">
    <w:pPr>
      <w:pStyle w:val="Header"/>
      <w:rPr>
        <w:szCs w:val="22"/>
      </w:rPr>
    </w:pPr>
    <w:r>
      <w:rPr>
        <w:szCs w:val="22"/>
      </w:rPr>
      <w:t>Updated October 11, 2013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6F5A4" w14:textId="77777777" w:rsidR="00767B18" w:rsidRPr="004F1635" w:rsidRDefault="00767B18" w:rsidP="007B738B">
    <w:pPr>
      <w:pStyle w:val="Header"/>
      <w:tabs>
        <w:tab w:val="clear" w:pos="9360"/>
        <w:tab w:val="right" w:pos="8280"/>
      </w:tabs>
      <w:ind w:right="-72"/>
      <w:rPr>
        <w:rFonts w:ascii="Calibri" w:hAnsi="Calibri"/>
        <w:sz w:val="22"/>
        <w:szCs w:val="22"/>
      </w:rPr>
    </w:pPr>
    <w:r>
      <w:fldChar w:fldCharType="begin"/>
    </w:r>
    <w:r>
      <w:instrText xml:space="preserve"> STYLEREF  Classification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6607BC"/>
    <w:lvl w:ilvl="0">
      <w:numFmt w:val="bullet"/>
      <w:lvlText w:val="*"/>
      <w:lvlJc w:val="left"/>
    </w:lvl>
  </w:abstractNum>
  <w:abstractNum w:abstractNumId="1">
    <w:nsid w:val="07AC0A92"/>
    <w:multiLevelType w:val="hybridMultilevel"/>
    <w:tmpl w:val="84AAF986"/>
    <w:lvl w:ilvl="0" w:tplc="33D83192">
      <w:start w:val="1"/>
      <w:numFmt w:val="bullet"/>
      <w:pStyle w:val="NumberedList2bulleted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9181E"/>
    <w:multiLevelType w:val="multilevel"/>
    <w:tmpl w:val="BEF2CD5E"/>
    <w:styleLink w:val="Bulletcalibrisub2"/>
    <w:lvl w:ilvl="0">
      <w:start w:val="1"/>
      <w:numFmt w:val="bullet"/>
      <w:lvlText w:val="-"/>
      <w:lvlJc w:val="left"/>
      <w:pPr>
        <w:ind w:left="2160" w:hanging="360"/>
      </w:pPr>
      <w:rPr>
        <w:rFonts w:asciiTheme="minorHAnsi" w:hAnsiTheme="minorHAnsi"/>
        <w:iCs/>
        <w:sz w:val="24"/>
      </w:rPr>
    </w:lvl>
    <w:lvl w:ilvl="1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7A2B69"/>
    <w:multiLevelType w:val="multilevel"/>
    <w:tmpl w:val="BEF2CD5E"/>
    <w:styleLink w:val="Bulletcalibrisub1"/>
    <w:lvl w:ilvl="0">
      <w:start w:val="1"/>
      <w:numFmt w:val="bullet"/>
      <w:lvlText w:val="-"/>
      <w:lvlJc w:val="left"/>
      <w:pPr>
        <w:ind w:left="2160" w:hanging="360"/>
      </w:pPr>
      <w:rPr>
        <w:rFonts w:asciiTheme="minorHAnsi" w:hAnsiTheme="minorHAnsi"/>
        <w:bCs/>
        <w:sz w:val="24"/>
      </w:rPr>
    </w:lvl>
    <w:lvl w:ilvl="1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AC5301A"/>
    <w:multiLevelType w:val="multilevel"/>
    <w:tmpl w:val="4FC21784"/>
    <w:lvl w:ilvl="0">
      <w:start w:val="1"/>
      <w:numFmt w:val="upperLetter"/>
      <w:pStyle w:val="Heading-Appendix1"/>
      <w:lvlText w:val="Appendix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-Appendix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-Appendix3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C8374D3"/>
    <w:multiLevelType w:val="hybridMultilevel"/>
    <w:tmpl w:val="225A1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7D04F1"/>
    <w:multiLevelType w:val="hybridMultilevel"/>
    <w:tmpl w:val="31CE2A68"/>
    <w:lvl w:ilvl="0" w:tplc="23584712">
      <w:start w:val="1"/>
      <w:numFmt w:val="bullet"/>
      <w:pStyle w:val="Bullet3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7B570A"/>
    <w:multiLevelType w:val="hybridMultilevel"/>
    <w:tmpl w:val="ADAE9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CD495A"/>
    <w:multiLevelType w:val="hybridMultilevel"/>
    <w:tmpl w:val="46FEF860"/>
    <w:lvl w:ilvl="0" w:tplc="3EBAC0F0">
      <w:start w:val="1"/>
      <w:numFmt w:val="bullet"/>
      <w:pStyle w:val="Bullet2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DB835C1"/>
    <w:multiLevelType w:val="hybridMultilevel"/>
    <w:tmpl w:val="D284CB28"/>
    <w:lvl w:ilvl="0" w:tplc="7C485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4E9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C1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345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0CC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6F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67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986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4EB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DF136EC"/>
    <w:multiLevelType w:val="hybridMultilevel"/>
    <w:tmpl w:val="65B8C314"/>
    <w:lvl w:ilvl="0" w:tplc="02BC4A66">
      <w:start w:val="1"/>
      <w:numFmt w:val="bullet"/>
      <w:pStyle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4"/>
        <w:vertAlign w:val="baseline"/>
      </w:rPr>
    </w:lvl>
    <w:lvl w:ilvl="1" w:tplc="8C52CD36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2102ED"/>
    <w:multiLevelType w:val="hybridMultilevel"/>
    <w:tmpl w:val="C53C2512"/>
    <w:lvl w:ilvl="0" w:tplc="A5A2D96C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7EFE78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0"/>
      </w:rPr>
    </w:lvl>
    <w:lvl w:ilvl="2" w:tplc="2C0E65FA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BABEF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9A0BB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84931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3E7F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1E978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60C0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5662C5"/>
    <w:multiLevelType w:val="hybridMultilevel"/>
    <w:tmpl w:val="EA28B22E"/>
    <w:lvl w:ilvl="0" w:tplc="10C21EA2">
      <w:start w:val="1"/>
      <w:numFmt w:val="decimal"/>
      <w:pStyle w:val="Reference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D7FC7"/>
    <w:multiLevelType w:val="hybridMultilevel"/>
    <w:tmpl w:val="AB4AB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D70F1"/>
    <w:multiLevelType w:val="multilevel"/>
    <w:tmpl w:val="1EBEC264"/>
    <w:lvl w:ilvl="0">
      <w:start w:val="1"/>
      <w:numFmt w:val="decimal"/>
      <w:pStyle w:val="Heading1"/>
      <w:lvlText w:val="%1."/>
      <w:lvlJc w:val="left"/>
      <w:pPr>
        <w:ind w:left="504" w:hanging="504"/>
      </w:pPr>
      <w:rPr>
        <w:rFonts w:ascii="Arial Bold" w:hAnsi="Arial Bold" w:hint="default"/>
        <w:b/>
        <w:i w:val="0"/>
        <w:sz w:val="36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3D802583"/>
    <w:multiLevelType w:val="hybridMultilevel"/>
    <w:tmpl w:val="06C40F06"/>
    <w:lvl w:ilvl="0" w:tplc="CAFCD268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AD3CAA"/>
    <w:multiLevelType w:val="hybridMultilevel"/>
    <w:tmpl w:val="00A8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257909"/>
    <w:multiLevelType w:val="hybridMultilevel"/>
    <w:tmpl w:val="65029310"/>
    <w:lvl w:ilvl="0" w:tplc="E416E004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D517E0"/>
    <w:multiLevelType w:val="hybridMultilevel"/>
    <w:tmpl w:val="F83A6FAC"/>
    <w:lvl w:ilvl="0" w:tplc="AD263170">
      <w:start w:val="708"/>
      <w:numFmt w:val="bullet"/>
      <w:lvlText w:val="-"/>
      <w:lvlJc w:val="left"/>
      <w:pPr>
        <w:ind w:left="396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9">
    <w:nsid w:val="59391FEF"/>
    <w:multiLevelType w:val="hybridMultilevel"/>
    <w:tmpl w:val="B10A4AFA"/>
    <w:lvl w:ilvl="0" w:tplc="F0DA7B4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1E3BBA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4472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B0DB9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1EDD4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A0609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F0E8A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DA8E4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708B0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A484D3C"/>
    <w:multiLevelType w:val="hybridMultilevel"/>
    <w:tmpl w:val="F4BEE34E"/>
    <w:lvl w:ilvl="0" w:tplc="56ECF608">
      <w:start w:val="1"/>
      <w:numFmt w:val="bullet"/>
      <w:lvlText w:val="•"/>
      <w:lvlJc w:val="left"/>
      <w:pPr>
        <w:tabs>
          <w:tab w:val="num" w:pos="450"/>
        </w:tabs>
        <w:ind w:left="450" w:hanging="360"/>
      </w:pPr>
      <w:rPr>
        <w:rFonts w:ascii="Arial" w:hAnsi="Arial" w:hint="default"/>
      </w:rPr>
    </w:lvl>
    <w:lvl w:ilvl="1" w:tplc="124EB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A5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A67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848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01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9CE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54F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EE7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D7D5B87"/>
    <w:multiLevelType w:val="hybridMultilevel"/>
    <w:tmpl w:val="0910294A"/>
    <w:lvl w:ilvl="0" w:tplc="87EE4A88">
      <w:start w:val="1"/>
      <w:numFmt w:val="bullet"/>
      <w:pStyle w:val="Table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EE41CE4"/>
    <w:multiLevelType w:val="hybridMultilevel"/>
    <w:tmpl w:val="46A0F3A2"/>
    <w:lvl w:ilvl="0" w:tplc="F69C8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98F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DC0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09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CC5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96F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900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3A6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AC3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64820B9"/>
    <w:multiLevelType w:val="hybridMultilevel"/>
    <w:tmpl w:val="2F7C0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B63636"/>
    <w:multiLevelType w:val="hybridMultilevel"/>
    <w:tmpl w:val="FCD4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60103B"/>
    <w:multiLevelType w:val="hybridMultilevel"/>
    <w:tmpl w:val="B5368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672A5D"/>
    <w:multiLevelType w:val="hybridMultilevel"/>
    <w:tmpl w:val="FCE6A0B8"/>
    <w:lvl w:ilvl="0" w:tplc="3020AF9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AC673B4">
      <w:start w:val="122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1400F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7DA6EF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5A2C43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1C6F3F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79E2F5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984276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75EC52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>
    <w:nsid w:val="7F7A4271"/>
    <w:multiLevelType w:val="hybridMultilevel"/>
    <w:tmpl w:val="D9E495AA"/>
    <w:lvl w:ilvl="0" w:tplc="07DA9E86">
      <w:start w:val="1"/>
      <w:numFmt w:val="bullet"/>
      <w:pStyle w:val="BulletSecondLevel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1"/>
  </w:num>
  <w:num w:numId="4">
    <w:abstractNumId w:val="8"/>
  </w:num>
  <w:num w:numId="5">
    <w:abstractNumId w:val="6"/>
  </w:num>
  <w:num w:numId="6">
    <w:abstractNumId w:val="15"/>
  </w:num>
  <w:num w:numId="7">
    <w:abstractNumId w:val="10"/>
  </w:num>
  <w:num w:numId="8">
    <w:abstractNumId w:val="27"/>
  </w:num>
  <w:num w:numId="9">
    <w:abstractNumId w:val="1"/>
  </w:num>
  <w:num w:numId="10">
    <w:abstractNumId w:val="4"/>
  </w:num>
  <w:num w:numId="11">
    <w:abstractNumId w:val="12"/>
  </w:num>
  <w:num w:numId="12">
    <w:abstractNumId w:val="21"/>
  </w:num>
  <w:num w:numId="13">
    <w:abstractNumId w:val="1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  <w:num w:numId="17">
    <w:abstractNumId w:val="9"/>
  </w:num>
  <w:num w:numId="18">
    <w:abstractNumId w:val="22"/>
  </w:num>
  <w:num w:numId="1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0"/>
  </w:num>
  <w:num w:numId="23">
    <w:abstractNumId w:val="18"/>
  </w:num>
  <w:num w:numId="24">
    <w:abstractNumId w:val="26"/>
  </w:num>
  <w:num w:numId="25">
    <w:abstractNumId w:val="19"/>
  </w:num>
  <w:num w:numId="26">
    <w:abstractNumId w:val="20"/>
  </w:num>
  <w:num w:numId="27">
    <w:abstractNumId w:val="4"/>
  </w:num>
  <w:num w:numId="28">
    <w:abstractNumId w:val="23"/>
  </w:num>
  <w:num w:numId="29">
    <w:abstractNumId w:val="7"/>
  </w:num>
  <w:num w:numId="30">
    <w:abstractNumId w:val="13"/>
  </w:num>
  <w:num w:numId="31">
    <w:abstractNumId w:val="25"/>
  </w:num>
  <w:num w:numId="32">
    <w:abstractNumId w:val="5"/>
  </w:num>
  <w:num w:numId="33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C0"/>
    <w:rsid w:val="000040E4"/>
    <w:rsid w:val="00024706"/>
    <w:rsid w:val="00026A2D"/>
    <w:rsid w:val="000312B1"/>
    <w:rsid w:val="000341AD"/>
    <w:rsid w:val="00037854"/>
    <w:rsid w:val="00041324"/>
    <w:rsid w:val="0004437F"/>
    <w:rsid w:val="0004446B"/>
    <w:rsid w:val="00045128"/>
    <w:rsid w:val="000454B3"/>
    <w:rsid w:val="00047E35"/>
    <w:rsid w:val="000505DA"/>
    <w:rsid w:val="00053F34"/>
    <w:rsid w:val="00054112"/>
    <w:rsid w:val="00054BA7"/>
    <w:rsid w:val="00054E80"/>
    <w:rsid w:val="00056A38"/>
    <w:rsid w:val="0005746A"/>
    <w:rsid w:val="00060EC3"/>
    <w:rsid w:val="00065C0C"/>
    <w:rsid w:val="00066EA8"/>
    <w:rsid w:val="00072237"/>
    <w:rsid w:val="00072C61"/>
    <w:rsid w:val="00072E99"/>
    <w:rsid w:val="000760C3"/>
    <w:rsid w:val="00076578"/>
    <w:rsid w:val="00077462"/>
    <w:rsid w:val="000810C6"/>
    <w:rsid w:val="0008277F"/>
    <w:rsid w:val="00084C35"/>
    <w:rsid w:val="00086663"/>
    <w:rsid w:val="000909A1"/>
    <w:rsid w:val="00090FE7"/>
    <w:rsid w:val="000964D2"/>
    <w:rsid w:val="000A02D3"/>
    <w:rsid w:val="000A0E5E"/>
    <w:rsid w:val="000A1B94"/>
    <w:rsid w:val="000A290C"/>
    <w:rsid w:val="000A4EE9"/>
    <w:rsid w:val="000A6766"/>
    <w:rsid w:val="000A6A0C"/>
    <w:rsid w:val="000B472E"/>
    <w:rsid w:val="000B4BC4"/>
    <w:rsid w:val="000C02A0"/>
    <w:rsid w:val="000C4013"/>
    <w:rsid w:val="000C6988"/>
    <w:rsid w:val="000C7BA2"/>
    <w:rsid w:val="000D1077"/>
    <w:rsid w:val="000D3DC6"/>
    <w:rsid w:val="000D436E"/>
    <w:rsid w:val="000D6547"/>
    <w:rsid w:val="000D6A5C"/>
    <w:rsid w:val="000E3363"/>
    <w:rsid w:val="000E39DA"/>
    <w:rsid w:val="000E7CBD"/>
    <w:rsid w:val="000E7FE5"/>
    <w:rsid w:val="000F4346"/>
    <w:rsid w:val="000F4C8B"/>
    <w:rsid w:val="000F4E30"/>
    <w:rsid w:val="00103077"/>
    <w:rsid w:val="001043F8"/>
    <w:rsid w:val="001102DF"/>
    <w:rsid w:val="00111B10"/>
    <w:rsid w:val="00116816"/>
    <w:rsid w:val="00126523"/>
    <w:rsid w:val="00133016"/>
    <w:rsid w:val="001330F0"/>
    <w:rsid w:val="00142ADB"/>
    <w:rsid w:val="00144F4D"/>
    <w:rsid w:val="0015028A"/>
    <w:rsid w:val="001515FF"/>
    <w:rsid w:val="00153DC2"/>
    <w:rsid w:val="001575FD"/>
    <w:rsid w:val="00162FBC"/>
    <w:rsid w:val="0016648D"/>
    <w:rsid w:val="00173FEE"/>
    <w:rsid w:val="0017480C"/>
    <w:rsid w:val="00175221"/>
    <w:rsid w:val="00177337"/>
    <w:rsid w:val="00184D90"/>
    <w:rsid w:val="00185DF9"/>
    <w:rsid w:val="00193A58"/>
    <w:rsid w:val="0019675A"/>
    <w:rsid w:val="001B215C"/>
    <w:rsid w:val="001B7ADF"/>
    <w:rsid w:val="001C239F"/>
    <w:rsid w:val="001C381F"/>
    <w:rsid w:val="001C4F8F"/>
    <w:rsid w:val="001D0086"/>
    <w:rsid w:val="001D1167"/>
    <w:rsid w:val="001D3968"/>
    <w:rsid w:val="001D4CAC"/>
    <w:rsid w:val="001D55B3"/>
    <w:rsid w:val="001D6C2B"/>
    <w:rsid w:val="001D7A38"/>
    <w:rsid w:val="001E0775"/>
    <w:rsid w:val="001F1CAB"/>
    <w:rsid w:val="001F54A7"/>
    <w:rsid w:val="00200ECC"/>
    <w:rsid w:val="00201CBF"/>
    <w:rsid w:val="002049D3"/>
    <w:rsid w:val="002065B0"/>
    <w:rsid w:val="002123E6"/>
    <w:rsid w:val="00212857"/>
    <w:rsid w:val="002134EB"/>
    <w:rsid w:val="00215CAC"/>
    <w:rsid w:val="00217E78"/>
    <w:rsid w:val="00221C2E"/>
    <w:rsid w:val="00224E28"/>
    <w:rsid w:val="002301D9"/>
    <w:rsid w:val="00233EFF"/>
    <w:rsid w:val="002363B2"/>
    <w:rsid w:val="00236655"/>
    <w:rsid w:val="00237D55"/>
    <w:rsid w:val="0024531E"/>
    <w:rsid w:val="00246D0F"/>
    <w:rsid w:val="00250EE4"/>
    <w:rsid w:val="00251B68"/>
    <w:rsid w:val="00252D67"/>
    <w:rsid w:val="00254F38"/>
    <w:rsid w:val="002565C5"/>
    <w:rsid w:val="00257AC8"/>
    <w:rsid w:val="00260381"/>
    <w:rsid w:val="002632C5"/>
    <w:rsid w:val="00270B2F"/>
    <w:rsid w:val="00282891"/>
    <w:rsid w:val="00290587"/>
    <w:rsid w:val="00296319"/>
    <w:rsid w:val="00297678"/>
    <w:rsid w:val="002A144D"/>
    <w:rsid w:val="002A20E4"/>
    <w:rsid w:val="002A560A"/>
    <w:rsid w:val="002A6FCE"/>
    <w:rsid w:val="002A74AF"/>
    <w:rsid w:val="002B09D1"/>
    <w:rsid w:val="002B1AEA"/>
    <w:rsid w:val="002B20C4"/>
    <w:rsid w:val="002B27D3"/>
    <w:rsid w:val="002C134E"/>
    <w:rsid w:val="002C2D90"/>
    <w:rsid w:val="002C306C"/>
    <w:rsid w:val="002C3B7A"/>
    <w:rsid w:val="002C5423"/>
    <w:rsid w:val="002C5458"/>
    <w:rsid w:val="002C5AF6"/>
    <w:rsid w:val="002D1DD6"/>
    <w:rsid w:val="002D3624"/>
    <w:rsid w:val="002D4656"/>
    <w:rsid w:val="002D56BC"/>
    <w:rsid w:val="002E089B"/>
    <w:rsid w:val="002E09A4"/>
    <w:rsid w:val="002E32C9"/>
    <w:rsid w:val="002E473A"/>
    <w:rsid w:val="002F3378"/>
    <w:rsid w:val="002F46EC"/>
    <w:rsid w:val="002F67AA"/>
    <w:rsid w:val="002F6ABF"/>
    <w:rsid w:val="002F7A7F"/>
    <w:rsid w:val="00304F6F"/>
    <w:rsid w:val="00307054"/>
    <w:rsid w:val="003149A4"/>
    <w:rsid w:val="003161F8"/>
    <w:rsid w:val="00323C7E"/>
    <w:rsid w:val="00325E83"/>
    <w:rsid w:val="0032666F"/>
    <w:rsid w:val="003279D2"/>
    <w:rsid w:val="00334C0A"/>
    <w:rsid w:val="0033620D"/>
    <w:rsid w:val="00340977"/>
    <w:rsid w:val="003458C9"/>
    <w:rsid w:val="00346264"/>
    <w:rsid w:val="00351166"/>
    <w:rsid w:val="00351B8C"/>
    <w:rsid w:val="003522CE"/>
    <w:rsid w:val="003626FF"/>
    <w:rsid w:val="00364AE5"/>
    <w:rsid w:val="00367B5D"/>
    <w:rsid w:val="0037494D"/>
    <w:rsid w:val="003774CF"/>
    <w:rsid w:val="00380477"/>
    <w:rsid w:val="00390CA5"/>
    <w:rsid w:val="003953F7"/>
    <w:rsid w:val="0039743C"/>
    <w:rsid w:val="003A0296"/>
    <w:rsid w:val="003A3744"/>
    <w:rsid w:val="003A5E04"/>
    <w:rsid w:val="003B3A9E"/>
    <w:rsid w:val="003B4535"/>
    <w:rsid w:val="003B7112"/>
    <w:rsid w:val="003C7269"/>
    <w:rsid w:val="003D10E9"/>
    <w:rsid w:val="003D1346"/>
    <w:rsid w:val="003D46E6"/>
    <w:rsid w:val="003E1393"/>
    <w:rsid w:val="003F05DB"/>
    <w:rsid w:val="003F08EA"/>
    <w:rsid w:val="003F264A"/>
    <w:rsid w:val="003F540B"/>
    <w:rsid w:val="003F7021"/>
    <w:rsid w:val="0040266B"/>
    <w:rsid w:val="00403C73"/>
    <w:rsid w:val="0040664A"/>
    <w:rsid w:val="00411AB7"/>
    <w:rsid w:val="00411DAB"/>
    <w:rsid w:val="00414434"/>
    <w:rsid w:val="004145DE"/>
    <w:rsid w:val="00422BDA"/>
    <w:rsid w:val="00422DFD"/>
    <w:rsid w:val="00422F18"/>
    <w:rsid w:val="004246DE"/>
    <w:rsid w:val="00425821"/>
    <w:rsid w:val="004271B5"/>
    <w:rsid w:val="00427371"/>
    <w:rsid w:val="00433ECE"/>
    <w:rsid w:val="004342D3"/>
    <w:rsid w:val="00437CAE"/>
    <w:rsid w:val="00440CE8"/>
    <w:rsid w:val="00441EE7"/>
    <w:rsid w:val="00442A2A"/>
    <w:rsid w:val="00442B95"/>
    <w:rsid w:val="00447374"/>
    <w:rsid w:val="0045034D"/>
    <w:rsid w:val="00450F1D"/>
    <w:rsid w:val="00450F84"/>
    <w:rsid w:val="00451AA6"/>
    <w:rsid w:val="00464E55"/>
    <w:rsid w:val="00466AFA"/>
    <w:rsid w:val="00466FAB"/>
    <w:rsid w:val="00467B54"/>
    <w:rsid w:val="00476D8E"/>
    <w:rsid w:val="00485028"/>
    <w:rsid w:val="00485E18"/>
    <w:rsid w:val="00493951"/>
    <w:rsid w:val="004948CD"/>
    <w:rsid w:val="004961C0"/>
    <w:rsid w:val="00497D72"/>
    <w:rsid w:val="004A00DF"/>
    <w:rsid w:val="004A3571"/>
    <w:rsid w:val="004A7C51"/>
    <w:rsid w:val="004B2834"/>
    <w:rsid w:val="004B29E4"/>
    <w:rsid w:val="004B56BB"/>
    <w:rsid w:val="004B5A80"/>
    <w:rsid w:val="004B6609"/>
    <w:rsid w:val="004B7879"/>
    <w:rsid w:val="004B7D85"/>
    <w:rsid w:val="004C5830"/>
    <w:rsid w:val="004C6719"/>
    <w:rsid w:val="004D568E"/>
    <w:rsid w:val="004D6712"/>
    <w:rsid w:val="004E064E"/>
    <w:rsid w:val="004E3D0A"/>
    <w:rsid w:val="004E533F"/>
    <w:rsid w:val="004F1635"/>
    <w:rsid w:val="004F2925"/>
    <w:rsid w:val="004F6106"/>
    <w:rsid w:val="00502108"/>
    <w:rsid w:val="0050296B"/>
    <w:rsid w:val="00502FFC"/>
    <w:rsid w:val="00520E48"/>
    <w:rsid w:val="00521D34"/>
    <w:rsid w:val="00536B8D"/>
    <w:rsid w:val="005428E8"/>
    <w:rsid w:val="005504B4"/>
    <w:rsid w:val="00551367"/>
    <w:rsid w:val="005517CF"/>
    <w:rsid w:val="00556113"/>
    <w:rsid w:val="00560CA4"/>
    <w:rsid w:val="00560DBC"/>
    <w:rsid w:val="005629BB"/>
    <w:rsid w:val="00563384"/>
    <w:rsid w:val="00563A10"/>
    <w:rsid w:val="005644F6"/>
    <w:rsid w:val="005660AC"/>
    <w:rsid w:val="00571070"/>
    <w:rsid w:val="00573200"/>
    <w:rsid w:val="00575EA1"/>
    <w:rsid w:val="00576763"/>
    <w:rsid w:val="00577F8B"/>
    <w:rsid w:val="00577FEA"/>
    <w:rsid w:val="00590C75"/>
    <w:rsid w:val="0059434A"/>
    <w:rsid w:val="005960E1"/>
    <w:rsid w:val="0059630D"/>
    <w:rsid w:val="005A321D"/>
    <w:rsid w:val="005B064E"/>
    <w:rsid w:val="005B2981"/>
    <w:rsid w:val="005C2BD9"/>
    <w:rsid w:val="005C2C8D"/>
    <w:rsid w:val="005C530E"/>
    <w:rsid w:val="005C5FF9"/>
    <w:rsid w:val="005D1FCD"/>
    <w:rsid w:val="005D613D"/>
    <w:rsid w:val="005E3724"/>
    <w:rsid w:val="005F0EA7"/>
    <w:rsid w:val="005F19F8"/>
    <w:rsid w:val="005F4DD9"/>
    <w:rsid w:val="005F54F8"/>
    <w:rsid w:val="005F73EC"/>
    <w:rsid w:val="006029BD"/>
    <w:rsid w:val="006055FD"/>
    <w:rsid w:val="00605976"/>
    <w:rsid w:val="00607F90"/>
    <w:rsid w:val="00611938"/>
    <w:rsid w:val="00612F60"/>
    <w:rsid w:val="00614DC0"/>
    <w:rsid w:val="0061509B"/>
    <w:rsid w:val="006154D4"/>
    <w:rsid w:val="0061559D"/>
    <w:rsid w:val="00617092"/>
    <w:rsid w:val="006247C9"/>
    <w:rsid w:val="0062564F"/>
    <w:rsid w:val="00627081"/>
    <w:rsid w:val="0063439F"/>
    <w:rsid w:val="00636406"/>
    <w:rsid w:val="00637788"/>
    <w:rsid w:val="006405A0"/>
    <w:rsid w:val="00640A0F"/>
    <w:rsid w:val="00651F03"/>
    <w:rsid w:val="00655BA9"/>
    <w:rsid w:val="0067117A"/>
    <w:rsid w:val="006726B8"/>
    <w:rsid w:val="00674A6A"/>
    <w:rsid w:val="0067637E"/>
    <w:rsid w:val="0068738D"/>
    <w:rsid w:val="00687741"/>
    <w:rsid w:val="006A05E5"/>
    <w:rsid w:val="006A2E49"/>
    <w:rsid w:val="006A3B39"/>
    <w:rsid w:val="006B2EE1"/>
    <w:rsid w:val="006B413B"/>
    <w:rsid w:val="006C033C"/>
    <w:rsid w:val="006C19C2"/>
    <w:rsid w:val="006C35E3"/>
    <w:rsid w:val="006D1CC8"/>
    <w:rsid w:val="006D453F"/>
    <w:rsid w:val="006D7F28"/>
    <w:rsid w:val="006E26C4"/>
    <w:rsid w:val="006E6672"/>
    <w:rsid w:val="006F1630"/>
    <w:rsid w:val="006F1D80"/>
    <w:rsid w:val="006F3BE4"/>
    <w:rsid w:val="006F65C2"/>
    <w:rsid w:val="00703A76"/>
    <w:rsid w:val="00706510"/>
    <w:rsid w:val="0071214F"/>
    <w:rsid w:val="00712406"/>
    <w:rsid w:val="0071439F"/>
    <w:rsid w:val="00716226"/>
    <w:rsid w:val="00717FF0"/>
    <w:rsid w:val="00734EF7"/>
    <w:rsid w:val="00735890"/>
    <w:rsid w:val="00736025"/>
    <w:rsid w:val="00742D2F"/>
    <w:rsid w:val="007507F4"/>
    <w:rsid w:val="00752B25"/>
    <w:rsid w:val="007532FF"/>
    <w:rsid w:val="0075369B"/>
    <w:rsid w:val="007556D8"/>
    <w:rsid w:val="00755BF9"/>
    <w:rsid w:val="00760D0F"/>
    <w:rsid w:val="007613F6"/>
    <w:rsid w:val="007636F0"/>
    <w:rsid w:val="00767399"/>
    <w:rsid w:val="00767B18"/>
    <w:rsid w:val="00770E9C"/>
    <w:rsid w:val="0077406D"/>
    <w:rsid w:val="007801FE"/>
    <w:rsid w:val="00784073"/>
    <w:rsid w:val="00784D43"/>
    <w:rsid w:val="00785161"/>
    <w:rsid w:val="00792411"/>
    <w:rsid w:val="00797F67"/>
    <w:rsid w:val="007A280A"/>
    <w:rsid w:val="007A4D2D"/>
    <w:rsid w:val="007A641C"/>
    <w:rsid w:val="007B1908"/>
    <w:rsid w:val="007B738B"/>
    <w:rsid w:val="007C316C"/>
    <w:rsid w:val="007C46B6"/>
    <w:rsid w:val="007E4C10"/>
    <w:rsid w:val="007E5C49"/>
    <w:rsid w:val="007E5D03"/>
    <w:rsid w:val="007F53A4"/>
    <w:rsid w:val="00800F56"/>
    <w:rsid w:val="008046EA"/>
    <w:rsid w:val="00805D4A"/>
    <w:rsid w:val="00806E1D"/>
    <w:rsid w:val="008101E1"/>
    <w:rsid w:val="008130AC"/>
    <w:rsid w:val="00817B34"/>
    <w:rsid w:val="008218B8"/>
    <w:rsid w:val="00825DA4"/>
    <w:rsid w:val="00834D61"/>
    <w:rsid w:val="008373CA"/>
    <w:rsid w:val="00837D3E"/>
    <w:rsid w:val="00845760"/>
    <w:rsid w:val="00851936"/>
    <w:rsid w:val="00852777"/>
    <w:rsid w:val="00854DCB"/>
    <w:rsid w:val="00860EE8"/>
    <w:rsid w:val="00867AE7"/>
    <w:rsid w:val="0087132C"/>
    <w:rsid w:val="008756DA"/>
    <w:rsid w:val="008800CB"/>
    <w:rsid w:val="00883F50"/>
    <w:rsid w:val="00890470"/>
    <w:rsid w:val="0089124E"/>
    <w:rsid w:val="008935F7"/>
    <w:rsid w:val="00893A98"/>
    <w:rsid w:val="00895B3C"/>
    <w:rsid w:val="008A11BA"/>
    <w:rsid w:val="008A4519"/>
    <w:rsid w:val="008A5AC4"/>
    <w:rsid w:val="008A6715"/>
    <w:rsid w:val="008A713F"/>
    <w:rsid w:val="008B0E34"/>
    <w:rsid w:val="008B28B2"/>
    <w:rsid w:val="008B357C"/>
    <w:rsid w:val="008B521C"/>
    <w:rsid w:val="008B629F"/>
    <w:rsid w:val="008C078C"/>
    <w:rsid w:val="008C0935"/>
    <w:rsid w:val="008C12FE"/>
    <w:rsid w:val="008D1ACC"/>
    <w:rsid w:val="008D1D4C"/>
    <w:rsid w:val="008D2944"/>
    <w:rsid w:val="008D3639"/>
    <w:rsid w:val="008D780F"/>
    <w:rsid w:val="008D7BEB"/>
    <w:rsid w:val="008E0070"/>
    <w:rsid w:val="008E08BF"/>
    <w:rsid w:val="008E2BB7"/>
    <w:rsid w:val="008E43CA"/>
    <w:rsid w:val="008E68AA"/>
    <w:rsid w:val="008F1000"/>
    <w:rsid w:val="008F2035"/>
    <w:rsid w:val="008F6ABC"/>
    <w:rsid w:val="00913FAB"/>
    <w:rsid w:val="0092095A"/>
    <w:rsid w:val="00921990"/>
    <w:rsid w:val="009319F8"/>
    <w:rsid w:val="009331BF"/>
    <w:rsid w:val="00936D15"/>
    <w:rsid w:val="00942FC3"/>
    <w:rsid w:val="00946B6C"/>
    <w:rsid w:val="0095401E"/>
    <w:rsid w:val="009621F2"/>
    <w:rsid w:val="00963671"/>
    <w:rsid w:val="00967188"/>
    <w:rsid w:val="0096756A"/>
    <w:rsid w:val="00970DDD"/>
    <w:rsid w:val="009715B7"/>
    <w:rsid w:val="009737D5"/>
    <w:rsid w:val="00974B56"/>
    <w:rsid w:val="009750D2"/>
    <w:rsid w:val="009840F7"/>
    <w:rsid w:val="009916F1"/>
    <w:rsid w:val="00991A26"/>
    <w:rsid w:val="00993CBA"/>
    <w:rsid w:val="0099419C"/>
    <w:rsid w:val="009A315C"/>
    <w:rsid w:val="009A43F7"/>
    <w:rsid w:val="009A5100"/>
    <w:rsid w:val="009B2721"/>
    <w:rsid w:val="009B2867"/>
    <w:rsid w:val="009B3F16"/>
    <w:rsid w:val="009B7970"/>
    <w:rsid w:val="009C1D4E"/>
    <w:rsid w:val="009D3B53"/>
    <w:rsid w:val="009E039C"/>
    <w:rsid w:val="009E50D9"/>
    <w:rsid w:val="009E591B"/>
    <w:rsid w:val="009F0082"/>
    <w:rsid w:val="009F0382"/>
    <w:rsid w:val="009F269F"/>
    <w:rsid w:val="009F2F96"/>
    <w:rsid w:val="009F3D66"/>
    <w:rsid w:val="009F4C5C"/>
    <w:rsid w:val="009F5555"/>
    <w:rsid w:val="009F7354"/>
    <w:rsid w:val="009F772F"/>
    <w:rsid w:val="00A00CD8"/>
    <w:rsid w:val="00A0207A"/>
    <w:rsid w:val="00A03E34"/>
    <w:rsid w:val="00A063E0"/>
    <w:rsid w:val="00A064B6"/>
    <w:rsid w:val="00A0697D"/>
    <w:rsid w:val="00A10AFB"/>
    <w:rsid w:val="00A13AB1"/>
    <w:rsid w:val="00A14EBB"/>
    <w:rsid w:val="00A152EA"/>
    <w:rsid w:val="00A16A19"/>
    <w:rsid w:val="00A16BBE"/>
    <w:rsid w:val="00A2026F"/>
    <w:rsid w:val="00A20311"/>
    <w:rsid w:val="00A22E99"/>
    <w:rsid w:val="00A23389"/>
    <w:rsid w:val="00A26A98"/>
    <w:rsid w:val="00A31DB6"/>
    <w:rsid w:val="00A4196F"/>
    <w:rsid w:val="00A47392"/>
    <w:rsid w:val="00A55E5D"/>
    <w:rsid w:val="00A6387E"/>
    <w:rsid w:val="00A6653A"/>
    <w:rsid w:val="00A711F8"/>
    <w:rsid w:val="00A7165E"/>
    <w:rsid w:val="00A71AA3"/>
    <w:rsid w:val="00A74180"/>
    <w:rsid w:val="00A7556E"/>
    <w:rsid w:val="00A76B5B"/>
    <w:rsid w:val="00A77E40"/>
    <w:rsid w:val="00A80D9F"/>
    <w:rsid w:val="00A814B3"/>
    <w:rsid w:val="00A87362"/>
    <w:rsid w:val="00A91A20"/>
    <w:rsid w:val="00A92F08"/>
    <w:rsid w:val="00A94135"/>
    <w:rsid w:val="00A942F4"/>
    <w:rsid w:val="00A96999"/>
    <w:rsid w:val="00AA1857"/>
    <w:rsid w:val="00AA27DB"/>
    <w:rsid w:val="00AA28CD"/>
    <w:rsid w:val="00AA42DA"/>
    <w:rsid w:val="00AA6379"/>
    <w:rsid w:val="00AA698C"/>
    <w:rsid w:val="00AB0218"/>
    <w:rsid w:val="00AB0A49"/>
    <w:rsid w:val="00AB13D8"/>
    <w:rsid w:val="00AB3D30"/>
    <w:rsid w:val="00AB4DDE"/>
    <w:rsid w:val="00AB58F8"/>
    <w:rsid w:val="00AB7A5E"/>
    <w:rsid w:val="00AC33EF"/>
    <w:rsid w:val="00AC66D8"/>
    <w:rsid w:val="00AD1167"/>
    <w:rsid w:val="00AD1934"/>
    <w:rsid w:val="00AD26C0"/>
    <w:rsid w:val="00AD318D"/>
    <w:rsid w:val="00AD328F"/>
    <w:rsid w:val="00AD3780"/>
    <w:rsid w:val="00AE55A9"/>
    <w:rsid w:val="00AE72BD"/>
    <w:rsid w:val="00AE73B2"/>
    <w:rsid w:val="00AF0504"/>
    <w:rsid w:val="00AF482E"/>
    <w:rsid w:val="00AF526D"/>
    <w:rsid w:val="00AF5E7B"/>
    <w:rsid w:val="00AF6549"/>
    <w:rsid w:val="00AF6658"/>
    <w:rsid w:val="00B01522"/>
    <w:rsid w:val="00B02BED"/>
    <w:rsid w:val="00B03317"/>
    <w:rsid w:val="00B104F4"/>
    <w:rsid w:val="00B125D1"/>
    <w:rsid w:val="00B14869"/>
    <w:rsid w:val="00B16D73"/>
    <w:rsid w:val="00B17714"/>
    <w:rsid w:val="00B1782E"/>
    <w:rsid w:val="00B178D0"/>
    <w:rsid w:val="00B20E88"/>
    <w:rsid w:val="00B248C9"/>
    <w:rsid w:val="00B265ED"/>
    <w:rsid w:val="00B269D4"/>
    <w:rsid w:val="00B30647"/>
    <w:rsid w:val="00B3365D"/>
    <w:rsid w:val="00B506E0"/>
    <w:rsid w:val="00B51863"/>
    <w:rsid w:val="00B52DC3"/>
    <w:rsid w:val="00B57A63"/>
    <w:rsid w:val="00B63256"/>
    <w:rsid w:val="00B63439"/>
    <w:rsid w:val="00B64435"/>
    <w:rsid w:val="00B6577F"/>
    <w:rsid w:val="00B7492F"/>
    <w:rsid w:val="00B7526A"/>
    <w:rsid w:val="00B75E73"/>
    <w:rsid w:val="00B8005E"/>
    <w:rsid w:val="00B816CD"/>
    <w:rsid w:val="00B82B93"/>
    <w:rsid w:val="00B85E54"/>
    <w:rsid w:val="00B86988"/>
    <w:rsid w:val="00B86C2D"/>
    <w:rsid w:val="00B91F1E"/>
    <w:rsid w:val="00B928E4"/>
    <w:rsid w:val="00B92C5A"/>
    <w:rsid w:val="00B93150"/>
    <w:rsid w:val="00B93BD8"/>
    <w:rsid w:val="00B95C74"/>
    <w:rsid w:val="00B97045"/>
    <w:rsid w:val="00BA073E"/>
    <w:rsid w:val="00BA33FC"/>
    <w:rsid w:val="00BA5ECB"/>
    <w:rsid w:val="00BB0001"/>
    <w:rsid w:val="00BB1663"/>
    <w:rsid w:val="00BB6A17"/>
    <w:rsid w:val="00BB75EC"/>
    <w:rsid w:val="00BC0F34"/>
    <w:rsid w:val="00BC3365"/>
    <w:rsid w:val="00BC35A5"/>
    <w:rsid w:val="00BD235D"/>
    <w:rsid w:val="00BD24B8"/>
    <w:rsid w:val="00BD254B"/>
    <w:rsid w:val="00BD3897"/>
    <w:rsid w:val="00BE17D9"/>
    <w:rsid w:val="00BE3584"/>
    <w:rsid w:val="00BE49B8"/>
    <w:rsid w:val="00BF112D"/>
    <w:rsid w:val="00BF24DF"/>
    <w:rsid w:val="00BF2974"/>
    <w:rsid w:val="00BF2FE0"/>
    <w:rsid w:val="00BF5715"/>
    <w:rsid w:val="00BF5F7F"/>
    <w:rsid w:val="00C1140B"/>
    <w:rsid w:val="00C130EA"/>
    <w:rsid w:val="00C138C6"/>
    <w:rsid w:val="00C13D57"/>
    <w:rsid w:val="00C15500"/>
    <w:rsid w:val="00C15786"/>
    <w:rsid w:val="00C157B1"/>
    <w:rsid w:val="00C16BFC"/>
    <w:rsid w:val="00C16D28"/>
    <w:rsid w:val="00C20EDB"/>
    <w:rsid w:val="00C22264"/>
    <w:rsid w:val="00C2229A"/>
    <w:rsid w:val="00C2294F"/>
    <w:rsid w:val="00C2315A"/>
    <w:rsid w:val="00C24FA3"/>
    <w:rsid w:val="00C25775"/>
    <w:rsid w:val="00C27DD9"/>
    <w:rsid w:val="00C31009"/>
    <w:rsid w:val="00C321A4"/>
    <w:rsid w:val="00C3351A"/>
    <w:rsid w:val="00C347AB"/>
    <w:rsid w:val="00C3573A"/>
    <w:rsid w:val="00C403FB"/>
    <w:rsid w:val="00C40BED"/>
    <w:rsid w:val="00C47674"/>
    <w:rsid w:val="00C47BF3"/>
    <w:rsid w:val="00C60744"/>
    <w:rsid w:val="00C60A2B"/>
    <w:rsid w:val="00C61500"/>
    <w:rsid w:val="00C63416"/>
    <w:rsid w:val="00C650B7"/>
    <w:rsid w:val="00C70268"/>
    <w:rsid w:val="00C73FCE"/>
    <w:rsid w:val="00C74297"/>
    <w:rsid w:val="00C775D3"/>
    <w:rsid w:val="00C83B53"/>
    <w:rsid w:val="00C83F3E"/>
    <w:rsid w:val="00C84EBB"/>
    <w:rsid w:val="00C8524E"/>
    <w:rsid w:val="00C866A0"/>
    <w:rsid w:val="00C9074F"/>
    <w:rsid w:val="00C92961"/>
    <w:rsid w:val="00C95CAF"/>
    <w:rsid w:val="00C95CD3"/>
    <w:rsid w:val="00C96054"/>
    <w:rsid w:val="00CA411A"/>
    <w:rsid w:val="00CA446F"/>
    <w:rsid w:val="00CA5CCA"/>
    <w:rsid w:val="00CA682F"/>
    <w:rsid w:val="00CB120E"/>
    <w:rsid w:val="00CB26F9"/>
    <w:rsid w:val="00CB69C1"/>
    <w:rsid w:val="00CB6BF5"/>
    <w:rsid w:val="00CC00F0"/>
    <w:rsid w:val="00CC3771"/>
    <w:rsid w:val="00CC6AD6"/>
    <w:rsid w:val="00CC6C9D"/>
    <w:rsid w:val="00CD266F"/>
    <w:rsid w:val="00CD478A"/>
    <w:rsid w:val="00CD4906"/>
    <w:rsid w:val="00CD65B6"/>
    <w:rsid w:val="00CE1667"/>
    <w:rsid w:val="00CE1ACA"/>
    <w:rsid w:val="00CE243A"/>
    <w:rsid w:val="00CE550B"/>
    <w:rsid w:val="00CE5BB1"/>
    <w:rsid w:val="00CE5BE4"/>
    <w:rsid w:val="00CE78A0"/>
    <w:rsid w:val="00CE7B64"/>
    <w:rsid w:val="00CF15B5"/>
    <w:rsid w:val="00CF2A18"/>
    <w:rsid w:val="00CF2C54"/>
    <w:rsid w:val="00CF40CE"/>
    <w:rsid w:val="00CF7509"/>
    <w:rsid w:val="00D00B01"/>
    <w:rsid w:val="00D02A67"/>
    <w:rsid w:val="00D02CA4"/>
    <w:rsid w:val="00D049C4"/>
    <w:rsid w:val="00D05841"/>
    <w:rsid w:val="00D07C50"/>
    <w:rsid w:val="00D11AF4"/>
    <w:rsid w:val="00D16E03"/>
    <w:rsid w:val="00D16F92"/>
    <w:rsid w:val="00D22E8D"/>
    <w:rsid w:val="00D248DF"/>
    <w:rsid w:val="00D25AF3"/>
    <w:rsid w:val="00D26D51"/>
    <w:rsid w:val="00D27359"/>
    <w:rsid w:val="00D3084C"/>
    <w:rsid w:val="00D31D35"/>
    <w:rsid w:val="00D36987"/>
    <w:rsid w:val="00D36EB2"/>
    <w:rsid w:val="00D37E5B"/>
    <w:rsid w:val="00D4141D"/>
    <w:rsid w:val="00D41575"/>
    <w:rsid w:val="00D4390A"/>
    <w:rsid w:val="00D447B3"/>
    <w:rsid w:val="00D44F65"/>
    <w:rsid w:val="00D56EDD"/>
    <w:rsid w:val="00D6030C"/>
    <w:rsid w:val="00D606A5"/>
    <w:rsid w:val="00D61596"/>
    <w:rsid w:val="00D642B7"/>
    <w:rsid w:val="00D64A7A"/>
    <w:rsid w:val="00D66DFB"/>
    <w:rsid w:val="00D71EA8"/>
    <w:rsid w:val="00D72475"/>
    <w:rsid w:val="00D74ADC"/>
    <w:rsid w:val="00D808A3"/>
    <w:rsid w:val="00D84D1E"/>
    <w:rsid w:val="00D86CD5"/>
    <w:rsid w:val="00D8718D"/>
    <w:rsid w:val="00D907D2"/>
    <w:rsid w:val="00D92114"/>
    <w:rsid w:val="00D92CB2"/>
    <w:rsid w:val="00DA06D3"/>
    <w:rsid w:val="00DA71DC"/>
    <w:rsid w:val="00DB6C36"/>
    <w:rsid w:val="00DC3F2D"/>
    <w:rsid w:val="00DD13B3"/>
    <w:rsid w:val="00DD6B33"/>
    <w:rsid w:val="00DD6BAE"/>
    <w:rsid w:val="00DD7437"/>
    <w:rsid w:val="00DE499B"/>
    <w:rsid w:val="00DE5F15"/>
    <w:rsid w:val="00DE7350"/>
    <w:rsid w:val="00DF2296"/>
    <w:rsid w:val="00DF2766"/>
    <w:rsid w:val="00DF4499"/>
    <w:rsid w:val="00DF5BD6"/>
    <w:rsid w:val="00E014E8"/>
    <w:rsid w:val="00E01D19"/>
    <w:rsid w:val="00E01F22"/>
    <w:rsid w:val="00E04806"/>
    <w:rsid w:val="00E06012"/>
    <w:rsid w:val="00E148DD"/>
    <w:rsid w:val="00E1562B"/>
    <w:rsid w:val="00E160DA"/>
    <w:rsid w:val="00E16110"/>
    <w:rsid w:val="00E200F5"/>
    <w:rsid w:val="00E2770F"/>
    <w:rsid w:val="00E32080"/>
    <w:rsid w:val="00E4187A"/>
    <w:rsid w:val="00E50851"/>
    <w:rsid w:val="00E531E3"/>
    <w:rsid w:val="00E5396C"/>
    <w:rsid w:val="00E53C9D"/>
    <w:rsid w:val="00E556F3"/>
    <w:rsid w:val="00E61DDF"/>
    <w:rsid w:val="00E63817"/>
    <w:rsid w:val="00E63B23"/>
    <w:rsid w:val="00E65963"/>
    <w:rsid w:val="00E66D6E"/>
    <w:rsid w:val="00E735E0"/>
    <w:rsid w:val="00E8518E"/>
    <w:rsid w:val="00E8553C"/>
    <w:rsid w:val="00E856E0"/>
    <w:rsid w:val="00E859DE"/>
    <w:rsid w:val="00E943FF"/>
    <w:rsid w:val="00E95BD0"/>
    <w:rsid w:val="00E9623F"/>
    <w:rsid w:val="00E97B88"/>
    <w:rsid w:val="00E97CC0"/>
    <w:rsid w:val="00EB5138"/>
    <w:rsid w:val="00EB55FA"/>
    <w:rsid w:val="00EB57D5"/>
    <w:rsid w:val="00EB77C2"/>
    <w:rsid w:val="00EC2F86"/>
    <w:rsid w:val="00ED03AE"/>
    <w:rsid w:val="00ED1B3F"/>
    <w:rsid w:val="00ED2239"/>
    <w:rsid w:val="00ED286F"/>
    <w:rsid w:val="00ED38C9"/>
    <w:rsid w:val="00ED43A1"/>
    <w:rsid w:val="00ED703A"/>
    <w:rsid w:val="00EE2338"/>
    <w:rsid w:val="00EE3F69"/>
    <w:rsid w:val="00EE46EB"/>
    <w:rsid w:val="00EE47DD"/>
    <w:rsid w:val="00EE4D13"/>
    <w:rsid w:val="00EE5073"/>
    <w:rsid w:val="00EE5ADB"/>
    <w:rsid w:val="00EE6336"/>
    <w:rsid w:val="00EF5309"/>
    <w:rsid w:val="00EF6063"/>
    <w:rsid w:val="00EF614D"/>
    <w:rsid w:val="00EF6399"/>
    <w:rsid w:val="00EF69F1"/>
    <w:rsid w:val="00F15688"/>
    <w:rsid w:val="00F15764"/>
    <w:rsid w:val="00F2219E"/>
    <w:rsid w:val="00F3276C"/>
    <w:rsid w:val="00F32ADF"/>
    <w:rsid w:val="00F36090"/>
    <w:rsid w:val="00F36342"/>
    <w:rsid w:val="00F40AD9"/>
    <w:rsid w:val="00F43263"/>
    <w:rsid w:val="00F45982"/>
    <w:rsid w:val="00F46176"/>
    <w:rsid w:val="00F476DD"/>
    <w:rsid w:val="00F53A47"/>
    <w:rsid w:val="00F6327E"/>
    <w:rsid w:val="00F64C26"/>
    <w:rsid w:val="00F64C36"/>
    <w:rsid w:val="00F65076"/>
    <w:rsid w:val="00F66E9F"/>
    <w:rsid w:val="00F679C4"/>
    <w:rsid w:val="00F76BC6"/>
    <w:rsid w:val="00F84138"/>
    <w:rsid w:val="00F8584B"/>
    <w:rsid w:val="00F91303"/>
    <w:rsid w:val="00F91FF8"/>
    <w:rsid w:val="00F93562"/>
    <w:rsid w:val="00F93AD0"/>
    <w:rsid w:val="00F94099"/>
    <w:rsid w:val="00F950F4"/>
    <w:rsid w:val="00F96052"/>
    <w:rsid w:val="00FA4506"/>
    <w:rsid w:val="00FA7240"/>
    <w:rsid w:val="00FB6BD9"/>
    <w:rsid w:val="00FC11E8"/>
    <w:rsid w:val="00FC142D"/>
    <w:rsid w:val="00FC16AB"/>
    <w:rsid w:val="00FC1E02"/>
    <w:rsid w:val="00FC2AF6"/>
    <w:rsid w:val="00FC60C5"/>
    <w:rsid w:val="00FC7EEB"/>
    <w:rsid w:val="00FE01CB"/>
    <w:rsid w:val="00FE02BD"/>
    <w:rsid w:val="00FE3125"/>
    <w:rsid w:val="00FE3A38"/>
    <w:rsid w:val="00FE5093"/>
    <w:rsid w:val="00FE54BD"/>
    <w:rsid w:val="00FF3668"/>
    <w:rsid w:val="00FF3D3F"/>
    <w:rsid w:val="00FF4DA2"/>
    <w:rsid w:val="00FF6F69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3DB6F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footer" w:uiPriority="99"/>
    <w:lsdException w:name="index heading" w:semiHidden="1"/>
    <w:lsdException w:name="caption" w:qFormat="1"/>
    <w:lsdException w:name="table of figures" w:semiHidden="1" w:uiPriority="99"/>
    <w:lsdException w:name="envelope address" w:semiHidden="1"/>
    <w:lsdException w:name="envelope return" w:semiHidden="1"/>
    <w:lsdException w:name="footnote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List" w:uiPriority="99"/>
    <w:lsdException w:name="Balloon Text" w:semiHidden="1"/>
    <w:lsdException w:name="Table Grid" w:uiPriority="5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224E28"/>
    <w:pPr>
      <w:spacing w:before="120" w:after="120"/>
    </w:pPr>
    <w:rPr>
      <w:rFonts w:ascii="Calibri" w:hAnsi="Calibri" w:cs="Calibri"/>
      <w:sz w:val="24"/>
      <w:szCs w:val="24"/>
    </w:rPr>
  </w:style>
  <w:style w:type="paragraph" w:styleId="Heading1">
    <w:name w:val="heading 1"/>
    <w:next w:val="Normal"/>
    <w:qFormat/>
    <w:rsid w:val="008130AC"/>
    <w:pPr>
      <w:keepNext/>
      <w:numPr>
        <w:numId w:val="1"/>
      </w:numPr>
      <w:spacing w:before="240" w:after="300"/>
      <w:outlineLvl w:val="0"/>
    </w:pPr>
    <w:rPr>
      <w:rFonts w:ascii="Calibri" w:hAnsi="Calibri" w:cs="Calibri"/>
      <w:b/>
      <w:bCs/>
      <w:color w:val="1F497D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8130AC"/>
    <w:pPr>
      <w:keepNext/>
      <w:keepLines/>
      <w:numPr>
        <w:ilvl w:val="1"/>
        <w:numId w:val="2"/>
      </w:numPr>
      <w:spacing w:before="300" w:after="80"/>
      <w:outlineLvl w:val="1"/>
    </w:pPr>
    <w:rPr>
      <w:b/>
      <w:bCs/>
      <w:color w:val="1F497D"/>
      <w:sz w:val="32"/>
      <w:szCs w:val="26"/>
    </w:rPr>
  </w:style>
  <w:style w:type="paragraph" w:styleId="Heading3">
    <w:name w:val="heading 3"/>
    <w:next w:val="Normal"/>
    <w:link w:val="Heading3Char"/>
    <w:qFormat/>
    <w:rsid w:val="008046EA"/>
    <w:pPr>
      <w:keepNext/>
      <w:keepLines/>
      <w:numPr>
        <w:ilvl w:val="2"/>
        <w:numId w:val="2"/>
      </w:numPr>
      <w:spacing w:before="300" w:after="80"/>
      <w:outlineLvl w:val="2"/>
    </w:pPr>
    <w:rPr>
      <w:rFonts w:ascii="Arial Narrow" w:hAnsi="Arial Narrow"/>
      <w:b/>
      <w:bCs/>
      <w:color w:val="1F497D"/>
      <w:sz w:val="26"/>
      <w:szCs w:val="24"/>
    </w:rPr>
  </w:style>
  <w:style w:type="paragraph" w:styleId="Heading4">
    <w:name w:val="heading 4"/>
    <w:next w:val="Normal"/>
    <w:link w:val="Heading4Char"/>
    <w:qFormat/>
    <w:rsid w:val="008046EA"/>
    <w:pPr>
      <w:keepNext/>
      <w:keepLines/>
      <w:numPr>
        <w:ilvl w:val="3"/>
        <w:numId w:val="2"/>
      </w:numPr>
      <w:spacing w:before="240" w:after="80"/>
      <w:outlineLvl w:val="3"/>
    </w:pPr>
    <w:rPr>
      <w:rFonts w:ascii="Arial Narrow" w:hAnsi="Arial Narrow"/>
      <w:b/>
      <w:bCs/>
      <w:i/>
      <w:iCs/>
      <w:color w:val="1F497D"/>
      <w:sz w:val="24"/>
      <w:szCs w:val="24"/>
    </w:rPr>
  </w:style>
  <w:style w:type="paragraph" w:styleId="Heading5">
    <w:name w:val="heading 5"/>
    <w:next w:val="Normal"/>
    <w:link w:val="Heading5Char"/>
    <w:qFormat/>
    <w:rsid w:val="008046EA"/>
    <w:pPr>
      <w:keepNext/>
      <w:keepLines/>
      <w:numPr>
        <w:ilvl w:val="4"/>
        <w:numId w:val="2"/>
      </w:numPr>
      <w:spacing w:before="240" w:after="80"/>
      <w:outlineLvl w:val="4"/>
    </w:pPr>
    <w:rPr>
      <w:rFonts w:ascii="Arial Narrow" w:hAnsi="Arial Narrow"/>
      <w:i/>
      <w:color w:val="1F497D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53DC2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53DC2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53DC2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53DC2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153D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3DC2"/>
  </w:style>
  <w:style w:type="character" w:styleId="CommentReference">
    <w:name w:val="annotation reference"/>
    <w:basedOn w:val="DefaultParagraphFont"/>
    <w:semiHidden/>
    <w:unhideWhenUsed/>
    <w:rsid w:val="00153DC2"/>
    <w:rPr>
      <w:sz w:val="16"/>
      <w:szCs w:val="16"/>
    </w:rPr>
  </w:style>
  <w:style w:type="paragraph" w:customStyle="1" w:styleId="Heading-Appendix1">
    <w:name w:val="Heading - Appendix 1"/>
    <w:next w:val="Normal"/>
    <w:uiPriority w:val="99"/>
    <w:qFormat/>
    <w:rsid w:val="008046EA"/>
    <w:pPr>
      <w:keepLines/>
      <w:numPr>
        <w:numId w:val="10"/>
      </w:numPr>
      <w:tabs>
        <w:tab w:val="left" w:pos="1800"/>
      </w:tabs>
      <w:spacing w:before="200" w:after="300"/>
    </w:pPr>
    <w:rPr>
      <w:rFonts w:ascii="Arial Narrow" w:hAnsi="Arial Narrow"/>
      <w:b/>
      <w:bCs/>
      <w:color w:val="1F497D"/>
      <w:sz w:val="32"/>
      <w:szCs w:val="28"/>
    </w:rPr>
  </w:style>
  <w:style w:type="paragraph" w:customStyle="1" w:styleId="Heading-Appendix2">
    <w:name w:val="Heading - Appendix 2"/>
    <w:next w:val="Normal"/>
    <w:uiPriority w:val="99"/>
    <w:qFormat/>
    <w:rsid w:val="008046EA"/>
    <w:pPr>
      <w:numPr>
        <w:ilvl w:val="1"/>
        <w:numId w:val="10"/>
      </w:numPr>
      <w:tabs>
        <w:tab w:val="left" w:pos="720"/>
      </w:tabs>
      <w:spacing w:before="300" w:after="80"/>
    </w:pPr>
    <w:rPr>
      <w:rFonts w:ascii="Arial Narrow" w:hAnsi="Arial Narrow"/>
      <w:b/>
      <w:bCs/>
      <w:color w:val="1F497D"/>
      <w:sz w:val="28"/>
      <w:szCs w:val="28"/>
    </w:rPr>
  </w:style>
  <w:style w:type="paragraph" w:customStyle="1" w:styleId="Heading-Appendix3">
    <w:name w:val="Heading - Appendix 3"/>
    <w:next w:val="Normal"/>
    <w:uiPriority w:val="99"/>
    <w:qFormat/>
    <w:rsid w:val="008046EA"/>
    <w:pPr>
      <w:numPr>
        <w:ilvl w:val="2"/>
        <w:numId w:val="10"/>
      </w:numPr>
      <w:tabs>
        <w:tab w:val="left" w:pos="900"/>
      </w:tabs>
      <w:spacing w:before="240" w:after="80"/>
    </w:pPr>
    <w:rPr>
      <w:rFonts w:ascii="Arial Narrow" w:hAnsi="Arial Narrow"/>
      <w:b/>
      <w:bCs/>
      <w:color w:val="1F497D"/>
      <w:sz w:val="26"/>
      <w:szCs w:val="28"/>
    </w:rPr>
  </w:style>
  <w:style w:type="paragraph" w:customStyle="1" w:styleId="Bullet1">
    <w:name w:val="Bullet 1"/>
    <w:rsid w:val="002B09D1"/>
    <w:pPr>
      <w:numPr>
        <w:numId w:val="3"/>
      </w:numPr>
      <w:tabs>
        <w:tab w:val="clear" w:pos="720"/>
      </w:tabs>
      <w:spacing w:before="60" w:after="60"/>
      <w:ind w:left="576" w:hanging="288"/>
    </w:pPr>
    <w:rPr>
      <w:rFonts w:ascii="Calibri" w:hAnsi="Calibri" w:cs="Calibri"/>
      <w:sz w:val="22"/>
      <w:szCs w:val="22"/>
    </w:rPr>
  </w:style>
  <w:style w:type="paragraph" w:customStyle="1" w:styleId="Bullet2">
    <w:name w:val="Bullet 2"/>
    <w:rsid w:val="00805D4A"/>
    <w:pPr>
      <w:numPr>
        <w:numId w:val="4"/>
      </w:numPr>
      <w:spacing w:before="40" w:after="40"/>
    </w:pPr>
    <w:rPr>
      <w:rFonts w:ascii="Calibri" w:hAnsi="Calibri"/>
      <w:sz w:val="24"/>
      <w:szCs w:val="24"/>
    </w:rPr>
  </w:style>
  <w:style w:type="paragraph" w:customStyle="1" w:styleId="Bullet3">
    <w:name w:val="Bullet 3"/>
    <w:rsid w:val="008046EA"/>
    <w:pPr>
      <w:numPr>
        <w:numId w:val="5"/>
      </w:numPr>
      <w:tabs>
        <w:tab w:val="clear" w:pos="720"/>
      </w:tabs>
      <w:spacing w:before="40" w:after="40"/>
      <w:ind w:left="1296" w:hanging="288"/>
    </w:pPr>
    <w:rPr>
      <w:sz w:val="24"/>
      <w:szCs w:val="22"/>
    </w:rPr>
  </w:style>
  <w:style w:type="paragraph" w:customStyle="1" w:styleId="Bulletparagraph">
    <w:name w:val="Bullet paragraph"/>
    <w:rsid w:val="00153DC2"/>
    <w:pPr>
      <w:spacing w:before="60" w:after="60"/>
      <w:ind w:left="720"/>
    </w:pPr>
    <w:rPr>
      <w:sz w:val="24"/>
    </w:rPr>
  </w:style>
  <w:style w:type="paragraph" w:customStyle="1" w:styleId="Heading-FrontMatter">
    <w:name w:val="Heading - Front Matter"/>
    <w:qFormat/>
    <w:rsid w:val="008046EA"/>
    <w:pPr>
      <w:spacing w:before="240" w:after="300"/>
    </w:pPr>
    <w:rPr>
      <w:rFonts w:ascii="Arial Narrow Bold" w:hAnsi="Arial Narrow Bold"/>
      <w:b/>
      <w:bCs/>
      <w:color w:val="1F497D"/>
      <w:kern w:val="32"/>
      <w:sz w:val="36"/>
      <w:szCs w:val="32"/>
    </w:rPr>
  </w:style>
  <w:style w:type="paragraph" w:customStyle="1" w:styleId="Numbered">
    <w:name w:val="Numbered"/>
    <w:semiHidden/>
    <w:rsid w:val="00153DC2"/>
    <w:pPr>
      <w:numPr>
        <w:numId w:val="6"/>
      </w:numPr>
      <w:spacing w:before="60" w:after="60"/>
    </w:pPr>
    <w:rPr>
      <w:sz w:val="22"/>
      <w:szCs w:val="22"/>
    </w:rPr>
  </w:style>
  <w:style w:type="table" w:styleId="TableGrid">
    <w:name w:val="Table Grid"/>
    <w:basedOn w:val="TableNormal"/>
    <w:uiPriority w:val="59"/>
    <w:rsid w:val="00153D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ronymorGlossaryTerm">
    <w:name w:val="Acronym or Glossary Term"/>
    <w:qFormat/>
    <w:rsid w:val="00153DC2"/>
    <w:pPr>
      <w:spacing w:before="80" w:after="80"/>
    </w:pPr>
    <w:rPr>
      <w:b/>
      <w:sz w:val="24"/>
      <w:szCs w:val="24"/>
    </w:rPr>
  </w:style>
  <w:style w:type="paragraph" w:customStyle="1" w:styleId="AcronymorGlossaryDefinition">
    <w:name w:val="Acronym or Glossary Definition"/>
    <w:qFormat/>
    <w:rsid w:val="00153DC2"/>
    <w:pPr>
      <w:spacing w:before="80" w:after="80"/>
    </w:pPr>
    <w:rPr>
      <w:sz w:val="24"/>
      <w:szCs w:val="24"/>
    </w:rPr>
  </w:style>
  <w:style w:type="paragraph" w:customStyle="1" w:styleId="NumberedList">
    <w:name w:val="Numbered List"/>
    <w:qFormat/>
    <w:rsid w:val="008046EA"/>
    <w:pPr>
      <w:numPr>
        <w:numId w:val="13"/>
      </w:numPr>
      <w:spacing w:before="60" w:after="60"/>
    </w:pPr>
    <w:rPr>
      <w:sz w:val="24"/>
      <w:szCs w:val="24"/>
    </w:rPr>
  </w:style>
  <w:style w:type="paragraph" w:customStyle="1" w:styleId="TaskHeading">
    <w:name w:val="Task Heading"/>
    <w:next w:val="Normal"/>
    <w:semiHidden/>
    <w:rsid w:val="00153DC2"/>
    <w:pPr>
      <w:keepNext/>
      <w:shd w:val="clear" w:color="auto" w:fill="606060"/>
      <w:spacing w:before="120" w:after="160" w:line="400" w:lineRule="exact"/>
      <w:ind w:left="720" w:hanging="720"/>
      <w:jc w:val="center"/>
      <w:outlineLvl w:val="0"/>
    </w:pPr>
    <w:rPr>
      <w:rFonts w:ascii="Arial Bold" w:hAnsi="Arial Bold"/>
      <w:b/>
      <w:bCs/>
      <w:color w:val="FFFFFF"/>
      <w:sz w:val="24"/>
      <w:szCs w:val="24"/>
    </w:rPr>
  </w:style>
  <w:style w:type="paragraph" w:customStyle="1" w:styleId="Reference">
    <w:name w:val="Reference"/>
    <w:qFormat/>
    <w:rsid w:val="005F4DD9"/>
    <w:pPr>
      <w:numPr>
        <w:numId w:val="11"/>
      </w:numPr>
      <w:tabs>
        <w:tab w:val="left" w:pos="360"/>
      </w:tabs>
      <w:spacing w:before="80" w:after="100"/>
      <w:ind w:left="360"/>
    </w:pPr>
    <w:rPr>
      <w:bCs/>
      <w:kern w:val="32"/>
      <w:sz w:val="24"/>
      <w:szCs w:val="32"/>
    </w:rPr>
  </w:style>
  <w:style w:type="paragraph" w:customStyle="1" w:styleId="Bullet">
    <w:name w:val="Bullet"/>
    <w:basedOn w:val="Normal"/>
    <w:semiHidden/>
    <w:rsid w:val="00153DC2"/>
    <w:pPr>
      <w:numPr>
        <w:numId w:val="7"/>
      </w:numPr>
      <w:spacing w:before="20" w:after="20" w:line="220" w:lineRule="exact"/>
    </w:pPr>
    <w:rPr>
      <w:rFonts w:ascii="Arial" w:hAnsi="Arial" w:cs="Arial"/>
      <w:sz w:val="18"/>
      <w:szCs w:val="18"/>
    </w:rPr>
  </w:style>
  <w:style w:type="paragraph" w:customStyle="1" w:styleId="TableBullet">
    <w:name w:val="TableBullet"/>
    <w:rsid w:val="005F4DD9"/>
    <w:pPr>
      <w:numPr>
        <w:numId w:val="12"/>
      </w:numPr>
      <w:tabs>
        <w:tab w:val="left" w:pos="216"/>
      </w:tabs>
      <w:spacing w:before="40" w:after="40"/>
      <w:ind w:left="216" w:hanging="216"/>
    </w:pPr>
    <w:rPr>
      <w:rFonts w:ascii="Arial" w:hAnsi="Arial"/>
      <w:sz w:val="18"/>
    </w:rPr>
  </w:style>
  <w:style w:type="paragraph" w:styleId="Header">
    <w:name w:val="header"/>
    <w:link w:val="HeaderChar"/>
    <w:rsid w:val="00153DC2"/>
    <w:pPr>
      <w:tabs>
        <w:tab w:val="center" w:pos="4680"/>
        <w:tab w:val="right" w:pos="9360"/>
      </w:tabs>
      <w:jc w:val="center"/>
    </w:pPr>
    <w:rPr>
      <w:rFonts w:ascii="Arial Narrow" w:hAnsi="Arial Narrow"/>
      <w:b/>
      <w:szCs w:val="24"/>
    </w:rPr>
  </w:style>
  <w:style w:type="paragraph" w:customStyle="1" w:styleId="BulletSecondLevel">
    <w:name w:val="Bullet Second Level"/>
    <w:basedOn w:val="Bullet1"/>
    <w:semiHidden/>
    <w:qFormat/>
    <w:rsid w:val="00153DC2"/>
    <w:pPr>
      <w:numPr>
        <w:numId w:val="8"/>
      </w:numPr>
    </w:pPr>
  </w:style>
  <w:style w:type="character" w:customStyle="1" w:styleId="Heading2Char">
    <w:name w:val="Heading 2 Char"/>
    <w:basedOn w:val="DefaultParagraphFont"/>
    <w:link w:val="Heading2"/>
    <w:rsid w:val="008130AC"/>
    <w:rPr>
      <w:rFonts w:ascii="Calibri" w:hAnsi="Calibri" w:cs="Calibri"/>
      <w:b/>
      <w:bCs/>
      <w:color w:val="1F497D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8046EA"/>
    <w:rPr>
      <w:rFonts w:ascii="Arial Narrow" w:hAnsi="Arial Narrow"/>
      <w:b/>
      <w:bCs/>
      <w:color w:val="1F497D"/>
      <w:sz w:val="26"/>
      <w:szCs w:val="24"/>
    </w:rPr>
  </w:style>
  <w:style w:type="character" w:customStyle="1" w:styleId="Heading4Char">
    <w:name w:val="Heading 4 Char"/>
    <w:basedOn w:val="DefaultParagraphFont"/>
    <w:link w:val="Heading4"/>
    <w:rsid w:val="008046EA"/>
    <w:rPr>
      <w:rFonts w:ascii="Arial Narrow" w:hAnsi="Arial Narrow"/>
      <w:b/>
      <w:bCs/>
      <w:i/>
      <w:iCs/>
      <w:color w:val="1F497D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046EA"/>
    <w:rPr>
      <w:rFonts w:ascii="Arial Narrow" w:hAnsi="Arial Narrow"/>
      <w:i/>
      <w:color w:val="1F497D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153DC2"/>
    <w:rPr>
      <w:rFonts w:ascii="Cambria" w:hAnsi="Cambria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153DC2"/>
    <w:rPr>
      <w:rFonts w:ascii="Cambria" w:hAnsi="Cambria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53DC2"/>
    <w:rPr>
      <w:rFonts w:ascii="Cambria" w:hAnsi="Cambria"/>
      <w:color w:val="404040"/>
    </w:rPr>
  </w:style>
  <w:style w:type="character" w:customStyle="1" w:styleId="Heading9Char">
    <w:name w:val="Heading 9 Char"/>
    <w:basedOn w:val="DefaultParagraphFont"/>
    <w:link w:val="Heading9"/>
    <w:semiHidden/>
    <w:rsid w:val="00153DC2"/>
    <w:rPr>
      <w:rFonts w:ascii="Cambria" w:hAnsi="Cambria"/>
      <w:i/>
      <w:iCs/>
      <w:color w:val="404040"/>
    </w:rPr>
  </w:style>
  <w:style w:type="paragraph" w:customStyle="1" w:styleId="TableColumnHeading">
    <w:name w:val="Table Column Heading"/>
    <w:qFormat/>
    <w:rsid w:val="00153DC2"/>
    <w:pPr>
      <w:spacing w:before="40" w:after="40"/>
      <w:jc w:val="center"/>
    </w:pPr>
    <w:rPr>
      <w:rFonts w:ascii="Arial" w:hAnsi="Arial"/>
      <w:b/>
      <w:bCs/>
      <w:szCs w:val="24"/>
    </w:rPr>
  </w:style>
  <w:style w:type="paragraph" w:customStyle="1" w:styleId="TableText">
    <w:name w:val="Table Text"/>
    <w:qFormat/>
    <w:rsid w:val="00153DC2"/>
    <w:pPr>
      <w:spacing w:before="40" w:after="40"/>
    </w:pPr>
    <w:rPr>
      <w:rFonts w:ascii="Arial" w:hAnsi="Arial"/>
      <w:bCs/>
      <w:sz w:val="18"/>
      <w:szCs w:val="24"/>
    </w:rPr>
  </w:style>
  <w:style w:type="paragraph" w:customStyle="1" w:styleId="Figure">
    <w:name w:val="Figure"/>
    <w:next w:val="Normal"/>
    <w:qFormat/>
    <w:rsid w:val="00153DC2"/>
    <w:pPr>
      <w:jc w:val="center"/>
    </w:pPr>
    <w:rPr>
      <w:bCs/>
      <w:sz w:val="24"/>
      <w:szCs w:val="24"/>
    </w:rPr>
  </w:style>
  <w:style w:type="paragraph" w:customStyle="1" w:styleId="FigureCaption">
    <w:name w:val="Figure Caption"/>
    <w:next w:val="Figure"/>
    <w:qFormat/>
    <w:rsid w:val="008046EA"/>
    <w:pPr>
      <w:spacing w:before="240" w:after="120"/>
      <w:jc w:val="center"/>
    </w:pPr>
    <w:rPr>
      <w:rFonts w:ascii="Arial Narrow" w:hAnsi="Arial Narrow"/>
      <w:b/>
      <w:color w:val="1F497D"/>
      <w:szCs w:val="24"/>
    </w:rPr>
  </w:style>
  <w:style w:type="paragraph" w:customStyle="1" w:styleId="Heading-BackMatter">
    <w:name w:val="Heading - Back Matter"/>
    <w:basedOn w:val="Heading-FrontMatter"/>
    <w:qFormat/>
    <w:rsid w:val="008046EA"/>
  </w:style>
  <w:style w:type="paragraph" w:customStyle="1" w:styleId="ProgramName">
    <w:name w:val="Program Name"/>
    <w:qFormat/>
    <w:rsid w:val="00153DC2"/>
    <w:pPr>
      <w:spacing w:before="60" w:after="360"/>
    </w:pPr>
    <w:rPr>
      <w:rFonts w:ascii="Cambria" w:hAnsi="Cambria"/>
      <w:b/>
      <w:bCs/>
      <w:color w:val="1F497D"/>
      <w:kern w:val="32"/>
      <w:sz w:val="32"/>
      <w:szCs w:val="32"/>
    </w:rPr>
  </w:style>
  <w:style w:type="paragraph" w:customStyle="1" w:styleId="DocTitle">
    <w:name w:val="Doc Title"/>
    <w:qFormat/>
    <w:rsid w:val="00153DC2"/>
    <w:pPr>
      <w:spacing w:after="360"/>
    </w:pPr>
    <w:rPr>
      <w:rFonts w:ascii="Cambria" w:hAnsi="Cambria"/>
      <w:b/>
      <w:bCs/>
      <w:color w:val="1F497D"/>
      <w:kern w:val="32"/>
      <w:sz w:val="48"/>
      <w:szCs w:val="32"/>
    </w:rPr>
  </w:style>
  <w:style w:type="paragraph" w:customStyle="1" w:styleId="PubDate">
    <w:name w:val="Pub Date"/>
    <w:qFormat/>
    <w:rsid w:val="00153DC2"/>
    <w:pPr>
      <w:spacing w:after="360"/>
    </w:pPr>
    <w:rPr>
      <w:rFonts w:ascii="Cambria" w:hAnsi="Cambria"/>
      <w:b/>
      <w:bCs/>
      <w:color w:val="1F497D"/>
      <w:kern w:val="32"/>
      <w:sz w:val="28"/>
      <w:szCs w:val="32"/>
    </w:rPr>
  </w:style>
  <w:style w:type="paragraph" w:customStyle="1" w:styleId="DocSubtitle">
    <w:name w:val="Doc Subtitle"/>
    <w:qFormat/>
    <w:rsid w:val="00153DC2"/>
    <w:pPr>
      <w:spacing w:after="360"/>
    </w:pPr>
    <w:rPr>
      <w:rFonts w:ascii="Cambria" w:hAnsi="Cambria"/>
      <w:b/>
      <w:bCs/>
      <w:color w:val="1F497D"/>
      <w:kern w:val="32"/>
      <w:sz w:val="40"/>
      <w:szCs w:val="32"/>
    </w:rPr>
  </w:style>
  <w:style w:type="paragraph" w:customStyle="1" w:styleId="VersionNo">
    <w:name w:val="Version No."/>
    <w:qFormat/>
    <w:rsid w:val="00153DC2"/>
    <w:pPr>
      <w:spacing w:after="360"/>
    </w:pPr>
    <w:rPr>
      <w:rFonts w:ascii="Cambria" w:hAnsi="Cambria"/>
      <w:b/>
      <w:bCs/>
      <w:color w:val="1F497D"/>
      <w:kern w:val="32"/>
      <w:sz w:val="28"/>
      <w:szCs w:val="32"/>
    </w:rPr>
  </w:style>
  <w:style w:type="paragraph" w:customStyle="1" w:styleId="DocNumber">
    <w:name w:val="Doc Number"/>
    <w:basedOn w:val="VersionNo"/>
    <w:qFormat/>
    <w:rsid w:val="00153DC2"/>
    <w:rPr>
      <w:sz w:val="24"/>
    </w:rPr>
  </w:style>
  <w:style w:type="paragraph" w:customStyle="1" w:styleId="Disclaimer">
    <w:name w:val="Disclaimer"/>
    <w:qFormat/>
    <w:rsid w:val="00153DC2"/>
    <w:pPr>
      <w:spacing w:before="80" w:after="80"/>
    </w:pPr>
    <w:rPr>
      <w:rFonts w:ascii="Calibri" w:hAnsi="Calibri"/>
      <w:bCs/>
      <w:color w:val="1F497D"/>
      <w:kern w:val="32"/>
      <w:szCs w:val="32"/>
    </w:rPr>
  </w:style>
  <w:style w:type="paragraph" w:customStyle="1" w:styleId="Classification">
    <w:name w:val="Classification"/>
    <w:qFormat/>
    <w:rsid w:val="00153DC2"/>
    <w:pPr>
      <w:spacing w:after="360"/>
    </w:pPr>
    <w:rPr>
      <w:rFonts w:ascii="Cambria" w:hAnsi="Cambria"/>
      <w:b/>
      <w:bCs/>
      <w:color w:val="A50021"/>
      <w:kern w:val="32"/>
      <w:sz w:val="22"/>
      <w:szCs w:val="32"/>
    </w:rPr>
  </w:style>
  <w:style w:type="paragraph" w:customStyle="1" w:styleId="Heading-Unnumbered">
    <w:name w:val="Heading - Unnumbered"/>
    <w:qFormat/>
    <w:rsid w:val="00224E28"/>
    <w:pPr>
      <w:spacing w:before="240" w:after="80"/>
    </w:pPr>
    <w:rPr>
      <w:rFonts w:ascii="Calibri" w:hAnsi="Calibri"/>
      <w:b/>
      <w:bCs/>
      <w:color w:val="1F497D"/>
      <w:kern w:val="32"/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153DC2"/>
    <w:rPr>
      <w:rFonts w:ascii="Arial Narrow" w:hAnsi="Arial Narrow"/>
      <w:b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153DC2"/>
    <w:pPr>
      <w:pBdr>
        <w:top w:val="single" w:sz="4" w:space="1" w:color="000000"/>
      </w:pBdr>
      <w:tabs>
        <w:tab w:val="center" w:pos="4680"/>
        <w:tab w:val="right" w:pos="8136"/>
      </w:tabs>
      <w:spacing w:before="80"/>
    </w:pPr>
    <w:rPr>
      <w:rFonts w:ascii="Arial Narrow" w:hAnsi="Arial Narrow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53DC2"/>
    <w:rPr>
      <w:rFonts w:ascii="Arial Narrow" w:hAnsi="Arial Narrow"/>
      <w:szCs w:val="24"/>
    </w:rPr>
  </w:style>
  <w:style w:type="paragraph" w:customStyle="1" w:styleId="Company">
    <w:name w:val="Company"/>
    <w:qFormat/>
    <w:rsid w:val="00153DC2"/>
    <w:pPr>
      <w:spacing w:before="240" w:after="40"/>
    </w:pPr>
    <w:rPr>
      <w:rFonts w:ascii="MITRE" w:hAnsi="MITRE"/>
      <w:b/>
      <w:bCs/>
      <w:kern w:val="32"/>
      <w:sz w:val="28"/>
      <w:szCs w:val="32"/>
    </w:rPr>
  </w:style>
  <w:style w:type="paragraph" w:customStyle="1" w:styleId="CenterAddress">
    <w:name w:val="CenterAddress"/>
    <w:qFormat/>
    <w:rsid w:val="00153DC2"/>
    <w:rPr>
      <w:rFonts w:ascii="Arial" w:hAnsi="Arial"/>
      <w:b/>
      <w:szCs w:val="24"/>
    </w:rPr>
  </w:style>
  <w:style w:type="paragraph" w:customStyle="1" w:styleId="NumberedList2bulleted">
    <w:name w:val="Numbered List 2 (bulleted)"/>
    <w:qFormat/>
    <w:rsid w:val="008046EA"/>
    <w:pPr>
      <w:numPr>
        <w:numId w:val="9"/>
      </w:numPr>
      <w:spacing w:before="60" w:after="60"/>
      <w:ind w:left="936" w:hanging="288"/>
    </w:pPr>
    <w:rPr>
      <w:bCs/>
      <w:kern w:val="32"/>
      <w:sz w:val="24"/>
      <w:szCs w:val="32"/>
    </w:rPr>
  </w:style>
  <w:style w:type="paragraph" w:customStyle="1" w:styleId="Heading-ExecSum2">
    <w:name w:val="Heading - ExecSum 2"/>
    <w:qFormat/>
    <w:rsid w:val="008046EA"/>
    <w:pPr>
      <w:spacing w:before="300" w:after="80"/>
    </w:pPr>
    <w:rPr>
      <w:rFonts w:ascii="Arial Narrow" w:hAnsi="Arial Narrow"/>
      <w:b/>
      <w:color w:val="1F497D"/>
      <w:sz w:val="28"/>
      <w:szCs w:val="24"/>
    </w:rPr>
  </w:style>
  <w:style w:type="paragraph" w:customStyle="1" w:styleId="Heading-ExecSum3">
    <w:name w:val="Heading - ExecSum 3"/>
    <w:qFormat/>
    <w:rsid w:val="008046EA"/>
    <w:pPr>
      <w:spacing w:before="240" w:after="80"/>
    </w:pPr>
    <w:rPr>
      <w:rFonts w:ascii="Arial Narrow" w:hAnsi="Arial Narrow"/>
      <w:b/>
      <w:color w:val="1F497D"/>
      <w:sz w:val="26"/>
      <w:szCs w:val="24"/>
    </w:rPr>
  </w:style>
  <w:style w:type="paragraph" w:customStyle="1" w:styleId="LineSpacer">
    <w:name w:val="Line Spacer"/>
    <w:qFormat/>
    <w:rsid w:val="00153DC2"/>
    <w:rPr>
      <w:sz w:val="18"/>
      <w:szCs w:val="24"/>
    </w:rPr>
  </w:style>
  <w:style w:type="paragraph" w:styleId="TOC1">
    <w:name w:val="toc 1"/>
    <w:basedOn w:val="Normal"/>
    <w:next w:val="Normal"/>
    <w:autoRedefine/>
    <w:uiPriority w:val="39"/>
    <w:rsid w:val="001B7ADF"/>
    <w:pPr>
      <w:tabs>
        <w:tab w:val="left" w:pos="360"/>
        <w:tab w:val="left" w:pos="1350"/>
        <w:tab w:val="right" w:leader="dot" w:pos="9360"/>
      </w:tabs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1B7ADF"/>
    <w:pPr>
      <w:tabs>
        <w:tab w:val="left" w:pos="720"/>
        <w:tab w:val="right" w:leader="dot" w:pos="9360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1B7ADF"/>
    <w:pPr>
      <w:tabs>
        <w:tab w:val="left" w:pos="1080"/>
        <w:tab w:val="right" w:leader="dot" w:pos="9360"/>
      </w:tabs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153DC2"/>
    <w:rPr>
      <w:color w:val="0000FF"/>
      <w:u w:val="single"/>
    </w:rPr>
  </w:style>
  <w:style w:type="paragraph" w:customStyle="1" w:styleId="TableSubheading">
    <w:name w:val="Table Subheading"/>
    <w:qFormat/>
    <w:rsid w:val="00153DC2"/>
    <w:pPr>
      <w:spacing w:before="40" w:after="40"/>
    </w:pPr>
    <w:rPr>
      <w:rFonts w:ascii="Arial" w:hAnsi="Arial"/>
      <w:b/>
      <w:sz w:val="18"/>
      <w:szCs w:val="24"/>
    </w:rPr>
  </w:style>
  <w:style w:type="paragraph" w:styleId="BalloonText">
    <w:name w:val="Balloon Text"/>
    <w:basedOn w:val="Normal"/>
    <w:link w:val="BalloonTextChar"/>
    <w:semiHidden/>
    <w:rsid w:val="00153D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53DC2"/>
    <w:rPr>
      <w:rFonts w:ascii="Tahoma" w:hAnsi="Tahoma" w:cs="Tahoma"/>
      <w:sz w:val="16"/>
      <w:szCs w:val="16"/>
    </w:rPr>
  </w:style>
  <w:style w:type="paragraph" w:customStyle="1" w:styleId="Heading-ExecSum1">
    <w:name w:val="Heading - ExecSum 1"/>
    <w:qFormat/>
    <w:rsid w:val="008046EA"/>
    <w:pPr>
      <w:spacing w:before="240" w:after="300"/>
    </w:pPr>
    <w:rPr>
      <w:rFonts w:ascii="Arial Narrow Bold" w:hAnsi="Arial Narrow Bold"/>
      <w:b/>
      <w:bCs/>
      <w:color w:val="1F497D"/>
      <w:kern w:val="32"/>
      <w:sz w:val="36"/>
      <w:szCs w:val="32"/>
    </w:rPr>
  </w:style>
  <w:style w:type="paragraph" w:styleId="FootnoteText">
    <w:name w:val="footnote text"/>
    <w:link w:val="FootnoteTextChar"/>
    <w:semiHidden/>
    <w:unhideWhenUsed/>
    <w:rsid w:val="00153DC2"/>
    <w:pPr>
      <w:spacing w:before="60" w:after="60"/>
    </w:pPr>
    <w:rPr>
      <w:rFonts w:ascii="Arial" w:hAnsi="Arial"/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153DC2"/>
    <w:rPr>
      <w:rFonts w:ascii="Arial" w:hAnsi="Arial"/>
      <w:sz w:val="18"/>
      <w:lang w:val="en-US" w:eastAsia="en-US" w:bidi="ar-SA"/>
    </w:rPr>
  </w:style>
  <w:style w:type="character" w:styleId="FootnoteReference">
    <w:name w:val="footnote reference"/>
    <w:basedOn w:val="DefaultParagraphFont"/>
    <w:rsid w:val="00153DC2"/>
    <w:rPr>
      <w:vertAlign w:val="superscript"/>
    </w:rPr>
  </w:style>
  <w:style w:type="character" w:styleId="EndnoteReference">
    <w:name w:val="endnote reference"/>
    <w:basedOn w:val="DefaultParagraphFont"/>
    <w:semiHidden/>
    <w:rsid w:val="00153DC2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153DC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53DC2"/>
  </w:style>
  <w:style w:type="paragraph" w:customStyle="1" w:styleId="TableCaption">
    <w:name w:val="Table Caption"/>
    <w:basedOn w:val="FigureCaption"/>
    <w:next w:val="Normal"/>
    <w:qFormat/>
    <w:rsid w:val="00ED43A1"/>
  </w:style>
  <w:style w:type="paragraph" w:styleId="TableofFigures">
    <w:name w:val="table of figures"/>
    <w:basedOn w:val="Normal"/>
    <w:next w:val="Normal"/>
    <w:uiPriority w:val="99"/>
    <w:rsid w:val="00ED43A1"/>
    <w:pPr>
      <w:spacing w:after="0"/>
    </w:pPr>
  </w:style>
  <w:style w:type="paragraph" w:styleId="ListParagraph">
    <w:name w:val="List Paragraph"/>
    <w:basedOn w:val="Normal"/>
    <w:uiPriority w:val="34"/>
    <w:qFormat/>
    <w:rsid w:val="005F19F8"/>
    <w:pPr>
      <w:spacing w:before="0" w:after="0"/>
      <w:ind w:left="720"/>
      <w:contextualSpacing/>
    </w:pPr>
    <w:rPr>
      <w:rFonts w:ascii="Times New Roman" w:hAnsi="Times New Roman" w:cs="Times New Roman"/>
    </w:rPr>
  </w:style>
  <w:style w:type="table" w:customStyle="1" w:styleId="LightShading-Accent11">
    <w:name w:val="Light Shading - Accent 11"/>
    <w:basedOn w:val="TableNormal"/>
    <w:uiPriority w:val="60"/>
    <w:rsid w:val="0044737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tyleBullet1Bold">
    <w:name w:val="Style Bullet 1 + Bold"/>
    <w:basedOn w:val="Bullet1"/>
    <w:autoRedefine/>
    <w:rsid w:val="00224E28"/>
    <w:rPr>
      <w:b/>
      <w:bCs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521C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numbering" w:customStyle="1" w:styleId="Bulletcalibrisub1">
    <w:name w:val="Bullet calibri sub 1"/>
    <w:basedOn w:val="NoList"/>
    <w:rsid w:val="004F1635"/>
    <w:pPr>
      <w:numPr>
        <w:numId w:val="15"/>
      </w:numPr>
    </w:pPr>
  </w:style>
  <w:style w:type="numbering" w:customStyle="1" w:styleId="Bulletcalibrisub2">
    <w:name w:val="Bullet calibri sub 2"/>
    <w:basedOn w:val="NoList"/>
    <w:rsid w:val="004F1635"/>
    <w:pPr>
      <w:numPr>
        <w:numId w:val="16"/>
      </w:numPr>
    </w:pPr>
  </w:style>
  <w:style w:type="paragraph" w:styleId="NormalWeb">
    <w:name w:val="Normal (Web)"/>
    <w:basedOn w:val="Normal"/>
    <w:uiPriority w:val="99"/>
    <w:unhideWhenUsed/>
    <w:rsid w:val="004F1635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Classic2">
    <w:name w:val="Table Classic 2"/>
    <w:basedOn w:val="TableNormal"/>
    <w:rsid w:val="000964D2"/>
    <w:pPr>
      <w:spacing w:before="120" w:after="12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0964D2"/>
    <w:pPr>
      <w:spacing w:before="120" w:after="12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964D2"/>
    <w:pPr>
      <w:spacing w:before="120" w:after="12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964D2"/>
    <w:pPr>
      <w:spacing w:before="120" w:after="12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0964D2"/>
    <w:pPr>
      <w:spacing w:before="120" w:after="12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126523"/>
    <w:pPr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footer" w:uiPriority="99"/>
    <w:lsdException w:name="index heading" w:semiHidden="1"/>
    <w:lsdException w:name="caption" w:qFormat="1"/>
    <w:lsdException w:name="table of figures" w:semiHidden="1" w:uiPriority="99"/>
    <w:lsdException w:name="envelope address" w:semiHidden="1"/>
    <w:lsdException w:name="envelope return" w:semiHidden="1"/>
    <w:lsdException w:name="footnote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List" w:uiPriority="99"/>
    <w:lsdException w:name="Balloon Text" w:semiHidden="1"/>
    <w:lsdException w:name="Table Grid" w:uiPriority="5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224E28"/>
    <w:pPr>
      <w:spacing w:before="120" w:after="120"/>
    </w:pPr>
    <w:rPr>
      <w:rFonts w:ascii="Calibri" w:hAnsi="Calibri" w:cs="Calibri"/>
      <w:sz w:val="24"/>
      <w:szCs w:val="24"/>
    </w:rPr>
  </w:style>
  <w:style w:type="paragraph" w:styleId="Heading1">
    <w:name w:val="heading 1"/>
    <w:next w:val="Normal"/>
    <w:qFormat/>
    <w:rsid w:val="008130AC"/>
    <w:pPr>
      <w:keepNext/>
      <w:numPr>
        <w:numId w:val="1"/>
      </w:numPr>
      <w:spacing w:before="240" w:after="300"/>
      <w:outlineLvl w:val="0"/>
    </w:pPr>
    <w:rPr>
      <w:rFonts w:ascii="Calibri" w:hAnsi="Calibri" w:cs="Calibri"/>
      <w:b/>
      <w:bCs/>
      <w:color w:val="1F497D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8130AC"/>
    <w:pPr>
      <w:keepNext/>
      <w:keepLines/>
      <w:numPr>
        <w:ilvl w:val="1"/>
        <w:numId w:val="2"/>
      </w:numPr>
      <w:spacing w:before="300" w:after="80"/>
      <w:outlineLvl w:val="1"/>
    </w:pPr>
    <w:rPr>
      <w:b/>
      <w:bCs/>
      <w:color w:val="1F497D"/>
      <w:sz w:val="32"/>
      <w:szCs w:val="26"/>
    </w:rPr>
  </w:style>
  <w:style w:type="paragraph" w:styleId="Heading3">
    <w:name w:val="heading 3"/>
    <w:next w:val="Normal"/>
    <w:link w:val="Heading3Char"/>
    <w:qFormat/>
    <w:rsid w:val="008046EA"/>
    <w:pPr>
      <w:keepNext/>
      <w:keepLines/>
      <w:numPr>
        <w:ilvl w:val="2"/>
        <w:numId w:val="2"/>
      </w:numPr>
      <w:spacing w:before="300" w:after="80"/>
      <w:outlineLvl w:val="2"/>
    </w:pPr>
    <w:rPr>
      <w:rFonts w:ascii="Arial Narrow" w:hAnsi="Arial Narrow"/>
      <w:b/>
      <w:bCs/>
      <w:color w:val="1F497D"/>
      <w:sz w:val="26"/>
      <w:szCs w:val="24"/>
    </w:rPr>
  </w:style>
  <w:style w:type="paragraph" w:styleId="Heading4">
    <w:name w:val="heading 4"/>
    <w:next w:val="Normal"/>
    <w:link w:val="Heading4Char"/>
    <w:qFormat/>
    <w:rsid w:val="008046EA"/>
    <w:pPr>
      <w:keepNext/>
      <w:keepLines/>
      <w:numPr>
        <w:ilvl w:val="3"/>
        <w:numId w:val="2"/>
      </w:numPr>
      <w:spacing w:before="240" w:after="80"/>
      <w:outlineLvl w:val="3"/>
    </w:pPr>
    <w:rPr>
      <w:rFonts w:ascii="Arial Narrow" w:hAnsi="Arial Narrow"/>
      <w:b/>
      <w:bCs/>
      <w:i/>
      <w:iCs/>
      <w:color w:val="1F497D"/>
      <w:sz w:val="24"/>
      <w:szCs w:val="24"/>
    </w:rPr>
  </w:style>
  <w:style w:type="paragraph" w:styleId="Heading5">
    <w:name w:val="heading 5"/>
    <w:next w:val="Normal"/>
    <w:link w:val="Heading5Char"/>
    <w:qFormat/>
    <w:rsid w:val="008046EA"/>
    <w:pPr>
      <w:keepNext/>
      <w:keepLines/>
      <w:numPr>
        <w:ilvl w:val="4"/>
        <w:numId w:val="2"/>
      </w:numPr>
      <w:spacing w:before="240" w:after="80"/>
      <w:outlineLvl w:val="4"/>
    </w:pPr>
    <w:rPr>
      <w:rFonts w:ascii="Arial Narrow" w:hAnsi="Arial Narrow"/>
      <w:i/>
      <w:color w:val="1F497D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53DC2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53DC2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53DC2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53DC2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153D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3DC2"/>
  </w:style>
  <w:style w:type="character" w:styleId="CommentReference">
    <w:name w:val="annotation reference"/>
    <w:basedOn w:val="DefaultParagraphFont"/>
    <w:semiHidden/>
    <w:unhideWhenUsed/>
    <w:rsid w:val="00153DC2"/>
    <w:rPr>
      <w:sz w:val="16"/>
      <w:szCs w:val="16"/>
    </w:rPr>
  </w:style>
  <w:style w:type="paragraph" w:customStyle="1" w:styleId="Heading-Appendix1">
    <w:name w:val="Heading - Appendix 1"/>
    <w:next w:val="Normal"/>
    <w:uiPriority w:val="99"/>
    <w:qFormat/>
    <w:rsid w:val="008046EA"/>
    <w:pPr>
      <w:keepLines/>
      <w:numPr>
        <w:numId w:val="10"/>
      </w:numPr>
      <w:tabs>
        <w:tab w:val="left" w:pos="1800"/>
      </w:tabs>
      <w:spacing w:before="200" w:after="300"/>
    </w:pPr>
    <w:rPr>
      <w:rFonts w:ascii="Arial Narrow" w:hAnsi="Arial Narrow"/>
      <w:b/>
      <w:bCs/>
      <w:color w:val="1F497D"/>
      <w:sz w:val="32"/>
      <w:szCs w:val="28"/>
    </w:rPr>
  </w:style>
  <w:style w:type="paragraph" w:customStyle="1" w:styleId="Heading-Appendix2">
    <w:name w:val="Heading - Appendix 2"/>
    <w:next w:val="Normal"/>
    <w:uiPriority w:val="99"/>
    <w:qFormat/>
    <w:rsid w:val="008046EA"/>
    <w:pPr>
      <w:numPr>
        <w:ilvl w:val="1"/>
        <w:numId w:val="10"/>
      </w:numPr>
      <w:tabs>
        <w:tab w:val="left" w:pos="720"/>
      </w:tabs>
      <w:spacing w:before="300" w:after="80"/>
    </w:pPr>
    <w:rPr>
      <w:rFonts w:ascii="Arial Narrow" w:hAnsi="Arial Narrow"/>
      <w:b/>
      <w:bCs/>
      <w:color w:val="1F497D"/>
      <w:sz w:val="28"/>
      <w:szCs w:val="28"/>
    </w:rPr>
  </w:style>
  <w:style w:type="paragraph" w:customStyle="1" w:styleId="Heading-Appendix3">
    <w:name w:val="Heading - Appendix 3"/>
    <w:next w:val="Normal"/>
    <w:uiPriority w:val="99"/>
    <w:qFormat/>
    <w:rsid w:val="008046EA"/>
    <w:pPr>
      <w:numPr>
        <w:ilvl w:val="2"/>
        <w:numId w:val="10"/>
      </w:numPr>
      <w:tabs>
        <w:tab w:val="left" w:pos="900"/>
      </w:tabs>
      <w:spacing w:before="240" w:after="80"/>
    </w:pPr>
    <w:rPr>
      <w:rFonts w:ascii="Arial Narrow" w:hAnsi="Arial Narrow"/>
      <w:b/>
      <w:bCs/>
      <w:color w:val="1F497D"/>
      <w:sz w:val="26"/>
      <w:szCs w:val="28"/>
    </w:rPr>
  </w:style>
  <w:style w:type="paragraph" w:customStyle="1" w:styleId="Bullet1">
    <w:name w:val="Bullet 1"/>
    <w:rsid w:val="002B09D1"/>
    <w:pPr>
      <w:numPr>
        <w:numId w:val="3"/>
      </w:numPr>
      <w:tabs>
        <w:tab w:val="clear" w:pos="720"/>
      </w:tabs>
      <w:spacing w:before="60" w:after="60"/>
      <w:ind w:left="576" w:hanging="288"/>
    </w:pPr>
    <w:rPr>
      <w:rFonts w:ascii="Calibri" w:hAnsi="Calibri" w:cs="Calibri"/>
      <w:sz w:val="22"/>
      <w:szCs w:val="22"/>
    </w:rPr>
  </w:style>
  <w:style w:type="paragraph" w:customStyle="1" w:styleId="Bullet2">
    <w:name w:val="Bullet 2"/>
    <w:rsid w:val="00805D4A"/>
    <w:pPr>
      <w:numPr>
        <w:numId w:val="4"/>
      </w:numPr>
      <w:spacing w:before="40" w:after="40"/>
    </w:pPr>
    <w:rPr>
      <w:rFonts w:ascii="Calibri" w:hAnsi="Calibri"/>
      <w:sz w:val="24"/>
      <w:szCs w:val="24"/>
    </w:rPr>
  </w:style>
  <w:style w:type="paragraph" w:customStyle="1" w:styleId="Bullet3">
    <w:name w:val="Bullet 3"/>
    <w:rsid w:val="008046EA"/>
    <w:pPr>
      <w:numPr>
        <w:numId w:val="5"/>
      </w:numPr>
      <w:tabs>
        <w:tab w:val="clear" w:pos="720"/>
      </w:tabs>
      <w:spacing w:before="40" w:after="40"/>
      <w:ind w:left="1296" w:hanging="288"/>
    </w:pPr>
    <w:rPr>
      <w:sz w:val="24"/>
      <w:szCs w:val="22"/>
    </w:rPr>
  </w:style>
  <w:style w:type="paragraph" w:customStyle="1" w:styleId="Bulletparagraph">
    <w:name w:val="Bullet paragraph"/>
    <w:rsid w:val="00153DC2"/>
    <w:pPr>
      <w:spacing w:before="60" w:after="60"/>
      <w:ind w:left="720"/>
    </w:pPr>
    <w:rPr>
      <w:sz w:val="24"/>
    </w:rPr>
  </w:style>
  <w:style w:type="paragraph" w:customStyle="1" w:styleId="Heading-FrontMatter">
    <w:name w:val="Heading - Front Matter"/>
    <w:qFormat/>
    <w:rsid w:val="008046EA"/>
    <w:pPr>
      <w:spacing w:before="240" w:after="300"/>
    </w:pPr>
    <w:rPr>
      <w:rFonts w:ascii="Arial Narrow Bold" w:hAnsi="Arial Narrow Bold"/>
      <w:b/>
      <w:bCs/>
      <w:color w:val="1F497D"/>
      <w:kern w:val="32"/>
      <w:sz w:val="36"/>
      <w:szCs w:val="32"/>
    </w:rPr>
  </w:style>
  <w:style w:type="paragraph" w:customStyle="1" w:styleId="Numbered">
    <w:name w:val="Numbered"/>
    <w:semiHidden/>
    <w:rsid w:val="00153DC2"/>
    <w:pPr>
      <w:numPr>
        <w:numId w:val="6"/>
      </w:numPr>
      <w:spacing w:before="60" w:after="60"/>
    </w:pPr>
    <w:rPr>
      <w:sz w:val="22"/>
      <w:szCs w:val="22"/>
    </w:rPr>
  </w:style>
  <w:style w:type="table" w:styleId="TableGrid">
    <w:name w:val="Table Grid"/>
    <w:basedOn w:val="TableNormal"/>
    <w:uiPriority w:val="59"/>
    <w:rsid w:val="00153D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ronymorGlossaryTerm">
    <w:name w:val="Acronym or Glossary Term"/>
    <w:qFormat/>
    <w:rsid w:val="00153DC2"/>
    <w:pPr>
      <w:spacing w:before="80" w:after="80"/>
    </w:pPr>
    <w:rPr>
      <w:b/>
      <w:sz w:val="24"/>
      <w:szCs w:val="24"/>
    </w:rPr>
  </w:style>
  <w:style w:type="paragraph" w:customStyle="1" w:styleId="AcronymorGlossaryDefinition">
    <w:name w:val="Acronym or Glossary Definition"/>
    <w:qFormat/>
    <w:rsid w:val="00153DC2"/>
    <w:pPr>
      <w:spacing w:before="80" w:after="80"/>
    </w:pPr>
    <w:rPr>
      <w:sz w:val="24"/>
      <w:szCs w:val="24"/>
    </w:rPr>
  </w:style>
  <w:style w:type="paragraph" w:customStyle="1" w:styleId="NumberedList">
    <w:name w:val="Numbered List"/>
    <w:qFormat/>
    <w:rsid w:val="008046EA"/>
    <w:pPr>
      <w:numPr>
        <w:numId w:val="13"/>
      </w:numPr>
      <w:spacing w:before="60" w:after="60"/>
    </w:pPr>
    <w:rPr>
      <w:sz w:val="24"/>
      <w:szCs w:val="24"/>
    </w:rPr>
  </w:style>
  <w:style w:type="paragraph" w:customStyle="1" w:styleId="TaskHeading">
    <w:name w:val="Task Heading"/>
    <w:next w:val="Normal"/>
    <w:semiHidden/>
    <w:rsid w:val="00153DC2"/>
    <w:pPr>
      <w:keepNext/>
      <w:shd w:val="clear" w:color="auto" w:fill="606060"/>
      <w:spacing w:before="120" w:after="160" w:line="400" w:lineRule="exact"/>
      <w:ind w:left="720" w:hanging="720"/>
      <w:jc w:val="center"/>
      <w:outlineLvl w:val="0"/>
    </w:pPr>
    <w:rPr>
      <w:rFonts w:ascii="Arial Bold" w:hAnsi="Arial Bold"/>
      <w:b/>
      <w:bCs/>
      <w:color w:val="FFFFFF"/>
      <w:sz w:val="24"/>
      <w:szCs w:val="24"/>
    </w:rPr>
  </w:style>
  <w:style w:type="paragraph" w:customStyle="1" w:styleId="Reference">
    <w:name w:val="Reference"/>
    <w:qFormat/>
    <w:rsid w:val="005F4DD9"/>
    <w:pPr>
      <w:numPr>
        <w:numId w:val="11"/>
      </w:numPr>
      <w:tabs>
        <w:tab w:val="left" w:pos="360"/>
      </w:tabs>
      <w:spacing w:before="80" w:after="100"/>
      <w:ind w:left="360"/>
    </w:pPr>
    <w:rPr>
      <w:bCs/>
      <w:kern w:val="32"/>
      <w:sz w:val="24"/>
      <w:szCs w:val="32"/>
    </w:rPr>
  </w:style>
  <w:style w:type="paragraph" w:customStyle="1" w:styleId="Bullet">
    <w:name w:val="Bullet"/>
    <w:basedOn w:val="Normal"/>
    <w:semiHidden/>
    <w:rsid w:val="00153DC2"/>
    <w:pPr>
      <w:numPr>
        <w:numId w:val="7"/>
      </w:numPr>
      <w:spacing w:before="20" w:after="20" w:line="220" w:lineRule="exact"/>
    </w:pPr>
    <w:rPr>
      <w:rFonts w:ascii="Arial" w:hAnsi="Arial" w:cs="Arial"/>
      <w:sz w:val="18"/>
      <w:szCs w:val="18"/>
    </w:rPr>
  </w:style>
  <w:style w:type="paragraph" w:customStyle="1" w:styleId="TableBullet">
    <w:name w:val="TableBullet"/>
    <w:rsid w:val="005F4DD9"/>
    <w:pPr>
      <w:numPr>
        <w:numId w:val="12"/>
      </w:numPr>
      <w:tabs>
        <w:tab w:val="left" w:pos="216"/>
      </w:tabs>
      <w:spacing w:before="40" w:after="40"/>
      <w:ind w:left="216" w:hanging="216"/>
    </w:pPr>
    <w:rPr>
      <w:rFonts w:ascii="Arial" w:hAnsi="Arial"/>
      <w:sz w:val="18"/>
    </w:rPr>
  </w:style>
  <w:style w:type="paragraph" w:styleId="Header">
    <w:name w:val="header"/>
    <w:link w:val="HeaderChar"/>
    <w:rsid w:val="00153DC2"/>
    <w:pPr>
      <w:tabs>
        <w:tab w:val="center" w:pos="4680"/>
        <w:tab w:val="right" w:pos="9360"/>
      </w:tabs>
      <w:jc w:val="center"/>
    </w:pPr>
    <w:rPr>
      <w:rFonts w:ascii="Arial Narrow" w:hAnsi="Arial Narrow"/>
      <w:b/>
      <w:szCs w:val="24"/>
    </w:rPr>
  </w:style>
  <w:style w:type="paragraph" w:customStyle="1" w:styleId="BulletSecondLevel">
    <w:name w:val="Bullet Second Level"/>
    <w:basedOn w:val="Bullet1"/>
    <w:semiHidden/>
    <w:qFormat/>
    <w:rsid w:val="00153DC2"/>
    <w:pPr>
      <w:numPr>
        <w:numId w:val="8"/>
      </w:numPr>
    </w:pPr>
  </w:style>
  <w:style w:type="character" w:customStyle="1" w:styleId="Heading2Char">
    <w:name w:val="Heading 2 Char"/>
    <w:basedOn w:val="DefaultParagraphFont"/>
    <w:link w:val="Heading2"/>
    <w:rsid w:val="008130AC"/>
    <w:rPr>
      <w:rFonts w:ascii="Calibri" w:hAnsi="Calibri" w:cs="Calibri"/>
      <w:b/>
      <w:bCs/>
      <w:color w:val="1F497D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8046EA"/>
    <w:rPr>
      <w:rFonts w:ascii="Arial Narrow" w:hAnsi="Arial Narrow"/>
      <w:b/>
      <w:bCs/>
      <w:color w:val="1F497D"/>
      <w:sz w:val="26"/>
      <w:szCs w:val="24"/>
    </w:rPr>
  </w:style>
  <w:style w:type="character" w:customStyle="1" w:styleId="Heading4Char">
    <w:name w:val="Heading 4 Char"/>
    <w:basedOn w:val="DefaultParagraphFont"/>
    <w:link w:val="Heading4"/>
    <w:rsid w:val="008046EA"/>
    <w:rPr>
      <w:rFonts w:ascii="Arial Narrow" w:hAnsi="Arial Narrow"/>
      <w:b/>
      <w:bCs/>
      <w:i/>
      <w:iCs/>
      <w:color w:val="1F497D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046EA"/>
    <w:rPr>
      <w:rFonts w:ascii="Arial Narrow" w:hAnsi="Arial Narrow"/>
      <w:i/>
      <w:color w:val="1F497D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153DC2"/>
    <w:rPr>
      <w:rFonts w:ascii="Cambria" w:hAnsi="Cambria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153DC2"/>
    <w:rPr>
      <w:rFonts w:ascii="Cambria" w:hAnsi="Cambria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53DC2"/>
    <w:rPr>
      <w:rFonts w:ascii="Cambria" w:hAnsi="Cambria"/>
      <w:color w:val="404040"/>
    </w:rPr>
  </w:style>
  <w:style w:type="character" w:customStyle="1" w:styleId="Heading9Char">
    <w:name w:val="Heading 9 Char"/>
    <w:basedOn w:val="DefaultParagraphFont"/>
    <w:link w:val="Heading9"/>
    <w:semiHidden/>
    <w:rsid w:val="00153DC2"/>
    <w:rPr>
      <w:rFonts w:ascii="Cambria" w:hAnsi="Cambria"/>
      <w:i/>
      <w:iCs/>
      <w:color w:val="404040"/>
    </w:rPr>
  </w:style>
  <w:style w:type="paragraph" w:customStyle="1" w:styleId="TableColumnHeading">
    <w:name w:val="Table Column Heading"/>
    <w:qFormat/>
    <w:rsid w:val="00153DC2"/>
    <w:pPr>
      <w:spacing w:before="40" w:after="40"/>
      <w:jc w:val="center"/>
    </w:pPr>
    <w:rPr>
      <w:rFonts w:ascii="Arial" w:hAnsi="Arial"/>
      <w:b/>
      <w:bCs/>
      <w:szCs w:val="24"/>
    </w:rPr>
  </w:style>
  <w:style w:type="paragraph" w:customStyle="1" w:styleId="TableText">
    <w:name w:val="Table Text"/>
    <w:qFormat/>
    <w:rsid w:val="00153DC2"/>
    <w:pPr>
      <w:spacing w:before="40" w:after="40"/>
    </w:pPr>
    <w:rPr>
      <w:rFonts w:ascii="Arial" w:hAnsi="Arial"/>
      <w:bCs/>
      <w:sz w:val="18"/>
      <w:szCs w:val="24"/>
    </w:rPr>
  </w:style>
  <w:style w:type="paragraph" w:customStyle="1" w:styleId="Figure">
    <w:name w:val="Figure"/>
    <w:next w:val="Normal"/>
    <w:qFormat/>
    <w:rsid w:val="00153DC2"/>
    <w:pPr>
      <w:jc w:val="center"/>
    </w:pPr>
    <w:rPr>
      <w:bCs/>
      <w:sz w:val="24"/>
      <w:szCs w:val="24"/>
    </w:rPr>
  </w:style>
  <w:style w:type="paragraph" w:customStyle="1" w:styleId="FigureCaption">
    <w:name w:val="Figure Caption"/>
    <w:next w:val="Figure"/>
    <w:qFormat/>
    <w:rsid w:val="008046EA"/>
    <w:pPr>
      <w:spacing w:before="240" w:after="120"/>
      <w:jc w:val="center"/>
    </w:pPr>
    <w:rPr>
      <w:rFonts w:ascii="Arial Narrow" w:hAnsi="Arial Narrow"/>
      <w:b/>
      <w:color w:val="1F497D"/>
      <w:szCs w:val="24"/>
    </w:rPr>
  </w:style>
  <w:style w:type="paragraph" w:customStyle="1" w:styleId="Heading-BackMatter">
    <w:name w:val="Heading - Back Matter"/>
    <w:basedOn w:val="Heading-FrontMatter"/>
    <w:qFormat/>
    <w:rsid w:val="008046EA"/>
  </w:style>
  <w:style w:type="paragraph" w:customStyle="1" w:styleId="ProgramName">
    <w:name w:val="Program Name"/>
    <w:qFormat/>
    <w:rsid w:val="00153DC2"/>
    <w:pPr>
      <w:spacing w:before="60" w:after="360"/>
    </w:pPr>
    <w:rPr>
      <w:rFonts w:ascii="Cambria" w:hAnsi="Cambria"/>
      <w:b/>
      <w:bCs/>
      <w:color w:val="1F497D"/>
      <w:kern w:val="32"/>
      <w:sz w:val="32"/>
      <w:szCs w:val="32"/>
    </w:rPr>
  </w:style>
  <w:style w:type="paragraph" w:customStyle="1" w:styleId="DocTitle">
    <w:name w:val="Doc Title"/>
    <w:qFormat/>
    <w:rsid w:val="00153DC2"/>
    <w:pPr>
      <w:spacing w:after="360"/>
    </w:pPr>
    <w:rPr>
      <w:rFonts w:ascii="Cambria" w:hAnsi="Cambria"/>
      <w:b/>
      <w:bCs/>
      <w:color w:val="1F497D"/>
      <w:kern w:val="32"/>
      <w:sz w:val="48"/>
      <w:szCs w:val="32"/>
    </w:rPr>
  </w:style>
  <w:style w:type="paragraph" w:customStyle="1" w:styleId="PubDate">
    <w:name w:val="Pub Date"/>
    <w:qFormat/>
    <w:rsid w:val="00153DC2"/>
    <w:pPr>
      <w:spacing w:after="360"/>
    </w:pPr>
    <w:rPr>
      <w:rFonts w:ascii="Cambria" w:hAnsi="Cambria"/>
      <w:b/>
      <w:bCs/>
      <w:color w:val="1F497D"/>
      <w:kern w:val="32"/>
      <w:sz w:val="28"/>
      <w:szCs w:val="32"/>
    </w:rPr>
  </w:style>
  <w:style w:type="paragraph" w:customStyle="1" w:styleId="DocSubtitle">
    <w:name w:val="Doc Subtitle"/>
    <w:qFormat/>
    <w:rsid w:val="00153DC2"/>
    <w:pPr>
      <w:spacing w:after="360"/>
    </w:pPr>
    <w:rPr>
      <w:rFonts w:ascii="Cambria" w:hAnsi="Cambria"/>
      <w:b/>
      <w:bCs/>
      <w:color w:val="1F497D"/>
      <w:kern w:val="32"/>
      <w:sz w:val="40"/>
      <w:szCs w:val="32"/>
    </w:rPr>
  </w:style>
  <w:style w:type="paragraph" w:customStyle="1" w:styleId="VersionNo">
    <w:name w:val="Version No."/>
    <w:qFormat/>
    <w:rsid w:val="00153DC2"/>
    <w:pPr>
      <w:spacing w:after="360"/>
    </w:pPr>
    <w:rPr>
      <w:rFonts w:ascii="Cambria" w:hAnsi="Cambria"/>
      <w:b/>
      <w:bCs/>
      <w:color w:val="1F497D"/>
      <w:kern w:val="32"/>
      <w:sz w:val="28"/>
      <w:szCs w:val="32"/>
    </w:rPr>
  </w:style>
  <w:style w:type="paragraph" w:customStyle="1" w:styleId="DocNumber">
    <w:name w:val="Doc Number"/>
    <w:basedOn w:val="VersionNo"/>
    <w:qFormat/>
    <w:rsid w:val="00153DC2"/>
    <w:rPr>
      <w:sz w:val="24"/>
    </w:rPr>
  </w:style>
  <w:style w:type="paragraph" w:customStyle="1" w:styleId="Disclaimer">
    <w:name w:val="Disclaimer"/>
    <w:qFormat/>
    <w:rsid w:val="00153DC2"/>
    <w:pPr>
      <w:spacing w:before="80" w:after="80"/>
    </w:pPr>
    <w:rPr>
      <w:rFonts w:ascii="Calibri" w:hAnsi="Calibri"/>
      <w:bCs/>
      <w:color w:val="1F497D"/>
      <w:kern w:val="32"/>
      <w:szCs w:val="32"/>
    </w:rPr>
  </w:style>
  <w:style w:type="paragraph" w:customStyle="1" w:styleId="Classification">
    <w:name w:val="Classification"/>
    <w:qFormat/>
    <w:rsid w:val="00153DC2"/>
    <w:pPr>
      <w:spacing w:after="360"/>
    </w:pPr>
    <w:rPr>
      <w:rFonts w:ascii="Cambria" w:hAnsi="Cambria"/>
      <w:b/>
      <w:bCs/>
      <w:color w:val="A50021"/>
      <w:kern w:val="32"/>
      <w:sz w:val="22"/>
      <w:szCs w:val="32"/>
    </w:rPr>
  </w:style>
  <w:style w:type="paragraph" w:customStyle="1" w:styleId="Heading-Unnumbered">
    <w:name w:val="Heading - Unnumbered"/>
    <w:qFormat/>
    <w:rsid w:val="00224E28"/>
    <w:pPr>
      <w:spacing w:before="240" w:after="80"/>
    </w:pPr>
    <w:rPr>
      <w:rFonts w:ascii="Calibri" w:hAnsi="Calibri"/>
      <w:b/>
      <w:bCs/>
      <w:color w:val="1F497D"/>
      <w:kern w:val="32"/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153DC2"/>
    <w:rPr>
      <w:rFonts w:ascii="Arial Narrow" w:hAnsi="Arial Narrow"/>
      <w:b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153DC2"/>
    <w:pPr>
      <w:pBdr>
        <w:top w:val="single" w:sz="4" w:space="1" w:color="000000"/>
      </w:pBdr>
      <w:tabs>
        <w:tab w:val="center" w:pos="4680"/>
        <w:tab w:val="right" w:pos="8136"/>
      </w:tabs>
      <w:spacing w:before="80"/>
    </w:pPr>
    <w:rPr>
      <w:rFonts w:ascii="Arial Narrow" w:hAnsi="Arial Narrow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53DC2"/>
    <w:rPr>
      <w:rFonts w:ascii="Arial Narrow" w:hAnsi="Arial Narrow"/>
      <w:szCs w:val="24"/>
    </w:rPr>
  </w:style>
  <w:style w:type="paragraph" w:customStyle="1" w:styleId="Company">
    <w:name w:val="Company"/>
    <w:qFormat/>
    <w:rsid w:val="00153DC2"/>
    <w:pPr>
      <w:spacing w:before="240" w:after="40"/>
    </w:pPr>
    <w:rPr>
      <w:rFonts w:ascii="MITRE" w:hAnsi="MITRE"/>
      <w:b/>
      <w:bCs/>
      <w:kern w:val="32"/>
      <w:sz w:val="28"/>
      <w:szCs w:val="32"/>
    </w:rPr>
  </w:style>
  <w:style w:type="paragraph" w:customStyle="1" w:styleId="CenterAddress">
    <w:name w:val="CenterAddress"/>
    <w:qFormat/>
    <w:rsid w:val="00153DC2"/>
    <w:rPr>
      <w:rFonts w:ascii="Arial" w:hAnsi="Arial"/>
      <w:b/>
      <w:szCs w:val="24"/>
    </w:rPr>
  </w:style>
  <w:style w:type="paragraph" w:customStyle="1" w:styleId="NumberedList2bulleted">
    <w:name w:val="Numbered List 2 (bulleted)"/>
    <w:qFormat/>
    <w:rsid w:val="008046EA"/>
    <w:pPr>
      <w:numPr>
        <w:numId w:val="9"/>
      </w:numPr>
      <w:spacing w:before="60" w:after="60"/>
      <w:ind w:left="936" w:hanging="288"/>
    </w:pPr>
    <w:rPr>
      <w:bCs/>
      <w:kern w:val="32"/>
      <w:sz w:val="24"/>
      <w:szCs w:val="32"/>
    </w:rPr>
  </w:style>
  <w:style w:type="paragraph" w:customStyle="1" w:styleId="Heading-ExecSum2">
    <w:name w:val="Heading - ExecSum 2"/>
    <w:qFormat/>
    <w:rsid w:val="008046EA"/>
    <w:pPr>
      <w:spacing w:before="300" w:after="80"/>
    </w:pPr>
    <w:rPr>
      <w:rFonts w:ascii="Arial Narrow" w:hAnsi="Arial Narrow"/>
      <w:b/>
      <w:color w:val="1F497D"/>
      <w:sz w:val="28"/>
      <w:szCs w:val="24"/>
    </w:rPr>
  </w:style>
  <w:style w:type="paragraph" w:customStyle="1" w:styleId="Heading-ExecSum3">
    <w:name w:val="Heading - ExecSum 3"/>
    <w:qFormat/>
    <w:rsid w:val="008046EA"/>
    <w:pPr>
      <w:spacing w:before="240" w:after="80"/>
    </w:pPr>
    <w:rPr>
      <w:rFonts w:ascii="Arial Narrow" w:hAnsi="Arial Narrow"/>
      <w:b/>
      <w:color w:val="1F497D"/>
      <w:sz w:val="26"/>
      <w:szCs w:val="24"/>
    </w:rPr>
  </w:style>
  <w:style w:type="paragraph" w:customStyle="1" w:styleId="LineSpacer">
    <w:name w:val="Line Spacer"/>
    <w:qFormat/>
    <w:rsid w:val="00153DC2"/>
    <w:rPr>
      <w:sz w:val="18"/>
      <w:szCs w:val="24"/>
    </w:rPr>
  </w:style>
  <w:style w:type="paragraph" w:styleId="TOC1">
    <w:name w:val="toc 1"/>
    <w:basedOn w:val="Normal"/>
    <w:next w:val="Normal"/>
    <w:autoRedefine/>
    <w:uiPriority w:val="39"/>
    <w:rsid w:val="001B7ADF"/>
    <w:pPr>
      <w:tabs>
        <w:tab w:val="left" w:pos="360"/>
        <w:tab w:val="left" w:pos="1350"/>
        <w:tab w:val="right" w:leader="dot" w:pos="9360"/>
      </w:tabs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1B7ADF"/>
    <w:pPr>
      <w:tabs>
        <w:tab w:val="left" w:pos="720"/>
        <w:tab w:val="right" w:leader="dot" w:pos="9360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1B7ADF"/>
    <w:pPr>
      <w:tabs>
        <w:tab w:val="left" w:pos="1080"/>
        <w:tab w:val="right" w:leader="dot" w:pos="9360"/>
      </w:tabs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153DC2"/>
    <w:rPr>
      <w:color w:val="0000FF"/>
      <w:u w:val="single"/>
    </w:rPr>
  </w:style>
  <w:style w:type="paragraph" w:customStyle="1" w:styleId="TableSubheading">
    <w:name w:val="Table Subheading"/>
    <w:qFormat/>
    <w:rsid w:val="00153DC2"/>
    <w:pPr>
      <w:spacing w:before="40" w:after="40"/>
    </w:pPr>
    <w:rPr>
      <w:rFonts w:ascii="Arial" w:hAnsi="Arial"/>
      <w:b/>
      <w:sz w:val="18"/>
      <w:szCs w:val="24"/>
    </w:rPr>
  </w:style>
  <w:style w:type="paragraph" w:styleId="BalloonText">
    <w:name w:val="Balloon Text"/>
    <w:basedOn w:val="Normal"/>
    <w:link w:val="BalloonTextChar"/>
    <w:semiHidden/>
    <w:rsid w:val="00153D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53DC2"/>
    <w:rPr>
      <w:rFonts w:ascii="Tahoma" w:hAnsi="Tahoma" w:cs="Tahoma"/>
      <w:sz w:val="16"/>
      <w:szCs w:val="16"/>
    </w:rPr>
  </w:style>
  <w:style w:type="paragraph" w:customStyle="1" w:styleId="Heading-ExecSum1">
    <w:name w:val="Heading - ExecSum 1"/>
    <w:qFormat/>
    <w:rsid w:val="008046EA"/>
    <w:pPr>
      <w:spacing w:before="240" w:after="300"/>
    </w:pPr>
    <w:rPr>
      <w:rFonts w:ascii="Arial Narrow Bold" w:hAnsi="Arial Narrow Bold"/>
      <w:b/>
      <w:bCs/>
      <w:color w:val="1F497D"/>
      <w:kern w:val="32"/>
      <w:sz w:val="36"/>
      <w:szCs w:val="32"/>
    </w:rPr>
  </w:style>
  <w:style w:type="paragraph" w:styleId="FootnoteText">
    <w:name w:val="footnote text"/>
    <w:link w:val="FootnoteTextChar"/>
    <w:semiHidden/>
    <w:unhideWhenUsed/>
    <w:rsid w:val="00153DC2"/>
    <w:pPr>
      <w:spacing w:before="60" w:after="60"/>
    </w:pPr>
    <w:rPr>
      <w:rFonts w:ascii="Arial" w:hAnsi="Arial"/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153DC2"/>
    <w:rPr>
      <w:rFonts w:ascii="Arial" w:hAnsi="Arial"/>
      <w:sz w:val="18"/>
      <w:lang w:val="en-US" w:eastAsia="en-US" w:bidi="ar-SA"/>
    </w:rPr>
  </w:style>
  <w:style w:type="character" w:styleId="FootnoteReference">
    <w:name w:val="footnote reference"/>
    <w:basedOn w:val="DefaultParagraphFont"/>
    <w:rsid w:val="00153DC2"/>
    <w:rPr>
      <w:vertAlign w:val="superscript"/>
    </w:rPr>
  </w:style>
  <w:style w:type="character" w:styleId="EndnoteReference">
    <w:name w:val="endnote reference"/>
    <w:basedOn w:val="DefaultParagraphFont"/>
    <w:semiHidden/>
    <w:rsid w:val="00153DC2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153DC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53DC2"/>
  </w:style>
  <w:style w:type="paragraph" w:customStyle="1" w:styleId="TableCaption">
    <w:name w:val="Table Caption"/>
    <w:basedOn w:val="FigureCaption"/>
    <w:next w:val="Normal"/>
    <w:qFormat/>
    <w:rsid w:val="00ED43A1"/>
  </w:style>
  <w:style w:type="paragraph" w:styleId="TableofFigures">
    <w:name w:val="table of figures"/>
    <w:basedOn w:val="Normal"/>
    <w:next w:val="Normal"/>
    <w:uiPriority w:val="99"/>
    <w:rsid w:val="00ED43A1"/>
    <w:pPr>
      <w:spacing w:after="0"/>
    </w:pPr>
  </w:style>
  <w:style w:type="paragraph" w:styleId="ListParagraph">
    <w:name w:val="List Paragraph"/>
    <w:basedOn w:val="Normal"/>
    <w:uiPriority w:val="34"/>
    <w:qFormat/>
    <w:rsid w:val="005F19F8"/>
    <w:pPr>
      <w:spacing w:before="0" w:after="0"/>
      <w:ind w:left="720"/>
      <w:contextualSpacing/>
    </w:pPr>
    <w:rPr>
      <w:rFonts w:ascii="Times New Roman" w:hAnsi="Times New Roman" w:cs="Times New Roman"/>
    </w:rPr>
  </w:style>
  <w:style w:type="table" w:customStyle="1" w:styleId="LightShading-Accent11">
    <w:name w:val="Light Shading - Accent 11"/>
    <w:basedOn w:val="TableNormal"/>
    <w:uiPriority w:val="60"/>
    <w:rsid w:val="0044737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tyleBullet1Bold">
    <w:name w:val="Style Bullet 1 + Bold"/>
    <w:basedOn w:val="Bullet1"/>
    <w:autoRedefine/>
    <w:rsid w:val="00224E28"/>
    <w:rPr>
      <w:b/>
      <w:bCs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521C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numbering" w:customStyle="1" w:styleId="Bulletcalibrisub1">
    <w:name w:val="Bullet calibri sub 1"/>
    <w:basedOn w:val="NoList"/>
    <w:rsid w:val="004F1635"/>
    <w:pPr>
      <w:numPr>
        <w:numId w:val="15"/>
      </w:numPr>
    </w:pPr>
  </w:style>
  <w:style w:type="numbering" w:customStyle="1" w:styleId="Bulletcalibrisub2">
    <w:name w:val="Bullet calibri sub 2"/>
    <w:basedOn w:val="NoList"/>
    <w:rsid w:val="004F1635"/>
    <w:pPr>
      <w:numPr>
        <w:numId w:val="16"/>
      </w:numPr>
    </w:pPr>
  </w:style>
  <w:style w:type="paragraph" w:styleId="NormalWeb">
    <w:name w:val="Normal (Web)"/>
    <w:basedOn w:val="Normal"/>
    <w:uiPriority w:val="99"/>
    <w:unhideWhenUsed/>
    <w:rsid w:val="004F1635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Classic2">
    <w:name w:val="Table Classic 2"/>
    <w:basedOn w:val="TableNormal"/>
    <w:rsid w:val="000964D2"/>
    <w:pPr>
      <w:spacing w:before="120" w:after="12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0964D2"/>
    <w:pPr>
      <w:spacing w:before="120" w:after="12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964D2"/>
    <w:pPr>
      <w:spacing w:before="120" w:after="12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964D2"/>
    <w:pPr>
      <w:spacing w:before="120" w:after="12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0964D2"/>
    <w:pPr>
      <w:spacing w:before="120" w:after="12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126523"/>
    <w:pPr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859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298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79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1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96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77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22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5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640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94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38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671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6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225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385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877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parrish\Desktop\VBA\Authorized%20templates\Word%20deliverable%20template%20(white%20paper)%20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E0C77462E439498B6C3CD7A602E780" ma:contentTypeVersion="0" ma:contentTypeDescription="Create a new document." ma:contentTypeScope="" ma:versionID="7237be9c3eadc0054406e822eb3f0f1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014CD-1114-4C97-9287-55318CA5A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B23958-550A-4236-AD14-8C571703E068}">
  <ds:schemaRefs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4FAD4F0-61ED-4502-9872-535611CAE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A153BB3-7C4B-4BBA-B588-6EB75EDCC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deliverable template (white paper) v1</Template>
  <TotalTime>249</TotalTime>
  <Pages>23</Pages>
  <Words>3638</Words>
  <Characters>22219</Characters>
  <Application>Microsoft Office Word</Application>
  <DocSecurity>0</DocSecurity>
  <Lines>185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 Shutdown Plan</vt:lpstr>
    </vt:vector>
  </TitlesOfParts>
  <Company>VA HR&amp;A</Company>
  <LinksUpToDate>false</LinksUpToDate>
  <CharactersWithSpaces>25806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 Shutdown Plan</dc:title>
  <dc:creator>VA HR&amp;A</dc:creator>
  <cp:lastModifiedBy>Molloy, Paula PhD</cp:lastModifiedBy>
  <cp:revision>34</cp:revision>
  <cp:lastPrinted>2013-10-11T20:43:00Z</cp:lastPrinted>
  <dcterms:created xsi:type="dcterms:W3CDTF">2013-10-09T22:08:00Z</dcterms:created>
  <dcterms:modified xsi:type="dcterms:W3CDTF">2013-10-11T20:45:00Z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0x010100AFE0C77462E439498B6C3CD7A602E780</vt:lpwstr>
  </property>
  <property fmtid="{D5CDD505-2E9C-101B-9397-08002B2CF9AE}" pid="3" name="Order">
    <vt:r8>33100</vt:r8>
  </property>
  <property fmtid="{D5CDD505-2E9C-101B-9397-08002B2CF9AE}" pid="4" name="Description0">
    <vt:lpwstr>Template for use with informal work program deliverables authored by, and attributed to, MITRE (including CEM, CTH, and the Practices). Contains MITRE logo and copyright notice. </vt:lpwstr>
  </property>
  <property fmtid="{D5CDD505-2E9C-101B-9397-08002B2CF9AE}" pid="5" name="Format">
    <vt:lpwstr>Word Doc</vt:lpwstr>
  </property>
  <property fmtid="{D5CDD505-2E9C-101B-9397-08002B2CF9AE}" pid="6" name="Dept/Type">
    <vt:lpwstr>CCG</vt:lpwstr>
  </property>
  <property fmtid="{D5CDD505-2E9C-101B-9397-08002B2CF9AE}" pid="7" name="Updated">
    <vt:lpwstr>2009-11-05T01:00:00Z</vt:lpwstr>
  </property>
  <property fmtid="{D5CDD505-2E9C-101B-9397-08002B2CF9AE}" pid="8" name="Version0">
    <vt:lpwstr>v2</vt:lpwstr>
  </property>
</Properties>
</file>