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873AA2">
      <w:r>
        <w:rPr>
          <w:noProof/>
        </w:rPr>
        <w:drawing>
          <wp:inline distT="0" distB="0" distL="0" distR="0">
            <wp:extent cx="5943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EC" w:rsidRDefault="001113EC"/>
    <w:p w:rsidR="001113EC" w:rsidRPr="003256AF" w:rsidRDefault="001113EC">
      <w:pPr>
        <w:pStyle w:val="Heading1"/>
        <w:ind w:left="360"/>
        <w:jc w:val="left"/>
        <w:rPr>
          <w:bCs w:val="0"/>
          <w:sz w:val="24"/>
          <w:u w:val="single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1113EC" w:rsidRDefault="007764CA">
      <w:pPr>
        <w:ind w:left="360"/>
        <w:rPr>
          <w:b/>
          <w:color w:val="000000"/>
          <w:u w:val="single"/>
        </w:rPr>
      </w:pPr>
      <w:r>
        <w:rPr>
          <w:color w:val="000000"/>
        </w:rPr>
        <w:t xml:space="preserve">November </w:t>
      </w:r>
      <w:r w:rsidR="00EB7626">
        <w:rPr>
          <w:color w:val="000000"/>
        </w:rPr>
        <w:t>16</w:t>
      </w:r>
      <w:r w:rsidR="001113EC">
        <w:rPr>
          <w:color w:val="000000"/>
        </w:rPr>
        <w:t>, 201</w:t>
      </w:r>
      <w:r w:rsidR="007E2178">
        <w:rPr>
          <w:color w:val="000000"/>
        </w:rPr>
        <w:t>1</w:t>
      </w:r>
      <w:r w:rsidR="001113EC">
        <w:rPr>
          <w:color w:val="000000"/>
        </w:rPr>
        <w:tab/>
      </w:r>
      <w:r w:rsidR="001113EC">
        <w:rPr>
          <w:color w:val="000000"/>
        </w:rPr>
        <w:tab/>
      </w:r>
    </w:p>
    <w:p w:rsidR="001113EC" w:rsidRDefault="001113EC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</w:rPr>
      </w:pPr>
    </w:p>
    <w:p w:rsidR="00F75431" w:rsidRDefault="00AC76FE" w:rsidP="007764CA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VA </w:t>
      </w:r>
      <w:r w:rsidR="00F75431">
        <w:rPr>
          <w:b/>
          <w:bCs/>
          <w:color w:val="000000"/>
          <w:sz w:val="28"/>
          <w:szCs w:val="28"/>
        </w:rPr>
        <w:t xml:space="preserve">Plans </w:t>
      </w:r>
      <w:r w:rsidR="00DA1D53">
        <w:rPr>
          <w:b/>
          <w:bCs/>
          <w:color w:val="000000"/>
          <w:sz w:val="28"/>
          <w:szCs w:val="28"/>
        </w:rPr>
        <w:t>Another 1</w:t>
      </w:r>
      <w:r w:rsidR="00F75431">
        <w:rPr>
          <w:b/>
          <w:bCs/>
          <w:color w:val="000000"/>
          <w:sz w:val="28"/>
          <w:szCs w:val="28"/>
        </w:rPr>
        <w:t>,000 Units of</w:t>
      </w:r>
      <w:r w:rsidR="00FF0F25">
        <w:rPr>
          <w:b/>
          <w:bCs/>
          <w:color w:val="000000"/>
          <w:sz w:val="28"/>
          <w:szCs w:val="28"/>
        </w:rPr>
        <w:t xml:space="preserve"> Housing</w:t>
      </w:r>
      <w:r w:rsidR="00F75431">
        <w:rPr>
          <w:b/>
          <w:bCs/>
          <w:color w:val="000000"/>
          <w:sz w:val="28"/>
          <w:szCs w:val="28"/>
        </w:rPr>
        <w:t xml:space="preserve"> for Veterans</w:t>
      </w:r>
    </w:p>
    <w:p w:rsidR="00AC76FE" w:rsidRDefault="00DA1D53" w:rsidP="007764CA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at </w:t>
      </w:r>
      <w:r w:rsidR="00AC76FE">
        <w:rPr>
          <w:b/>
          <w:bCs/>
          <w:color w:val="000000"/>
          <w:sz w:val="28"/>
          <w:szCs w:val="28"/>
        </w:rPr>
        <w:t xml:space="preserve">Locations Nationwide </w:t>
      </w:r>
    </w:p>
    <w:p w:rsidR="003359F8" w:rsidRDefault="00DA1D53" w:rsidP="003359F8">
      <w:pPr>
        <w:autoSpaceDE w:val="0"/>
        <w:autoSpaceDN w:val="0"/>
        <w:adjustRightInd w:val="0"/>
        <w:ind w:left="360"/>
        <w:jc w:val="center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Further Expanding</w:t>
      </w:r>
      <w:r w:rsidR="003359F8" w:rsidRPr="003359F8">
        <w:rPr>
          <w:bCs/>
          <w:i/>
          <w:iCs/>
          <w:color w:val="000000"/>
          <w:sz w:val="28"/>
          <w:szCs w:val="28"/>
        </w:rPr>
        <w:t xml:space="preserve"> Efforts to Provide Housing</w:t>
      </w:r>
      <w:r w:rsidR="003359F8">
        <w:rPr>
          <w:bCs/>
          <w:i/>
          <w:iCs/>
          <w:color w:val="000000"/>
          <w:sz w:val="28"/>
          <w:szCs w:val="28"/>
        </w:rPr>
        <w:t xml:space="preserve"> to Veterans</w:t>
      </w:r>
    </w:p>
    <w:p w:rsidR="00F91F90" w:rsidRDefault="00F91F90" w:rsidP="003359F8">
      <w:pPr>
        <w:autoSpaceDE w:val="0"/>
        <w:autoSpaceDN w:val="0"/>
        <w:adjustRightInd w:val="0"/>
        <w:ind w:left="360"/>
        <w:jc w:val="center"/>
        <w:rPr>
          <w:bCs/>
          <w:i/>
          <w:iCs/>
          <w:color w:val="000000"/>
          <w:sz w:val="28"/>
          <w:szCs w:val="28"/>
        </w:rPr>
      </w:pPr>
    </w:p>
    <w:p w:rsidR="00403F3E" w:rsidRDefault="00403F3E" w:rsidP="00F91F90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</w:r>
      <w:r w:rsidRPr="0034471E">
        <w:rPr>
          <w:color w:val="000000"/>
        </w:rPr>
        <w:t>WASHINGTON – The Department of Veterans Affairs plans to enter into a</w:t>
      </w:r>
      <w:r w:rsidR="00450C86" w:rsidRPr="0034471E">
        <w:rPr>
          <w:color w:val="000000"/>
        </w:rPr>
        <w:t>greements to provide more than 1</w:t>
      </w:r>
      <w:r w:rsidRPr="0034471E">
        <w:rPr>
          <w:color w:val="000000"/>
        </w:rPr>
        <w:t xml:space="preserve">,000 </w:t>
      </w:r>
      <w:r w:rsidR="00C90085">
        <w:rPr>
          <w:color w:val="000000"/>
        </w:rPr>
        <w:t xml:space="preserve">additional </w:t>
      </w:r>
      <w:r w:rsidRPr="0034471E">
        <w:rPr>
          <w:color w:val="000000"/>
        </w:rPr>
        <w:t>units of permanent and transit</w:t>
      </w:r>
      <w:r w:rsidR="00DA1D53" w:rsidRPr="0034471E">
        <w:rPr>
          <w:color w:val="000000"/>
        </w:rPr>
        <w:t xml:space="preserve">ional housing for Veterans at </w:t>
      </w:r>
      <w:r w:rsidR="00485D38">
        <w:rPr>
          <w:color w:val="000000"/>
        </w:rPr>
        <w:t>various</w:t>
      </w:r>
      <w:r w:rsidR="00E87C5A">
        <w:rPr>
          <w:color w:val="000000"/>
        </w:rPr>
        <w:t xml:space="preserve"> </w:t>
      </w:r>
      <w:r w:rsidR="00C90085">
        <w:rPr>
          <w:color w:val="000000"/>
        </w:rPr>
        <w:t xml:space="preserve">sites on </w:t>
      </w:r>
      <w:r w:rsidRPr="0034471E">
        <w:rPr>
          <w:color w:val="000000"/>
        </w:rPr>
        <w:t>VA medical center campuses nationwide.</w:t>
      </w:r>
      <w:r w:rsidR="00450C86" w:rsidRPr="00C40A07">
        <w:rPr>
          <w:color w:val="000000"/>
        </w:rPr>
        <w:t xml:space="preserve"> </w:t>
      </w:r>
      <w:r w:rsidRPr="00C40A07">
        <w:rPr>
          <w:color w:val="000000"/>
        </w:rPr>
        <w:t xml:space="preserve"> </w:t>
      </w:r>
    </w:p>
    <w:p w:rsidR="00F91F90" w:rsidRPr="00C40A07" w:rsidRDefault="00F91F90" w:rsidP="00F91F90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ab/>
        <w:t xml:space="preserve">“These 1,000 housing units </w:t>
      </w:r>
      <w:r w:rsidR="00B06F43">
        <w:rPr>
          <w:color w:val="000000"/>
        </w:rPr>
        <w:t>underscore</w:t>
      </w:r>
      <w:r>
        <w:rPr>
          <w:color w:val="000000"/>
        </w:rPr>
        <w:t xml:space="preserve"> VA’s commitment to providing for the housing needs of Veterans,” said Secretary of</w:t>
      </w:r>
      <w:r w:rsidR="003C17D5">
        <w:rPr>
          <w:color w:val="000000"/>
        </w:rPr>
        <w:t xml:space="preserve"> </w:t>
      </w:r>
      <w:r>
        <w:rPr>
          <w:color w:val="000000"/>
        </w:rPr>
        <w:t xml:space="preserve">Veterans Affairs Eric K. Shinseki. </w:t>
      </w:r>
      <w:r w:rsidR="003C17D5">
        <w:rPr>
          <w:color w:val="000000"/>
        </w:rPr>
        <w:t xml:space="preserve">“This housing will help </w:t>
      </w:r>
      <w:r w:rsidR="00B06F43">
        <w:rPr>
          <w:color w:val="000000"/>
        </w:rPr>
        <w:t>put</w:t>
      </w:r>
      <w:r w:rsidR="003C17D5">
        <w:rPr>
          <w:color w:val="000000"/>
        </w:rPr>
        <w:t xml:space="preserve"> Veterans on the path to self-sufficiency.”</w:t>
      </w:r>
    </w:p>
    <w:p w:rsidR="003C17D5" w:rsidRDefault="00403F3E" w:rsidP="00F91F90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40A07">
        <w:rPr>
          <w:color w:val="000000"/>
        </w:rPr>
        <w:tab/>
      </w:r>
      <w:r w:rsidR="003C17D5" w:rsidRPr="0034471E">
        <w:rPr>
          <w:color w:val="000000"/>
        </w:rPr>
        <w:t xml:space="preserve">These plans </w:t>
      </w:r>
      <w:r w:rsidR="003C17D5" w:rsidRPr="00C40A07">
        <w:rPr>
          <w:color w:val="000000"/>
        </w:rPr>
        <w:t xml:space="preserve">follow VA’s recent announcement </w:t>
      </w:r>
      <w:r w:rsidR="003C17D5">
        <w:rPr>
          <w:color w:val="000000"/>
        </w:rPr>
        <w:t xml:space="preserve">of its intent to enter other agreements </w:t>
      </w:r>
      <w:r w:rsidR="003C17D5" w:rsidRPr="00C40A07">
        <w:rPr>
          <w:color w:val="000000"/>
        </w:rPr>
        <w:t>to provide more than 3,000 units of permanent and transitional housing for Veterans at 25 VA locations. Proposed opportunities include housing for homeless Veterans, senior Veterans, disabled Veterans, other at-risk Veteran populations</w:t>
      </w:r>
      <w:r w:rsidR="00ED4C1B">
        <w:rPr>
          <w:color w:val="000000"/>
        </w:rPr>
        <w:t xml:space="preserve"> </w:t>
      </w:r>
      <w:r w:rsidR="003C17D5" w:rsidRPr="00C40A07">
        <w:rPr>
          <w:color w:val="000000"/>
        </w:rPr>
        <w:t xml:space="preserve">and their families.  </w:t>
      </w:r>
      <w:r w:rsidR="003C17D5">
        <w:rPr>
          <w:color w:val="000000"/>
        </w:rPr>
        <w:t xml:space="preserve">VA also plans to enter into </w:t>
      </w:r>
      <w:r w:rsidR="00ED4C1B">
        <w:rPr>
          <w:color w:val="000000"/>
        </w:rPr>
        <w:t>three</w:t>
      </w:r>
      <w:r w:rsidR="00B06F43">
        <w:rPr>
          <w:color w:val="000000"/>
        </w:rPr>
        <w:t xml:space="preserve"> mixed-use</w:t>
      </w:r>
      <w:r w:rsidR="003C17D5">
        <w:rPr>
          <w:color w:val="000000"/>
        </w:rPr>
        <w:t xml:space="preserve"> and parking agreements that will provide additional services and facilities benefitting VA, Veterans</w:t>
      </w:r>
      <w:r w:rsidR="00ED4C1B">
        <w:rPr>
          <w:color w:val="000000"/>
        </w:rPr>
        <w:t xml:space="preserve"> </w:t>
      </w:r>
      <w:r w:rsidR="003C17D5">
        <w:rPr>
          <w:color w:val="000000"/>
        </w:rPr>
        <w:t>and local communities.</w:t>
      </w:r>
    </w:p>
    <w:p w:rsidR="00403F3E" w:rsidRPr="00837056" w:rsidRDefault="00403F3E" w:rsidP="00ED4C1B">
      <w:pPr>
        <w:pStyle w:val="NormalWeb"/>
        <w:spacing w:before="0" w:beforeAutospacing="0" w:after="0" w:afterAutospacing="0" w:line="360" w:lineRule="auto"/>
        <w:ind w:firstLine="720"/>
        <w:rPr>
          <w:color w:val="000000"/>
        </w:rPr>
      </w:pPr>
      <w:r w:rsidRPr="00C40A07">
        <w:rPr>
          <w:color w:val="000000"/>
        </w:rPr>
        <w:t xml:space="preserve">The </w:t>
      </w:r>
      <w:r w:rsidR="00683CD2">
        <w:rPr>
          <w:color w:val="000000"/>
        </w:rPr>
        <w:t xml:space="preserve">planned </w:t>
      </w:r>
      <w:r w:rsidRPr="00C40A07">
        <w:rPr>
          <w:color w:val="000000"/>
        </w:rPr>
        <w:t xml:space="preserve">agreements are part of VA’s </w:t>
      </w:r>
      <w:r w:rsidR="0034471E" w:rsidRPr="00C40A07">
        <w:rPr>
          <w:color w:val="000000"/>
        </w:rPr>
        <w:t xml:space="preserve">enhanced-use lease authority and </w:t>
      </w:r>
      <w:r w:rsidRPr="00C40A07">
        <w:rPr>
          <w:color w:val="000000"/>
        </w:rPr>
        <w:t>Building Utilization Review and Repurposing (BURR) initiative.  BURR is a VA strategic effort to identify and repurpose unused VA land and buildings in support of VA’s goal to end Veter</w:t>
      </w:r>
      <w:r w:rsidR="00B22577" w:rsidRPr="00C40A07">
        <w:rPr>
          <w:color w:val="000000"/>
        </w:rPr>
        <w:t>an homelessness. Under its</w:t>
      </w:r>
      <w:r w:rsidRPr="00C40A07">
        <w:rPr>
          <w:color w:val="000000"/>
        </w:rPr>
        <w:t xml:space="preserve"> enhanced-use lease authority</w:t>
      </w:r>
      <w:r w:rsidR="00B22577" w:rsidRPr="00C40A07">
        <w:rPr>
          <w:color w:val="000000"/>
        </w:rPr>
        <w:t xml:space="preserve">, VA </w:t>
      </w:r>
      <w:r w:rsidRPr="00C40A07">
        <w:rPr>
          <w:color w:val="000000"/>
        </w:rPr>
        <w:t>permit</w:t>
      </w:r>
      <w:r w:rsidR="00B22577" w:rsidRPr="00C40A07">
        <w:rPr>
          <w:color w:val="000000"/>
        </w:rPr>
        <w:t>s</w:t>
      </w:r>
      <w:r w:rsidRPr="00C40A07">
        <w:rPr>
          <w:color w:val="000000"/>
        </w:rPr>
        <w:t xml:space="preserve"> third-party providers to finance, design, develop, maintain and operate housing with on-site supportive services, on a priority basis, for Veterans and their families.</w:t>
      </w:r>
      <w:r w:rsidR="00C40A07" w:rsidRPr="00C40A07">
        <w:rPr>
          <w:color w:val="000000"/>
        </w:rPr>
        <w:t xml:space="preserve">  </w:t>
      </w:r>
    </w:p>
    <w:p w:rsidR="00403F3E" w:rsidRDefault="00403F3E" w:rsidP="00ED4C1B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37056">
        <w:rPr>
          <w:color w:val="000000"/>
        </w:rPr>
        <w:tab/>
        <w:t>The co-location of these projects on VAMC campuses ensures that Veterans have ready access to care and treatment designed to help them attain long-term independence and self-sufficiency.</w:t>
      </w:r>
      <w:r w:rsidR="00C40A07" w:rsidRPr="00837056">
        <w:rPr>
          <w:color w:val="000000"/>
        </w:rPr>
        <w:t xml:space="preserve">    </w:t>
      </w:r>
    </w:p>
    <w:p w:rsidR="00EB7626" w:rsidRDefault="00EB7626" w:rsidP="00EB7626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EB7626">
        <w:rPr>
          <w:b/>
          <w:color w:val="000000"/>
        </w:rPr>
        <w:t>- More -</w:t>
      </w:r>
    </w:p>
    <w:p w:rsidR="00EB7626" w:rsidRDefault="00EB762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EB7626" w:rsidRDefault="00EB7626" w:rsidP="00EB7626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Housing for Veterans  2/2/2/2</w:t>
      </w:r>
    </w:p>
    <w:p w:rsidR="00EB7626" w:rsidRDefault="00EB7626" w:rsidP="00EB7626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</w:p>
    <w:p w:rsidR="00EB7626" w:rsidRPr="00EB7626" w:rsidRDefault="00EB7626" w:rsidP="00EB7626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</w:p>
    <w:p w:rsidR="00403F3E" w:rsidRPr="00837056" w:rsidRDefault="00403F3E" w:rsidP="00ED4C1B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37056">
        <w:rPr>
          <w:color w:val="000000"/>
        </w:rPr>
        <w:tab/>
      </w:r>
      <w:r w:rsidR="00B22577" w:rsidRPr="00837056">
        <w:rPr>
          <w:color w:val="000000"/>
        </w:rPr>
        <w:t>An estimated total of 5,4</w:t>
      </w:r>
      <w:r w:rsidRPr="00837056">
        <w:rPr>
          <w:color w:val="000000"/>
        </w:rPr>
        <w:t xml:space="preserve">00 units of affordable and supportive housing </w:t>
      </w:r>
      <w:r w:rsidR="00873AA2">
        <w:rPr>
          <w:color w:val="000000"/>
        </w:rPr>
        <w:t>are</w:t>
      </w:r>
      <w:r w:rsidRPr="00837056">
        <w:rPr>
          <w:color w:val="000000"/>
        </w:rPr>
        <w:t xml:space="preserve"> expected to be provided to Veterans. This number includes projects already in operation or underway</w:t>
      </w:r>
      <w:r w:rsidR="00B22577" w:rsidRPr="00837056">
        <w:rPr>
          <w:color w:val="000000"/>
        </w:rPr>
        <w:t xml:space="preserve"> and exceeds </w:t>
      </w:r>
      <w:r w:rsidR="00B06F43">
        <w:rPr>
          <w:color w:val="000000"/>
        </w:rPr>
        <w:t>earlier</w:t>
      </w:r>
      <w:r w:rsidR="00B22577" w:rsidRPr="00837056">
        <w:rPr>
          <w:color w:val="000000"/>
        </w:rPr>
        <w:t xml:space="preserve"> estimates</w:t>
      </w:r>
      <w:r w:rsidRPr="00837056">
        <w:rPr>
          <w:color w:val="000000"/>
        </w:rPr>
        <w:t>.</w:t>
      </w:r>
    </w:p>
    <w:p w:rsidR="00403F3E" w:rsidRPr="002A1C09" w:rsidRDefault="00403F3E" w:rsidP="00ED4C1B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37056">
        <w:rPr>
          <w:color w:val="000000"/>
        </w:rPr>
        <w:tab/>
        <w:t>VA plans to proceed</w:t>
      </w:r>
      <w:r w:rsidRPr="002A1C09">
        <w:rPr>
          <w:color w:val="000000"/>
        </w:rPr>
        <w:t xml:space="preserve"> with agreements </w:t>
      </w:r>
      <w:r w:rsidR="002A1C09" w:rsidRPr="002A1C09">
        <w:rPr>
          <w:color w:val="000000"/>
        </w:rPr>
        <w:t xml:space="preserve">with third-party providers at </w:t>
      </w:r>
      <w:r w:rsidR="00062783">
        <w:rPr>
          <w:color w:val="000000"/>
        </w:rPr>
        <w:t>13</w:t>
      </w:r>
      <w:r w:rsidRPr="002A1C09">
        <w:rPr>
          <w:color w:val="000000"/>
        </w:rPr>
        <w:t xml:space="preserve"> sites nationwide.  These sites and proposed development</w:t>
      </w:r>
      <w:r w:rsidR="00CC5FE4">
        <w:rPr>
          <w:color w:val="000000"/>
        </w:rPr>
        <w:t>s</w:t>
      </w:r>
      <w:r w:rsidR="00873AA2">
        <w:rPr>
          <w:color w:val="000000"/>
        </w:rPr>
        <w:t xml:space="preserve"> </w:t>
      </w:r>
      <w:r w:rsidRPr="002A1C09">
        <w:rPr>
          <w:color w:val="000000"/>
        </w:rPr>
        <w:t>include:</w:t>
      </w:r>
    </w:p>
    <w:p w:rsidR="00E53EF0" w:rsidRPr="002A1C09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2A1C09">
        <w:rPr>
          <w:color w:val="000000"/>
        </w:rPr>
        <w:t xml:space="preserve">Augusta, Ga. – 30 </w:t>
      </w:r>
      <w:r w:rsidR="00AC76FE" w:rsidRPr="002A1C09">
        <w:rPr>
          <w:color w:val="000000"/>
        </w:rPr>
        <w:t>permanent housing units</w:t>
      </w:r>
    </w:p>
    <w:p w:rsidR="00E53EF0" w:rsidRPr="002A1C09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2A1C09">
        <w:rPr>
          <w:color w:val="000000"/>
        </w:rPr>
        <w:t>Cheyenne, Wyo. – 52 permanent housing units</w:t>
      </w:r>
    </w:p>
    <w:p w:rsidR="00E53EF0" w:rsidRPr="002A1C09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2A1C09">
        <w:rPr>
          <w:color w:val="000000"/>
        </w:rPr>
        <w:t>Chillicothe, Ohio</w:t>
      </w:r>
      <w:r w:rsidR="00AC76FE" w:rsidRPr="002A1C09">
        <w:rPr>
          <w:color w:val="000000"/>
        </w:rPr>
        <w:t xml:space="preserve"> – </w:t>
      </w:r>
      <w:r w:rsidRPr="002A1C09">
        <w:rPr>
          <w:color w:val="000000"/>
        </w:rPr>
        <w:t xml:space="preserve">310 </w:t>
      </w:r>
      <w:r w:rsidR="00AC76FE" w:rsidRPr="002A1C09">
        <w:rPr>
          <w:color w:val="000000"/>
        </w:rPr>
        <w:t xml:space="preserve">permanent </w:t>
      </w:r>
      <w:r w:rsidRPr="002A1C09">
        <w:rPr>
          <w:color w:val="000000"/>
        </w:rPr>
        <w:t xml:space="preserve">and transitional </w:t>
      </w:r>
      <w:r w:rsidR="00AC76FE" w:rsidRPr="002A1C09">
        <w:rPr>
          <w:color w:val="000000"/>
        </w:rPr>
        <w:t>housing units</w:t>
      </w:r>
    </w:p>
    <w:p w:rsidR="00E53EF0" w:rsidRPr="00450C86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450C86">
        <w:rPr>
          <w:color w:val="000000"/>
        </w:rPr>
        <w:t xml:space="preserve">Danville, Ill. – 65 </w:t>
      </w:r>
      <w:r w:rsidR="00AC76FE" w:rsidRPr="00450C86">
        <w:rPr>
          <w:color w:val="000000"/>
        </w:rPr>
        <w:t>permanent housing units</w:t>
      </w:r>
    </w:p>
    <w:p w:rsidR="002A1C09" w:rsidRPr="00450C86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450C86">
        <w:rPr>
          <w:color w:val="000000"/>
        </w:rPr>
        <w:t>Dayton, Ohio – 310 permanent and transitional housing units</w:t>
      </w:r>
    </w:p>
    <w:p w:rsidR="002A1C09" w:rsidRPr="00450C86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450C86">
        <w:rPr>
          <w:color w:val="000000"/>
        </w:rPr>
        <w:t>Grand Island, Neb. – 102 permanent housing units</w:t>
      </w:r>
    </w:p>
    <w:p w:rsidR="002A1C09" w:rsidRPr="00FE7D8A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FE7D8A">
        <w:rPr>
          <w:color w:val="000000"/>
        </w:rPr>
        <w:t>Lincoln, Neb. –</w:t>
      </w:r>
      <w:r w:rsidR="00C40A07" w:rsidRPr="00FE7D8A">
        <w:rPr>
          <w:color w:val="000000"/>
        </w:rPr>
        <w:t xml:space="preserve"> mixed-use </w:t>
      </w:r>
      <w:r w:rsidR="00587C5A" w:rsidRPr="00FE7D8A">
        <w:rPr>
          <w:color w:val="000000"/>
        </w:rPr>
        <w:t>development</w:t>
      </w:r>
      <w:r w:rsidR="00517BDD" w:rsidRPr="00FE7D8A">
        <w:rPr>
          <w:color w:val="000000"/>
        </w:rPr>
        <w:t xml:space="preserve"> and </w:t>
      </w:r>
      <w:r w:rsidR="00062783" w:rsidRPr="00FE7D8A">
        <w:rPr>
          <w:color w:val="000000"/>
        </w:rPr>
        <w:t xml:space="preserve">20 </w:t>
      </w:r>
      <w:r w:rsidR="00FB10C4" w:rsidRPr="00FE7D8A">
        <w:rPr>
          <w:color w:val="000000"/>
        </w:rPr>
        <w:t>permanent housing units</w:t>
      </w:r>
    </w:p>
    <w:p w:rsidR="002A1C09" w:rsidRPr="00F91F90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F91F90">
        <w:rPr>
          <w:color w:val="000000"/>
        </w:rPr>
        <w:t>Memphis</w:t>
      </w:r>
      <w:r w:rsidR="00450C86" w:rsidRPr="00F91F90">
        <w:rPr>
          <w:color w:val="000000"/>
        </w:rPr>
        <w:t>, Tenn.</w:t>
      </w:r>
      <w:r w:rsidRPr="00F91F90">
        <w:rPr>
          <w:color w:val="000000"/>
        </w:rPr>
        <w:t xml:space="preserve"> (</w:t>
      </w:r>
      <w:r w:rsidR="00C74AE6" w:rsidRPr="00F91F90">
        <w:rPr>
          <w:color w:val="000000"/>
        </w:rPr>
        <w:t>I</w:t>
      </w:r>
      <w:r w:rsidRPr="00F91F90">
        <w:rPr>
          <w:color w:val="000000"/>
        </w:rPr>
        <w:t xml:space="preserve">) – renovation </w:t>
      </w:r>
      <w:r w:rsidR="00C40A07" w:rsidRPr="00F91F90">
        <w:rPr>
          <w:color w:val="000000"/>
        </w:rPr>
        <w:t>of existing</w:t>
      </w:r>
      <w:r w:rsidRPr="00F91F90">
        <w:rPr>
          <w:color w:val="000000"/>
        </w:rPr>
        <w:t xml:space="preserve"> building, increased parking</w:t>
      </w:r>
    </w:p>
    <w:p w:rsidR="002A1C09" w:rsidRPr="00F91F90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F91F90">
        <w:rPr>
          <w:color w:val="000000"/>
        </w:rPr>
        <w:t>Memphis</w:t>
      </w:r>
      <w:r w:rsidR="00450C86" w:rsidRPr="00F91F90">
        <w:rPr>
          <w:color w:val="000000"/>
        </w:rPr>
        <w:t>, Tenn.</w:t>
      </w:r>
      <w:r w:rsidRPr="00F91F90">
        <w:rPr>
          <w:color w:val="000000"/>
        </w:rPr>
        <w:t xml:space="preserve"> (</w:t>
      </w:r>
      <w:r w:rsidR="00C74AE6" w:rsidRPr="00F91F90">
        <w:rPr>
          <w:color w:val="000000"/>
        </w:rPr>
        <w:t>II</w:t>
      </w:r>
      <w:r w:rsidRPr="00F91F90">
        <w:rPr>
          <w:color w:val="000000"/>
        </w:rPr>
        <w:t>) –</w:t>
      </w:r>
      <w:r w:rsidR="00C40A07" w:rsidRPr="00F91F90">
        <w:rPr>
          <w:color w:val="000000"/>
        </w:rPr>
        <w:t xml:space="preserve"> mixed-use </w:t>
      </w:r>
      <w:r w:rsidR="00587C5A" w:rsidRPr="00F91F90">
        <w:rPr>
          <w:color w:val="000000"/>
        </w:rPr>
        <w:t xml:space="preserve">development </w:t>
      </w:r>
      <w:r w:rsidRPr="00F91F90">
        <w:rPr>
          <w:color w:val="000000"/>
        </w:rPr>
        <w:t>and increased parking</w:t>
      </w:r>
    </w:p>
    <w:p w:rsidR="002A1C09" w:rsidRDefault="002A1C09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450C86">
        <w:rPr>
          <w:color w:val="000000"/>
        </w:rPr>
        <w:t xml:space="preserve">Perry Point, Md. </w:t>
      </w:r>
      <w:r w:rsidR="00450C86" w:rsidRPr="00450C86">
        <w:rPr>
          <w:color w:val="000000"/>
        </w:rPr>
        <w:t>–</w:t>
      </w:r>
      <w:r w:rsidRPr="00450C86">
        <w:rPr>
          <w:color w:val="000000"/>
        </w:rPr>
        <w:t xml:space="preserve"> </w:t>
      </w:r>
      <w:r w:rsidR="00450C86" w:rsidRPr="00450C86">
        <w:rPr>
          <w:color w:val="000000"/>
        </w:rPr>
        <w:t>72 permanent and transitional housing units</w:t>
      </w:r>
    </w:p>
    <w:p w:rsidR="00450C86" w:rsidRDefault="00450C86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Salem, Va. – 104 permanent housing units</w:t>
      </w:r>
    </w:p>
    <w:p w:rsidR="00450C86" w:rsidRDefault="00450C86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Topeka, K</w:t>
      </w:r>
      <w:r w:rsidR="007C6C98">
        <w:rPr>
          <w:color w:val="000000"/>
        </w:rPr>
        <w:t>an</w:t>
      </w:r>
      <w:r>
        <w:rPr>
          <w:color w:val="000000"/>
        </w:rPr>
        <w:t>. – 76 permanent housing units</w:t>
      </w:r>
    </w:p>
    <w:p w:rsidR="00450C86" w:rsidRPr="00450C86" w:rsidRDefault="00450C86" w:rsidP="00ED4C1B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Walla Walla, Wash. – 40 permanent housing units</w:t>
      </w:r>
    </w:p>
    <w:p w:rsidR="00450C86" w:rsidRDefault="00450C86" w:rsidP="00ED4C1B">
      <w:pPr>
        <w:pStyle w:val="Plain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C76FE" w:rsidRDefault="000700C1" w:rsidP="00ED4C1B">
      <w:pPr>
        <w:pStyle w:val="PlainText"/>
        <w:spacing w:line="360" w:lineRule="auto"/>
      </w:pPr>
      <w:r w:rsidRPr="00837056">
        <w:rPr>
          <w:color w:val="000000"/>
        </w:rPr>
        <w:tab/>
      </w:r>
      <w:r w:rsidR="00AC76FE" w:rsidRPr="00655EC5">
        <w:rPr>
          <w:rFonts w:ascii="Times New Roman" w:hAnsi="Times New Roman"/>
          <w:color w:val="000000"/>
          <w:sz w:val="24"/>
          <w:szCs w:val="24"/>
        </w:rPr>
        <w:t xml:space="preserve">For additional information regarding the BURR initiative, please visit </w:t>
      </w:r>
      <w:hyperlink r:id="rId6" w:history="1">
        <w:r w:rsidR="00655EC5" w:rsidRPr="00655EC5">
          <w:rPr>
            <w:rStyle w:val="Hyperlink"/>
            <w:rFonts w:ascii="Times New Roman" w:hAnsi="Times New Roman"/>
            <w:sz w:val="24"/>
            <w:szCs w:val="24"/>
          </w:rPr>
          <w:t>http://www.va.gov/ASSETMANAGEMENT/index.asp</w:t>
        </w:r>
      </w:hyperlink>
      <w:r w:rsidR="00655E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76FE" w:rsidRPr="000700C1">
        <w:rPr>
          <w:rFonts w:ascii="Times New Roman" w:hAnsi="Times New Roman"/>
          <w:color w:val="000000"/>
          <w:sz w:val="24"/>
          <w:szCs w:val="24"/>
        </w:rPr>
        <w:t>For all other questions regarding the BURR initiative please contact</w:t>
      </w:r>
      <w:r w:rsidR="00AC76FE" w:rsidRPr="00655EC5">
        <w:t xml:space="preserve"> </w:t>
      </w:r>
      <w:hyperlink r:id="rId7" w:history="1">
        <w:r w:rsidRPr="000700C1">
          <w:rPr>
            <w:rStyle w:val="Hyperlink"/>
            <w:rFonts w:ascii="Times New Roman" w:hAnsi="Times New Roman"/>
            <w:sz w:val="24"/>
            <w:szCs w:val="24"/>
          </w:rPr>
          <w:t>VA_BURR@va.gov</w:t>
        </w:r>
      </w:hyperlink>
      <w:r w:rsidR="00AC76FE" w:rsidRPr="00655EC5">
        <w:t>.</w:t>
      </w:r>
      <w:r>
        <w:t xml:space="preserve"> </w:t>
      </w:r>
    </w:p>
    <w:p w:rsidR="00ED4C1B" w:rsidRPr="00ED4C1B" w:rsidRDefault="00ED4C1B" w:rsidP="00ED4C1B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ED4C1B" w:rsidRPr="00ED4C1B" w:rsidRDefault="00ED4C1B" w:rsidP="00ED4C1B">
      <w:pPr>
        <w:pStyle w:val="PlainTex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D4C1B">
        <w:rPr>
          <w:rFonts w:ascii="Times New Roman" w:hAnsi="Times New Roman"/>
          <w:sz w:val="24"/>
          <w:szCs w:val="24"/>
        </w:rPr>
        <w:t>#  #  #</w:t>
      </w:r>
    </w:p>
    <w:p w:rsidR="001113EC" w:rsidRPr="00ED4C1B" w:rsidRDefault="001113EC" w:rsidP="00ED4C1B">
      <w:pPr>
        <w:spacing w:line="360" w:lineRule="auto"/>
        <w:ind w:left="360"/>
        <w:jc w:val="center"/>
      </w:pPr>
    </w:p>
    <w:p w:rsidR="001113EC" w:rsidRDefault="001113EC" w:rsidP="007764CA">
      <w:pPr>
        <w:spacing w:line="360" w:lineRule="auto"/>
        <w:ind w:left="360"/>
        <w:jc w:val="center"/>
      </w:pPr>
    </w:p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19B0"/>
    <w:multiLevelType w:val="hybridMultilevel"/>
    <w:tmpl w:val="5E1837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C76FE"/>
    <w:rsid w:val="00062783"/>
    <w:rsid w:val="000700C1"/>
    <w:rsid w:val="001113EC"/>
    <w:rsid w:val="00162042"/>
    <w:rsid w:val="00200E6D"/>
    <w:rsid w:val="00236177"/>
    <w:rsid w:val="00271CFF"/>
    <w:rsid w:val="002A1C09"/>
    <w:rsid w:val="002E6BA8"/>
    <w:rsid w:val="00310940"/>
    <w:rsid w:val="003256AF"/>
    <w:rsid w:val="003359F8"/>
    <w:rsid w:val="0034471E"/>
    <w:rsid w:val="003C17D5"/>
    <w:rsid w:val="00400CF0"/>
    <w:rsid w:val="00403F3E"/>
    <w:rsid w:val="00450C86"/>
    <w:rsid w:val="00485D38"/>
    <w:rsid w:val="004D556B"/>
    <w:rsid w:val="004F45DE"/>
    <w:rsid w:val="005041E2"/>
    <w:rsid w:val="00517BDD"/>
    <w:rsid w:val="0055585D"/>
    <w:rsid w:val="00562429"/>
    <w:rsid w:val="005663B0"/>
    <w:rsid w:val="00587C5A"/>
    <w:rsid w:val="005B2113"/>
    <w:rsid w:val="005C2620"/>
    <w:rsid w:val="005D7507"/>
    <w:rsid w:val="006057A5"/>
    <w:rsid w:val="00655EC5"/>
    <w:rsid w:val="0066230E"/>
    <w:rsid w:val="00683CD2"/>
    <w:rsid w:val="006B779C"/>
    <w:rsid w:val="006F1593"/>
    <w:rsid w:val="006F74C1"/>
    <w:rsid w:val="00723886"/>
    <w:rsid w:val="007627BC"/>
    <w:rsid w:val="007764CA"/>
    <w:rsid w:val="007931C9"/>
    <w:rsid w:val="007B2414"/>
    <w:rsid w:val="007C6C98"/>
    <w:rsid w:val="007D3FE1"/>
    <w:rsid w:val="007E2178"/>
    <w:rsid w:val="008054FE"/>
    <w:rsid w:val="00837056"/>
    <w:rsid w:val="0084040A"/>
    <w:rsid w:val="00873AA2"/>
    <w:rsid w:val="00903ACD"/>
    <w:rsid w:val="00907CCD"/>
    <w:rsid w:val="009776AE"/>
    <w:rsid w:val="00A24355"/>
    <w:rsid w:val="00A81184"/>
    <w:rsid w:val="00AB01BE"/>
    <w:rsid w:val="00AC435D"/>
    <w:rsid w:val="00AC76FE"/>
    <w:rsid w:val="00B040F0"/>
    <w:rsid w:val="00B043DD"/>
    <w:rsid w:val="00B06F43"/>
    <w:rsid w:val="00B22577"/>
    <w:rsid w:val="00B714F2"/>
    <w:rsid w:val="00B81D2C"/>
    <w:rsid w:val="00BB6915"/>
    <w:rsid w:val="00C21BC0"/>
    <w:rsid w:val="00C40A07"/>
    <w:rsid w:val="00C74AE6"/>
    <w:rsid w:val="00C90085"/>
    <w:rsid w:val="00CA58F4"/>
    <w:rsid w:val="00CB69C7"/>
    <w:rsid w:val="00CC5FE4"/>
    <w:rsid w:val="00CC7945"/>
    <w:rsid w:val="00D12F54"/>
    <w:rsid w:val="00D91B1A"/>
    <w:rsid w:val="00DA1D53"/>
    <w:rsid w:val="00E50514"/>
    <w:rsid w:val="00E53EF0"/>
    <w:rsid w:val="00E87C5A"/>
    <w:rsid w:val="00EB7626"/>
    <w:rsid w:val="00EC6B93"/>
    <w:rsid w:val="00ED4C1B"/>
    <w:rsid w:val="00F33D0C"/>
    <w:rsid w:val="00F659CC"/>
    <w:rsid w:val="00F75431"/>
    <w:rsid w:val="00F91F90"/>
    <w:rsid w:val="00FB10C4"/>
    <w:rsid w:val="00FC50A5"/>
    <w:rsid w:val="00FE7D8A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3E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5EC5"/>
    <w:rPr>
      <w:rFonts w:ascii="Consolas" w:eastAsia="Calibri" w:hAnsi="Consola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55EC5"/>
    <w:rPr>
      <w:rFonts w:ascii="Consolas" w:eastAsia="Calibri" w:hAnsi="Consolas"/>
      <w:sz w:val="22"/>
      <w:szCs w:val="22"/>
    </w:rPr>
  </w:style>
  <w:style w:type="character" w:styleId="CommentReference">
    <w:name w:val="annotation reference"/>
    <w:basedOn w:val="DefaultParagraphFont"/>
    <w:rsid w:val="006F15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593"/>
  </w:style>
  <w:style w:type="paragraph" w:styleId="CommentSubject">
    <w:name w:val="annotation subject"/>
    <w:basedOn w:val="CommentText"/>
    <w:next w:val="CommentText"/>
    <w:link w:val="CommentSubjectChar"/>
    <w:rsid w:val="006F1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3E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5EC5"/>
    <w:rPr>
      <w:rFonts w:ascii="Consolas" w:eastAsia="Calibri" w:hAnsi="Consola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55EC5"/>
    <w:rPr>
      <w:rFonts w:ascii="Consolas" w:eastAsia="Calibri" w:hAnsi="Consola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_BURR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.gov/ASSETMANAGEMENT/index.asp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fedelk\Desktop\SHORTCUTS\News%20Release%20Templates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5</TotalTime>
  <Pages>2</Pages>
  <Words>455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3239</CharactersWithSpaces>
  <SharedDoc>false</SharedDoc>
  <HLinks>
    <vt:vector size="12" baseType="variant">
      <vt:variant>
        <vt:i4>8061053</vt:i4>
      </vt:variant>
      <vt:variant>
        <vt:i4>3</vt:i4>
      </vt:variant>
      <vt:variant>
        <vt:i4>0</vt:i4>
      </vt:variant>
      <vt:variant>
        <vt:i4>5</vt:i4>
      </vt:variant>
      <vt:variant>
        <vt:lpwstr>mailto:VA_BURR@va.gov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http://www.va.gov/ASSETMANAGEMENT/index.asp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EIE Desktop Technologies</dc:creator>
  <cp:keywords/>
  <dc:description/>
  <cp:lastModifiedBy>EIE Desktop Technologies</cp:lastModifiedBy>
  <cp:revision>4</cp:revision>
  <cp:lastPrinted>2011-11-10T14:57:00Z</cp:lastPrinted>
  <dcterms:created xsi:type="dcterms:W3CDTF">2011-11-16T15:14:00Z</dcterms:created>
  <dcterms:modified xsi:type="dcterms:W3CDTF">2011-11-16T19:37:00Z</dcterms:modified>
</cp:coreProperties>
</file>