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B3C33" w14:textId="77777777" w:rsidR="00490153" w:rsidRDefault="00490153">
      <w:pPr>
        <w:pStyle w:val="FEEMANUAL"/>
        <w:rPr>
          <w:rFonts w:ascii="Century Schoolbook" w:hAnsi="Century Schoolbook"/>
        </w:rPr>
      </w:pPr>
    </w:p>
    <w:tbl>
      <w:tblPr>
        <w:tblW w:w="14778" w:type="dxa"/>
        <w:tblLayout w:type="fixed"/>
        <w:tblLook w:val="0000" w:firstRow="0" w:lastRow="0" w:firstColumn="0" w:lastColumn="0" w:noHBand="0" w:noVBand="0"/>
      </w:tblPr>
      <w:tblGrid>
        <w:gridCol w:w="4698"/>
        <w:gridCol w:w="5130"/>
        <w:gridCol w:w="630"/>
        <w:gridCol w:w="4320"/>
      </w:tblGrid>
      <w:tr w:rsidR="00490153" w14:paraId="5F1BF85D" w14:textId="77777777">
        <w:tc>
          <w:tcPr>
            <w:tcW w:w="4698" w:type="dxa"/>
          </w:tcPr>
          <w:p w14:paraId="00013F48" w14:textId="77777777" w:rsidR="00490153" w:rsidRDefault="00490153">
            <w:pPr>
              <w:pStyle w:val="Heading6"/>
              <w:shd w:val="clear" w:color="0000FF" w:fill="auto"/>
              <w:spacing w:after="60"/>
              <w:ind w:right="342"/>
              <w:jc w:val="center"/>
              <w:rPr>
                <w:rFonts w:ascii="Times New Roman" w:hAnsi="Times New Roman"/>
                <w:i w:val="0"/>
                <w:color w:val="auto"/>
                <w:sz w:val="16"/>
              </w:rPr>
            </w:pPr>
          </w:p>
          <w:p w14:paraId="4AE55CF6" w14:textId="77777777" w:rsidR="00490153" w:rsidRDefault="00490153">
            <w:pPr>
              <w:numPr>
                <w:ilvl w:val="12"/>
                <w:numId w:val="0"/>
              </w:numPr>
              <w:tabs>
                <w:tab w:val="left" w:pos="270"/>
                <w:tab w:val="left" w:pos="5760"/>
              </w:tabs>
              <w:ind w:right="342"/>
              <w:jc w:val="center"/>
              <w:rPr>
                <w:rFonts w:ascii="Verdana" w:hAnsi="Verdana" w:cs="Tahoma"/>
                <w:sz w:val="28"/>
              </w:rPr>
            </w:pPr>
            <w:r>
              <w:rPr>
                <w:rFonts w:ascii="Verdana" w:hAnsi="Verdana" w:cs="Tahoma"/>
                <w:sz w:val="28"/>
              </w:rPr>
              <w:t>Benefits of Reminders</w:t>
            </w:r>
          </w:p>
          <w:p w14:paraId="5C2C1EDC" w14:textId="77777777" w:rsidR="00490153" w:rsidRDefault="00490153">
            <w:pPr>
              <w:numPr>
                <w:ilvl w:val="12"/>
                <w:numId w:val="0"/>
              </w:numPr>
              <w:tabs>
                <w:tab w:val="left" w:pos="270"/>
                <w:tab w:val="left" w:pos="5760"/>
              </w:tabs>
              <w:ind w:right="342"/>
              <w:rPr>
                <w:rFonts w:ascii="Tahoma" w:hAnsi="Tahoma" w:cs="Tahoma"/>
                <w:sz w:val="18"/>
              </w:rPr>
            </w:pPr>
          </w:p>
          <w:p w14:paraId="23A8CF4A" w14:textId="6B5D73DD" w:rsidR="00490153" w:rsidRDefault="00490153">
            <w:pPr>
              <w:jc w:val="center"/>
              <w:rPr>
                <w:rFonts w:ascii="Verdana" w:hAnsi="Verdana"/>
                <w:sz w:val="18"/>
              </w:rPr>
            </w:pPr>
            <w:r>
              <w:rPr>
                <w:rFonts w:ascii="Verdana" w:hAnsi="Verdana"/>
                <w:sz w:val="18"/>
              </w:rPr>
              <w:t xml:space="preserve">“Reminders help us to do the right </w:t>
            </w:r>
            <w:proofErr w:type="gramStart"/>
            <w:r>
              <w:rPr>
                <w:rFonts w:ascii="Verdana" w:hAnsi="Verdana"/>
                <w:sz w:val="18"/>
              </w:rPr>
              <w:t xml:space="preserve">thing </w:t>
            </w:r>
            <w:r w:rsidR="0089005F">
              <w:rPr>
                <w:rFonts w:ascii="Verdana" w:hAnsi="Verdana"/>
                <w:sz w:val="18"/>
              </w:rPr>
              <w:t xml:space="preserve"> </w:t>
            </w:r>
            <w:r>
              <w:rPr>
                <w:rFonts w:ascii="Verdana" w:hAnsi="Verdana"/>
                <w:sz w:val="18"/>
              </w:rPr>
              <w:t>consistently</w:t>
            </w:r>
            <w:proofErr w:type="gramEnd"/>
            <w:r>
              <w:rPr>
                <w:rFonts w:ascii="Verdana" w:hAnsi="Verdana"/>
                <w:sz w:val="18"/>
              </w:rPr>
              <w:t xml:space="preserve"> well” – Dr. Jonathan Perlin</w:t>
            </w:r>
          </w:p>
          <w:p w14:paraId="1E251CE8" w14:textId="77777777" w:rsidR="00490153" w:rsidRDefault="00490153">
            <w:pPr>
              <w:rPr>
                <w:b/>
                <w:bCs/>
                <w:i/>
                <w:iCs/>
                <w:sz w:val="18"/>
              </w:rPr>
            </w:pPr>
          </w:p>
          <w:p w14:paraId="10D2ADA7" w14:textId="77777777" w:rsidR="00490153" w:rsidRDefault="00490153">
            <w:pPr>
              <w:pStyle w:val="BodyTextIndent3"/>
            </w:pPr>
            <w:r>
              <w:t xml:space="preserve">What are clinical reminders and what </w:t>
            </w:r>
          </w:p>
          <w:p w14:paraId="7D5C8A13" w14:textId="77777777" w:rsidR="00490153" w:rsidRDefault="00490153">
            <w:pPr>
              <w:pStyle w:val="BodyTextIndent3"/>
            </w:pPr>
            <w:r>
              <w:t>do they do for clinicians?</w:t>
            </w:r>
          </w:p>
          <w:p w14:paraId="6229F3C3" w14:textId="77777777" w:rsidR="00490153" w:rsidRDefault="00490153">
            <w:pPr>
              <w:rPr>
                <w:rFonts w:ascii="Verdana" w:hAnsi="Verdana"/>
                <w:b/>
                <w:bCs/>
                <w:i/>
                <w:iCs/>
                <w:sz w:val="18"/>
              </w:rPr>
            </w:pPr>
          </w:p>
          <w:p w14:paraId="7E79593A" w14:textId="77777777" w:rsidR="00490153" w:rsidRDefault="00490153">
            <w:pPr>
              <w:numPr>
                <w:ilvl w:val="0"/>
                <w:numId w:val="23"/>
              </w:numPr>
              <w:tabs>
                <w:tab w:val="num" w:pos="360"/>
                <w:tab w:val="left" w:pos="720"/>
              </w:tabs>
              <w:spacing w:after="120"/>
              <w:ind w:left="360" w:right="522" w:hanging="180"/>
              <w:rPr>
                <w:rFonts w:ascii="Verdana" w:hAnsi="Verdana"/>
                <w:sz w:val="18"/>
                <w:szCs w:val="28"/>
              </w:rPr>
            </w:pPr>
            <w:r>
              <w:rPr>
                <w:rFonts w:ascii="Verdana" w:hAnsi="Verdana"/>
                <w:sz w:val="18"/>
                <w:szCs w:val="28"/>
              </w:rPr>
              <w:t>Inform clinicians when a patient is due to receive clinical activity.</w:t>
            </w:r>
          </w:p>
          <w:p w14:paraId="1060FAA9" w14:textId="77777777" w:rsidR="00490153" w:rsidRDefault="00490153">
            <w:pPr>
              <w:numPr>
                <w:ilvl w:val="0"/>
                <w:numId w:val="22"/>
              </w:numPr>
              <w:tabs>
                <w:tab w:val="num" w:pos="360"/>
                <w:tab w:val="left" w:pos="720"/>
              </w:tabs>
              <w:spacing w:after="120"/>
              <w:ind w:left="360" w:right="522" w:hanging="180"/>
              <w:rPr>
                <w:rFonts w:ascii="Verdana" w:hAnsi="Verdana"/>
                <w:sz w:val="18"/>
                <w:szCs w:val="24"/>
              </w:rPr>
            </w:pPr>
            <w:r>
              <w:rPr>
                <w:rFonts w:ascii="Verdana" w:hAnsi="Verdana"/>
                <w:sz w:val="18"/>
                <w:szCs w:val="24"/>
              </w:rPr>
              <w:t>Target the clinicians who can manage and resolve the clinical activity most appropriately.</w:t>
            </w:r>
          </w:p>
          <w:p w14:paraId="737CF125" w14:textId="77777777" w:rsidR="00490153" w:rsidRDefault="00490153">
            <w:pPr>
              <w:numPr>
                <w:ilvl w:val="0"/>
                <w:numId w:val="22"/>
              </w:numPr>
              <w:tabs>
                <w:tab w:val="num" w:pos="360"/>
                <w:tab w:val="left" w:pos="720"/>
              </w:tabs>
              <w:spacing w:after="120"/>
              <w:ind w:left="360" w:right="522" w:hanging="180"/>
              <w:rPr>
                <w:rFonts w:ascii="Verdana" w:hAnsi="Verdana"/>
                <w:sz w:val="18"/>
                <w:szCs w:val="28"/>
              </w:rPr>
            </w:pPr>
            <w:r>
              <w:rPr>
                <w:rFonts w:ascii="Verdana" w:hAnsi="Verdana"/>
                <w:sz w:val="18"/>
                <w:szCs w:val="28"/>
              </w:rPr>
              <w:t xml:space="preserve">Identify patients to whom a reminder applies, based on </w:t>
            </w:r>
            <w:smartTag w:uri="urn:schemas-microsoft-com:office:smarttags" w:element="place">
              <w:r>
                <w:rPr>
                  <w:rFonts w:ascii="Verdana" w:hAnsi="Verdana"/>
                  <w:b/>
                  <w:bCs/>
                  <w:sz w:val="18"/>
                  <w:szCs w:val="36"/>
                </w:rPr>
                <w:t>V</w:t>
              </w:r>
              <w:r>
                <w:rPr>
                  <w:rFonts w:ascii="Verdana" w:hAnsi="Verdana"/>
                  <w:i/>
                  <w:iCs/>
                  <w:sz w:val="18"/>
                  <w:szCs w:val="36"/>
                </w:rPr>
                <w:t>IST</w:t>
              </w:r>
              <w:r>
                <w:rPr>
                  <w:rFonts w:ascii="Verdana" w:hAnsi="Verdana"/>
                  <w:b/>
                  <w:bCs/>
                  <w:sz w:val="18"/>
                  <w:szCs w:val="36"/>
                </w:rPr>
                <w:t>A</w:t>
              </w:r>
            </w:smartTag>
            <w:r>
              <w:rPr>
                <w:rFonts w:ascii="Verdana" w:hAnsi="Verdana"/>
                <w:b/>
                <w:bCs/>
                <w:sz w:val="18"/>
                <w:szCs w:val="36"/>
              </w:rPr>
              <w:t xml:space="preserve"> </w:t>
            </w:r>
            <w:r>
              <w:rPr>
                <w:rFonts w:ascii="Verdana" w:hAnsi="Verdana"/>
                <w:sz w:val="18"/>
                <w:szCs w:val="28"/>
              </w:rPr>
              <w:t>patient data.</w:t>
            </w:r>
          </w:p>
          <w:p w14:paraId="1B3C0AC9" w14:textId="77777777" w:rsidR="00490153" w:rsidRDefault="00490153">
            <w:pPr>
              <w:numPr>
                <w:ilvl w:val="0"/>
                <w:numId w:val="22"/>
              </w:numPr>
              <w:tabs>
                <w:tab w:val="num" w:pos="360"/>
                <w:tab w:val="left" w:pos="720"/>
              </w:tabs>
              <w:spacing w:after="120"/>
              <w:ind w:left="360" w:right="522" w:hanging="180"/>
              <w:rPr>
                <w:rFonts w:ascii="Verdana" w:hAnsi="Verdana"/>
                <w:sz w:val="18"/>
                <w:szCs w:val="28"/>
              </w:rPr>
            </w:pPr>
            <w:r>
              <w:rPr>
                <w:rFonts w:ascii="Verdana" w:hAnsi="Verdana"/>
                <w:sz w:val="18"/>
                <w:szCs w:val="28"/>
              </w:rPr>
              <w:t>Identify the clinical activities that resolve or satisfy reminders.</w:t>
            </w:r>
          </w:p>
          <w:p w14:paraId="69767BB0" w14:textId="77777777" w:rsidR="00490153" w:rsidRDefault="00490153">
            <w:pPr>
              <w:numPr>
                <w:ilvl w:val="0"/>
                <w:numId w:val="22"/>
              </w:numPr>
              <w:tabs>
                <w:tab w:val="num" w:pos="360"/>
                <w:tab w:val="left" w:pos="720"/>
              </w:tabs>
              <w:spacing w:after="120"/>
              <w:ind w:left="360" w:right="522" w:hanging="180"/>
              <w:rPr>
                <w:rFonts w:ascii="Verdana" w:hAnsi="Verdana"/>
                <w:sz w:val="18"/>
                <w:szCs w:val="28"/>
              </w:rPr>
            </w:pPr>
            <w:r>
              <w:rPr>
                <w:rFonts w:ascii="Verdana" w:hAnsi="Verdana"/>
                <w:sz w:val="18"/>
                <w:szCs w:val="28"/>
              </w:rPr>
              <w:t>Summarize pertinent patient information to help clinicians determine appropriate follow-up activities.</w:t>
            </w:r>
          </w:p>
          <w:p w14:paraId="0173F166" w14:textId="77777777" w:rsidR="00490153" w:rsidRDefault="00490153">
            <w:pPr>
              <w:numPr>
                <w:ilvl w:val="0"/>
                <w:numId w:val="22"/>
              </w:numPr>
              <w:tabs>
                <w:tab w:val="num" w:pos="360"/>
                <w:tab w:val="left" w:pos="720"/>
              </w:tabs>
              <w:spacing w:after="120"/>
              <w:ind w:left="360" w:right="522" w:hanging="180"/>
              <w:rPr>
                <w:rFonts w:ascii="Verdana" w:hAnsi="Verdana"/>
                <w:sz w:val="18"/>
                <w:szCs w:val="28"/>
              </w:rPr>
            </w:pPr>
            <w:r>
              <w:rPr>
                <w:rFonts w:ascii="Verdana" w:hAnsi="Verdana"/>
                <w:sz w:val="18"/>
                <w:szCs w:val="28"/>
              </w:rPr>
              <w:t>Allow clinicians to resolve reminders through CPRS.</w:t>
            </w:r>
          </w:p>
          <w:p w14:paraId="58007D17" w14:textId="77777777" w:rsidR="00490153" w:rsidRDefault="00490153">
            <w:pPr>
              <w:numPr>
                <w:ilvl w:val="0"/>
                <w:numId w:val="22"/>
              </w:numPr>
              <w:tabs>
                <w:tab w:val="num" w:pos="360"/>
                <w:tab w:val="left" w:pos="720"/>
              </w:tabs>
              <w:spacing w:after="120"/>
              <w:ind w:left="360" w:right="522" w:hanging="180"/>
              <w:rPr>
                <w:rFonts w:ascii="Verdana" w:hAnsi="Verdana"/>
                <w:sz w:val="18"/>
                <w:szCs w:val="28"/>
              </w:rPr>
            </w:pPr>
            <w:r>
              <w:rPr>
                <w:rFonts w:ascii="Verdana" w:hAnsi="Verdana"/>
                <w:sz w:val="18"/>
                <w:szCs w:val="28"/>
              </w:rPr>
              <w:t>Provide aggregate reports that assist clinicians in managing their entire patient caseload.</w:t>
            </w:r>
          </w:p>
          <w:p w14:paraId="25CBCD8D" w14:textId="77777777" w:rsidR="00490153" w:rsidRDefault="00490153">
            <w:pPr>
              <w:numPr>
                <w:ilvl w:val="0"/>
                <w:numId w:val="22"/>
              </w:numPr>
              <w:tabs>
                <w:tab w:val="num" w:pos="360"/>
                <w:tab w:val="left" w:pos="720"/>
              </w:tabs>
              <w:spacing w:after="120"/>
              <w:ind w:left="360" w:right="522" w:hanging="180"/>
              <w:rPr>
                <w:rFonts w:ascii="Verdana" w:hAnsi="Verdana"/>
                <w:sz w:val="18"/>
                <w:szCs w:val="28"/>
              </w:rPr>
            </w:pPr>
            <w:r>
              <w:rPr>
                <w:rFonts w:ascii="Verdana" w:hAnsi="Verdana"/>
                <w:sz w:val="18"/>
                <w:szCs w:val="28"/>
              </w:rPr>
              <w:t xml:space="preserve">Support national clinical practice guidelines. </w:t>
            </w:r>
          </w:p>
          <w:p w14:paraId="16995246" w14:textId="77777777" w:rsidR="00490153" w:rsidRDefault="00490153">
            <w:pPr>
              <w:spacing w:after="120"/>
              <w:ind w:right="450"/>
              <w:rPr>
                <w:rFonts w:ascii="Tahoma" w:hAnsi="Tahoma" w:cs="Tahoma"/>
                <w:sz w:val="18"/>
              </w:rPr>
            </w:pPr>
          </w:p>
        </w:tc>
        <w:tc>
          <w:tcPr>
            <w:tcW w:w="5130" w:type="dxa"/>
          </w:tcPr>
          <w:p w14:paraId="12F5F5D0" w14:textId="77777777" w:rsidR="00490153" w:rsidRDefault="00490153">
            <w:pPr>
              <w:ind w:right="162"/>
              <w:jc w:val="center"/>
              <w:rPr>
                <w:rFonts w:ascii="Arial" w:hAnsi="Arial"/>
                <w:b/>
                <w:sz w:val="18"/>
              </w:rPr>
            </w:pPr>
          </w:p>
          <w:p w14:paraId="00E3F0C0" w14:textId="77777777" w:rsidR="00490153" w:rsidRDefault="00490153">
            <w:pPr>
              <w:ind w:right="162"/>
              <w:jc w:val="center"/>
              <w:rPr>
                <w:rFonts w:ascii="Arial" w:hAnsi="Arial"/>
                <w:b/>
                <w:sz w:val="18"/>
              </w:rPr>
            </w:pPr>
          </w:p>
          <w:p w14:paraId="4397B477" w14:textId="77777777" w:rsidR="00490153" w:rsidRDefault="00490153">
            <w:pPr>
              <w:ind w:right="162"/>
              <w:jc w:val="center"/>
              <w:rPr>
                <w:rFonts w:ascii="Arial" w:hAnsi="Arial"/>
                <w:b/>
                <w:sz w:val="18"/>
              </w:rPr>
            </w:pPr>
          </w:p>
          <w:p w14:paraId="2DF31459" w14:textId="77777777" w:rsidR="00490153" w:rsidRDefault="00490153">
            <w:pPr>
              <w:ind w:right="162"/>
              <w:jc w:val="center"/>
              <w:rPr>
                <w:rFonts w:ascii="Arial" w:hAnsi="Arial"/>
                <w:b/>
                <w:sz w:val="18"/>
              </w:rPr>
            </w:pPr>
          </w:p>
          <w:p w14:paraId="6160547A" w14:textId="77777777" w:rsidR="00490153" w:rsidRDefault="00490153">
            <w:pPr>
              <w:pStyle w:val="BlockText"/>
              <w:pBdr>
                <w:top w:val="none" w:sz="0" w:space="0" w:color="auto"/>
                <w:left w:val="none" w:sz="0" w:space="0" w:color="auto"/>
                <w:bottom w:val="none" w:sz="0" w:space="0" w:color="auto"/>
                <w:right w:val="none" w:sz="0" w:space="0" w:color="auto"/>
              </w:pBdr>
              <w:jc w:val="center"/>
              <w:rPr>
                <w:rFonts w:ascii="Verdana" w:hAnsi="Verdana"/>
                <w:b/>
                <w:bCs/>
                <w:i/>
                <w:iCs/>
                <w:sz w:val="28"/>
              </w:rPr>
            </w:pPr>
            <w:r>
              <w:rPr>
                <w:rFonts w:ascii="Verdana" w:hAnsi="Verdana"/>
                <w:b/>
                <w:bCs/>
                <w:i/>
                <w:iCs/>
                <w:sz w:val="28"/>
              </w:rPr>
              <w:t xml:space="preserve">Supporting </w:t>
            </w:r>
          </w:p>
          <w:p w14:paraId="4795A45C" w14:textId="77777777" w:rsidR="00490153" w:rsidRDefault="00490153">
            <w:pPr>
              <w:pStyle w:val="BlockText"/>
              <w:pBdr>
                <w:top w:val="none" w:sz="0" w:space="0" w:color="auto"/>
                <w:left w:val="none" w:sz="0" w:space="0" w:color="auto"/>
                <w:bottom w:val="none" w:sz="0" w:space="0" w:color="auto"/>
                <w:right w:val="none" w:sz="0" w:space="0" w:color="auto"/>
              </w:pBdr>
              <w:jc w:val="center"/>
              <w:rPr>
                <w:rFonts w:ascii="Verdana" w:hAnsi="Verdana"/>
                <w:b/>
                <w:bCs/>
                <w:i/>
                <w:iCs/>
                <w:sz w:val="28"/>
              </w:rPr>
            </w:pPr>
            <w:r>
              <w:rPr>
                <w:rFonts w:ascii="Verdana" w:hAnsi="Verdana"/>
                <w:b/>
                <w:bCs/>
                <w:i/>
                <w:iCs/>
                <w:sz w:val="28"/>
              </w:rPr>
              <w:t>Quality Guidelines</w:t>
            </w:r>
          </w:p>
          <w:p w14:paraId="52CF47AB" w14:textId="77777777" w:rsidR="00490153" w:rsidRDefault="00490153">
            <w:pPr>
              <w:ind w:right="162"/>
              <w:jc w:val="center"/>
              <w:rPr>
                <w:rFonts w:ascii="Arial" w:hAnsi="Arial"/>
                <w:b/>
                <w:sz w:val="18"/>
              </w:rPr>
            </w:pPr>
            <w:r>
              <w:rPr>
                <w:rFonts w:ascii="Verdana" w:hAnsi="Verdana"/>
                <w:b/>
                <w:bCs/>
                <w:i/>
                <w:iCs/>
                <w:sz w:val="28"/>
              </w:rPr>
              <w:t>in Patient Care</w:t>
            </w:r>
          </w:p>
          <w:p w14:paraId="74FD5AB0" w14:textId="77777777" w:rsidR="00490153" w:rsidRDefault="00490153">
            <w:pPr>
              <w:ind w:right="162"/>
              <w:jc w:val="center"/>
              <w:rPr>
                <w:rFonts w:ascii="Arial" w:hAnsi="Arial"/>
                <w:b/>
                <w:sz w:val="18"/>
              </w:rPr>
            </w:pPr>
          </w:p>
          <w:p w14:paraId="368CFD89" w14:textId="77777777" w:rsidR="00490153" w:rsidRDefault="00490153">
            <w:pPr>
              <w:ind w:right="162"/>
              <w:jc w:val="center"/>
              <w:rPr>
                <w:rFonts w:ascii="Arial" w:hAnsi="Arial"/>
                <w:b/>
                <w:sz w:val="18"/>
              </w:rPr>
            </w:pPr>
          </w:p>
          <w:p w14:paraId="59E74450" w14:textId="77777777" w:rsidR="00490153" w:rsidRDefault="00490153">
            <w:pPr>
              <w:tabs>
                <w:tab w:val="left" w:pos="720"/>
              </w:tabs>
              <w:spacing w:after="120"/>
              <w:ind w:left="612" w:right="792"/>
              <w:rPr>
                <w:rFonts w:ascii="Verdana" w:hAnsi="Verdana"/>
                <w:b/>
                <w:bCs/>
                <w:i/>
                <w:iCs/>
                <w:sz w:val="18"/>
                <w:szCs w:val="28"/>
              </w:rPr>
            </w:pPr>
            <w:r>
              <w:rPr>
                <w:rFonts w:ascii="Verdana" w:hAnsi="Verdana"/>
                <w:b/>
                <w:bCs/>
                <w:i/>
                <w:iCs/>
                <w:sz w:val="18"/>
                <w:szCs w:val="28"/>
              </w:rPr>
              <w:t xml:space="preserve">Clinical Practice Guidelines Goals: </w:t>
            </w:r>
          </w:p>
          <w:p w14:paraId="18349F36" w14:textId="77777777" w:rsidR="00490153" w:rsidRDefault="00490153">
            <w:pPr>
              <w:pStyle w:val="CPRSBullets"/>
              <w:numPr>
                <w:ilvl w:val="1"/>
                <w:numId w:val="22"/>
              </w:numPr>
              <w:tabs>
                <w:tab w:val="clear" w:pos="2160"/>
                <w:tab w:val="left" w:pos="882"/>
              </w:tabs>
              <w:ind w:left="882" w:right="792"/>
              <w:rPr>
                <w:rFonts w:ascii="Verdana" w:hAnsi="Verdana"/>
                <w:sz w:val="18"/>
              </w:rPr>
            </w:pPr>
            <w:r>
              <w:rPr>
                <w:rFonts w:ascii="Verdana" w:hAnsi="Verdana"/>
                <w:sz w:val="18"/>
              </w:rPr>
              <w:t xml:space="preserve">Assure appropriate levels of care </w:t>
            </w:r>
          </w:p>
          <w:p w14:paraId="35CC8E8B" w14:textId="77777777" w:rsidR="00490153" w:rsidRDefault="00490153">
            <w:pPr>
              <w:pStyle w:val="CPRSBullets"/>
              <w:numPr>
                <w:ilvl w:val="1"/>
                <w:numId w:val="22"/>
              </w:numPr>
              <w:tabs>
                <w:tab w:val="clear" w:pos="2160"/>
                <w:tab w:val="left" w:pos="882"/>
              </w:tabs>
              <w:ind w:left="882" w:right="792"/>
              <w:rPr>
                <w:rFonts w:ascii="Verdana" w:hAnsi="Verdana"/>
                <w:sz w:val="18"/>
              </w:rPr>
            </w:pPr>
            <w:r>
              <w:rPr>
                <w:rFonts w:ascii="Verdana" w:hAnsi="Verdana"/>
                <w:sz w:val="18"/>
              </w:rPr>
              <w:t>Reduce errors and promote patient safety</w:t>
            </w:r>
          </w:p>
          <w:p w14:paraId="03853F9E" w14:textId="77777777" w:rsidR="00490153" w:rsidRDefault="00490153">
            <w:pPr>
              <w:pStyle w:val="CPRSBullets"/>
              <w:numPr>
                <w:ilvl w:val="1"/>
                <w:numId w:val="22"/>
              </w:numPr>
              <w:tabs>
                <w:tab w:val="clear" w:pos="2160"/>
                <w:tab w:val="left" w:pos="882"/>
              </w:tabs>
              <w:ind w:left="882" w:right="792"/>
              <w:rPr>
                <w:rFonts w:ascii="Verdana" w:hAnsi="Verdana"/>
                <w:sz w:val="18"/>
              </w:rPr>
            </w:pPr>
            <w:r>
              <w:rPr>
                <w:rFonts w:ascii="Verdana" w:hAnsi="Verdana"/>
                <w:sz w:val="18"/>
              </w:rPr>
              <w:t>Ensure predictable and consistent quality</w:t>
            </w:r>
          </w:p>
          <w:p w14:paraId="29E65110" w14:textId="77777777" w:rsidR="00490153" w:rsidRDefault="00490153">
            <w:pPr>
              <w:pStyle w:val="CPRSBullets"/>
              <w:numPr>
                <w:ilvl w:val="1"/>
                <w:numId w:val="22"/>
              </w:numPr>
              <w:tabs>
                <w:tab w:val="clear" w:pos="2160"/>
                <w:tab w:val="left" w:pos="882"/>
              </w:tabs>
              <w:ind w:left="882" w:right="792"/>
              <w:rPr>
                <w:rFonts w:ascii="Verdana" w:hAnsi="Verdana"/>
                <w:sz w:val="18"/>
              </w:rPr>
            </w:pPr>
            <w:r>
              <w:rPr>
                <w:rFonts w:ascii="Verdana" w:hAnsi="Verdana"/>
                <w:sz w:val="18"/>
              </w:rPr>
              <w:t>Promote learning and research</w:t>
            </w:r>
          </w:p>
          <w:p w14:paraId="03C0A34A" w14:textId="77777777" w:rsidR="00490153" w:rsidRDefault="00490153">
            <w:pPr>
              <w:numPr>
                <w:ilvl w:val="1"/>
                <w:numId w:val="22"/>
              </w:numPr>
              <w:tabs>
                <w:tab w:val="clear" w:pos="2160"/>
                <w:tab w:val="left" w:pos="882"/>
              </w:tabs>
              <w:spacing w:after="120"/>
              <w:ind w:left="882" w:right="792"/>
              <w:rPr>
                <w:rFonts w:ascii="Verdana" w:hAnsi="Verdana"/>
                <w:sz w:val="18"/>
                <w:szCs w:val="28"/>
              </w:rPr>
            </w:pPr>
            <w:r>
              <w:rPr>
                <w:rFonts w:ascii="Verdana" w:hAnsi="Verdana"/>
                <w:sz w:val="18"/>
              </w:rPr>
              <w:t>Facilitate patient and family education</w:t>
            </w:r>
          </w:p>
          <w:p w14:paraId="10450482" w14:textId="77777777" w:rsidR="00490153" w:rsidRDefault="00490153">
            <w:pPr>
              <w:ind w:right="162"/>
              <w:jc w:val="center"/>
              <w:rPr>
                <w:rFonts w:ascii="Arial" w:hAnsi="Arial"/>
                <w:b/>
                <w:sz w:val="18"/>
              </w:rPr>
            </w:pPr>
          </w:p>
          <w:p w14:paraId="42CAB2AA" w14:textId="77777777" w:rsidR="00490153" w:rsidRDefault="00490153">
            <w:pPr>
              <w:ind w:right="162"/>
              <w:jc w:val="center"/>
              <w:rPr>
                <w:rFonts w:ascii="Arial" w:hAnsi="Arial"/>
                <w:b/>
                <w:sz w:val="18"/>
              </w:rPr>
            </w:pPr>
          </w:p>
          <w:p w14:paraId="7534E983" w14:textId="77777777" w:rsidR="00490153" w:rsidRDefault="00490153">
            <w:pPr>
              <w:ind w:right="162"/>
              <w:jc w:val="center"/>
              <w:rPr>
                <w:rFonts w:ascii="Arial" w:hAnsi="Arial"/>
                <w:b/>
                <w:sz w:val="18"/>
              </w:rPr>
            </w:pPr>
          </w:p>
          <w:p w14:paraId="09EF4AEB" w14:textId="77777777" w:rsidR="00490153" w:rsidRDefault="00490153">
            <w:pPr>
              <w:ind w:right="162"/>
              <w:jc w:val="center"/>
              <w:rPr>
                <w:rFonts w:ascii="Arial" w:hAnsi="Arial"/>
                <w:b/>
                <w:sz w:val="18"/>
              </w:rPr>
            </w:pPr>
          </w:p>
          <w:p w14:paraId="3C19C475" w14:textId="77777777" w:rsidR="00490153" w:rsidRDefault="00490153">
            <w:pPr>
              <w:ind w:right="162"/>
              <w:jc w:val="center"/>
              <w:rPr>
                <w:rFonts w:ascii="Arial" w:hAnsi="Arial"/>
                <w:b/>
                <w:sz w:val="18"/>
              </w:rPr>
            </w:pPr>
          </w:p>
          <w:p w14:paraId="439280FD" w14:textId="77777777" w:rsidR="00490153" w:rsidRDefault="0089005F">
            <w:pPr>
              <w:ind w:right="162"/>
              <w:jc w:val="center"/>
              <w:rPr>
                <w:rFonts w:ascii="Arial" w:hAnsi="Arial"/>
                <w:b/>
                <w:sz w:val="18"/>
              </w:rPr>
            </w:pPr>
            <w:r>
              <w:pict w14:anchorId="41D0B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3pt;height:99.15pt">
                  <v:imagedata r:id="rId5" o:title="HDS"/>
                </v:shape>
              </w:pict>
            </w:r>
          </w:p>
          <w:p w14:paraId="666B447F" w14:textId="77777777" w:rsidR="00490153" w:rsidRDefault="00490153">
            <w:pPr>
              <w:ind w:right="162"/>
              <w:jc w:val="center"/>
              <w:rPr>
                <w:rFonts w:ascii="Arial" w:hAnsi="Arial"/>
                <w:b/>
                <w:sz w:val="18"/>
              </w:rPr>
            </w:pPr>
          </w:p>
          <w:p w14:paraId="3C2FAD21" w14:textId="77777777" w:rsidR="00490153" w:rsidRDefault="00490153">
            <w:pPr>
              <w:ind w:right="162"/>
              <w:rPr>
                <w:rFonts w:ascii="Arial" w:hAnsi="Arial"/>
                <w:b/>
                <w:sz w:val="18"/>
              </w:rPr>
            </w:pPr>
          </w:p>
          <w:p w14:paraId="0C11A189" w14:textId="77777777" w:rsidR="00490153" w:rsidRDefault="00490153">
            <w:pPr>
              <w:ind w:right="162"/>
              <w:jc w:val="center"/>
              <w:rPr>
                <w:rFonts w:ascii="Arial" w:hAnsi="Arial"/>
                <w:b/>
                <w:sz w:val="18"/>
              </w:rPr>
            </w:pPr>
          </w:p>
          <w:p w14:paraId="1B6EB061" w14:textId="77777777" w:rsidR="00490153" w:rsidRDefault="00490153">
            <w:pPr>
              <w:ind w:right="162"/>
              <w:jc w:val="center"/>
              <w:rPr>
                <w:rFonts w:ascii="Arial" w:hAnsi="Arial"/>
                <w:b/>
                <w:sz w:val="18"/>
              </w:rPr>
            </w:pPr>
          </w:p>
          <w:p w14:paraId="00714824" w14:textId="77777777" w:rsidR="00490153" w:rsidRDefault="00490153">
            <w:pPr>
              <w:ind w:right="162"/>
              <w:jc w:val="center"/>
              <w:rPr>
                <w:rFonts w:ascii="Arial" w:hAnsi="Arial"/>
                <w:b/>
                <w:sz w:val="18"/>
              </w:rPr>
            </w:pPr>
          </w:p>
          <w:p w14:paraId="14E94AD2" w14:textId="77777777" w:rsidR="00490153" w:rsidRDefault="00490153">
            <w:pPr>
              <w:ind w:right="162"/>
              <w:jc w:val="center"/>
              <w:rPr>
                <w:rFonts w:ascii="Verdana" w:hAnsi="Verdana"/>
                <w:b/>
                <w:sz w:val="18"/>
              </w:rPr>
            </w:pPr>
            <w:r>
              <w:rPr>
                <w:rFonts w:ascii="Verdana" w:hAnsi="Verdana"/>
                <w:b/>
                <w:sz w:val="18"/>
              </w:rPr>
              <w:t>Health Data System</w:t>
            </w:r>
          </w:p>
          <w:p w14:paraId="54E8278A" w14:textId="77777777" w:rsidR="00490153" w:rsidRDefault="00490153">
            <w:pPr>
              <w:ind w:right="162"/>
              <w:jc w:val="center"/>
              <w:rPr>
                <w:rFonts w:ascii="Verdana" w:hAnsi="Verdana"/>
                <w:b/>
                <w:sz w:val="18"/>
              </w:rPr>
            </w:pPr>
            <w:r>
              <w:rPr>
                <w:rFonts w:ascii="Verdana" w:hAnsi="Verdana"/>
                <w:b/>
                <w:sz w:val="18"/>
              </w:rPr>
              <w:t>Office of Information</w:t>
            </w:r>
          </w:p>
          <w:p w14:paraId="6941C8E3" w14:textId="77777777" w:rsidR="00490153" w:rsidRDefault="00490153">
            <w:pPr>
              <w:ind w:right="162"/>
              <w:jc w:val="center"/>
              <w:rPr>
                <w:rFonts w:ascii="Arial" w:hAnsi="Arial"/>
                <w:b/>
                <w:sz w:val="18"/>
              </w:rPr>
            </w:pPr>
            <w:r>
              <w:rPr>
                <w:rFonts w:ascii="Verdana" w:hAnsi="Verdana"/>
                <w:b/>
                <w:sz w:val="18"/>
              </w:rPr>
              <w:t>Department of Veterans Affairs</w:t>
            </w:r>
          </w:p>
          <w:p w14:paraId="1BC49644" w14:textId="77777777" w:rsidR="00490153" w:rsidRDefault="00490153">
            <w:pPr>
              <w:ind w:right="162"/>
              <w:jc w:val="center"/>
              <w:rPr>
                <w:rFonts w:ascii="Arial" w:hAnsi="Arial"/>
                <w:b/>
                <w:sz w:val="18"/>
              </w:rPr>
            </w:pPr>
          </w:p>
          <w:p w14:paraId="5FC57476" w14:textId="77777777" w:rsidR="00490153" w:rsidRDefault="00121D9C">
            <w:pPr>
              <w:ind w:right="162"/>
              <w:jc w:val="center"/>
              <w:rPr>
                <w:rFonts w:ascii="Arial" w:hAnsi="Arial"/>
                <w:b/>
                <w:sz w:val="18"/>
              </w:rPr>
            </w:pPr>
            <w:hyperlink r:id="rId6" w:history="1">
              <w:r w:rsidR="00490153">
                <w:rPr>
                  <w:rStyle w:val="Hyperlink"/>
                  <w:rFonts w:ascii="Arial" w:hAnsi="Arial" w:cs="Arial"/>
                  <w:sz w:val="20"/>
                </w:rPr>
                <w:t>http://vista.med.va.gov/reminders</w:t>
              </w:r>
            </w:hyperlink>
          </w:p>
          <w:p w14:paraId="3511B0D4" w14:textId="77777777" w:rsidR="00490153" w:rsidRDefault="00490153">
            <w:pPr>
              <w:ind w:right="162"/>
              <w:jc w:val="center"/>
              <w:rPr>
                <w:sz w:val="18"/>
              </w:rPr>
            </w:pPr>
          </w:p>
        </w:tc>
        <w:tc>
          <w:tcPr>
            <w:tcW w:w="630" w:type="dxa"/>
          </w:tcPr>
          <w:p w14:paraId="02B98651" w14:textId="77777777" w:rsidR="00490153" w:rsidRDefault="00490153">
            <w:pPr>
              <w:ind w:right="162"/>
              <w:jc w:val="center"/>
              <w:rPr>
                <w:rFonts w:ascii="Arial" w:hAnsi="Arial"/>
                <w:b/>
                <w:sz w:val="28"/>
              </w:rPr>
            </w:pPr>
          </w:p>
          <w:p w14:paraId="226287FA" w14:textId="77777777" w:rsidR="00490153" w:rsidRDefault="00490153">
            <w:pPr>
              <w:pStyle w:val="Heading7"/>
              <w:rPr>
                <w:rFonts w:ascii="Garamond" w:hAnsi="Garamond"/>
                <w:smallCaps/>
                <w:sz w:val="44"/>
              </w:rPr>
            </w:pPr>
          </w:p>
          <w:p w14:paraId="39073E4A" w14:textId="77777777" w:rsidR="00490153" w:rsidRDefault="00490153">
            <w:pPr>
              <w:pStyle w:val="Heading7"/>
              <w:rPr>
                <w:rFonts w:ascii="Garamond" w:hAnsi="Garamond"/>
                <w:smallCaps/>
                <w:sz w:val="44"/>
              </w:rPr>
            </w:pPr>
          </w:p>
          <w:p w14:paraId="65ED7DC3" w14:textId="77777777" w:rsidR="00490153" w:rsidRDefault="00490153">
            <w:pPr>
              <w:pStyle w:val="Heading7"/>
              <w:rPr>
                <w:rFonts w:ascii="Garamond" w:hAnsi="Garamond"/>
                <w:smallCaps/>
                <w:sz w:val="44"/>
              </w:rPr>
            </w:pPr>
          </w:p>
          <w:p w14:paraId="62FE9CB8" w14:textId="77777777" w:rsidR="00490153" w:rsidRDefault="00490153">
            <w:pPr>
              <w:pStyle w:val="Heading7"/>
              <w:rPr>
                <w:rFonts w:ascii="Garamond" w:hAnsi="Garamond"/>
                <w:smallCaps/>
                <w:sz w:val="44"/>
              </w:rPr>
            </w:pPr>
          </w:p>
          <w:p w14:paraId="5CCF3AD9" w14:textId="77777777" w:rsidR="00490153" w:rsidRDefault="00490153">
            <w:pPr>
              <w:pStyle w:val="BlockText"/>
              <w:pBdr>
                <w:top w:val="none" w:sz="0" w:space="0" w:color="auto"/>
                <w:left w:val="none" w:sz="0" w:space="0" w:color="auto"/>
                <w:bottom w:val="none" w:sz="0" w:space="0" w:color="auto"/>
                <w:right w:val="none" w:sz="0" w:space="0" w:color="auto"/>
              </w:pBdr>
              <w:ind w:left="252"/>
              <w:jc w:val="center"/>
              <w:rPr>
                <w:rFonts w:ascii="Garamond" w:hAnsi="Garamond"/>
                <w:b/>
                <w:bCs/>
                <w:sz w:val="28"/>
              </w:rPr>
            </w:pPr>
          </w:p>
        </w:tc>
        <w:tc>
          <w:tcPr>
            <w:tcW w:w="4320" w:type="dxa"/>
          </w:tcPr>
          <w:p w14:paraId="15118847" w14:textId="77777777" w:rsidR="00490153" w:rsidRDefault="00490153">
            <w:pPr>
              <w:pStyle w:val="Heading7"/>
              <w:rPr>
                <w:rFonts w:ascii="Garamond" w:hAnsi="Garamond"/>
                <w:smallCaps/>
                <w:sz w:val="44"/>
              </w:rPr>
            </w:pPr>
          </w:p>
          <w:p w14:paraId="5CA5BF6B" w14:textId="77777777" w:rsidR="00490153" w:rsidRDefault="00490153">
            <w:pPr>
              <w:pStyle w:val="Heading7"/>
              <w:pBdr>
                <w:top w:val="double" w:sz="4" w:space="1" w:color="auto"/>
                <w:left w:val="double" w:sz="4" w:space="4" w:color="auto"/>
                <w:bottom w:val="double" w:sz="4" w:space="1" w:color="auto"/>
                <w:right w:val="double" w:sz="4" w:space="4" w:color="auto"/>
              </w:pBdr>
              <w:ind w:left="162" w:right="342"/>
              <w:rPr>
                <w:rFonts w:ascii="Garamond" w:hAnsi="Garamond"/>
                <w:smallCaps/>
                <w:sz w:val="44"/>
              </w:rPr>
            </w:pPr>
          </w:p>
          <w:p w14:paraId="5DAD4B7A" w14:textId="77777777" w:rsidR="00490153" w:rsidRDefault="00121D9C">
            <w:pPr>
              <w:pBdr>
                <w:top w:val="double" w:sz="4" w:space="1" w:color="auto"/>
                <w:left w:val="double" w:sz="4" w:space="4" w:color="auto"/>
                <w:bottom w:val="double" w:sz="4" w:space="1" w:color="auto"/>
                <w:right w:val="double" w:sz="4" w:space="4" w:color="auto"/>
              </w:pBdr>
              <w:ind w:left="162" w:right="342"/>
              <w:jc w:val="center"/>
            </w:pPr>
            <w:r>
              <w:pict w14:anchorId="7DFF4228">
                <v:shape id="_x0000_i1026" type="#_x0000_t75" style="width:99.15pt;height:60.9pt">
                  <v:imagedata r:id="rId5" o:title="HDS"/>
                </v:shape>
              </w:pict>
            </w:r>
          </w:p>
          <w:p w14:paraId="5C357ED4" w14:textId="77777777" w:rsidR="00490153" w:rsidRDefault="00490153">
            <w:pPr>
              <w:pStyle w:val="Heading7"/>
              <w:pBdr>
                <w:top w:val="double" w:sz="4" w:space="1" w:color="auto"/>
                <w:left w:val="double" w:sz="4" w:space="4" w:color="auto"/>
                <w:bottom w:val="double" w:sz="4" w:space="1" w:color="auto"/>
                <w:right w:val="double" w:sz="4" w:space="4" w:color="auto"/>
              </w:pBdr>
              <w:ind w:left="162" w:right="342"/>
              <w:rPr>
                <w:rFonts w:ascii="Verdana" w:hAnsi="Verdana" w:cs="Tahoma"/>
                <w:smallCaps/>
                <w:sz w:val="52"/>
              </w:rPr>
            </w:pPr>
            <w:r>
              <w:rPr>
                <w:rFonts w:ascii="Verdana" w:hAnsi="Verdana" w:cs="Tahoma"/>
                <w:smallCaps/>
                <w:sz w:val="52"/>
              </w:rPr>
              <w:t>Clinical</w:t>
            </w:r>
          </w:p>
          <w:p w14:paraId="0B4F805B" w14:textId="77777777" w:rsidR="00490153" w:rsidRDefault="00490153">
            <w:pPr>
              <w:pStyle w:val="Heading7"/>
              <w:pBdr>
                <w:top w:val="double" w:sz="4" w:space="1" w:color="auto"/>
                <w:left w:val="double" w:sz="4" w:space="4" w:color="auto"/>
                <w:bottom w:val="double" w:sz="4" w:space="1" w:color="auto"/>
                <w:right w:val="double" w:sz="4" w:space="4" w:color="auto"/>
              </w:pBdr>
              <w:ind w:left="162" w:right="342"/>
              <w:rPr>
                <w:rFonts w:ascii="Verdana" w:hAnsi="Verdana" w:cs="Tahoma"/>
                <w:smallCaps/>
                <w:sz w:val="52"/>
              </w:rPr>
            </w:pPr>
            <w:r>
              <w:rPr>
                <w:rFonts w:ascii="Verdana" w:hAnsi="Verdana" w:cs="Tahoma"/>
                <w:smallCaps/>
                <w:sz w:val="52"/>
              </w:rPr>
              <w:t>Reminders</w:t>
            </w:r>
          </w:p>
          <w:p w14:paraId="03FBE7C6" w14:textId="77777777" w:rsidR="00490153" w:rsidRDefault="00490153">
            <w:pPr>
              <w:pBdr>
                <w:top w:val="double" w:sz="4" w:space="1" w:color="auto"/>
                <w:left w:val="double" w:sz="4" w:space="4" w:color="auto"/>
                <w:bottom w:val="double" w:sz="4" w:space="1" w:color="auto"/>
                <w:right w:val="double" w:sz="4" w:space="4" w:color="auto"/>
              </w:pBdr>
              <w:ind w:left="162" w:right="342"/>
              <w:jc w:val="center"/>
              <w:rPr>
                <w:rFonts w:ascii="Verdana" w:hAnsi="Verdana" w:cs="Tahoma"/>
                <w:b/>
                <w:bCs/>
              </w:rPr>
            </w:pPr>
            <w:r>
              <w:rPr>
                <w:rFonts w:ascii="Verdana" w:hAnsi="Verdana" w:cs="Tahoma"/>
                <w:b/>
                <w:bCs/>
              </w:rPr>
              <w:t>Version 2.0</w:t>
            </w:r>
          </w:p>
          <w:p w14:paraId="71F739B2" w14:textId="77777777" w:rsidR="00490153" w:rsidRDefault="00490153">
            <w:pPr>
              <w:pBdr>
                <w:top w:val="double" w:sz="4" w:space="1" w:color="auto"/>
                <w:left w:val="double" w:sz="4" w:space="4" w:color="auto"/>
                <w:bottom w:val="double" w:sz="4" w:space="1" w:color="auto"/>
                <w:right w:val="double" w:sz="4" w:space="4" w:color="auto"/>
              </w:pBdr>
              <w:ind w:left="162" w:right="342"/>
              <w:jc w:val="center"/>
              <w:rPr>
                <w:rFonts w:ascii="Verdana" w:hAnsi="Verdana" w:cs="Tahoma"/>
                <w:b/>
                <w:sz w:val="20"/>
              </w:rPr>
            </w:pPr>
          </w:p>
          <w:p w14:paraId="346D464B" w14:textId="77777777" w:rsidR="00490153" w:rsidRDefault="00490153">
            <w:pPr>
              <w:pBdr>
                <w:top w:val="double" w:sz="4" w:space="1" w:color="auto"/>
                <w:left w:val="double" w:sz="4" w:space="4" w:color="auto"/>
                <w:bottom w:val="double" w:sz="4" w:space="1" w:color="auto"/>
                <w:right w:val="double" w:sz="4" w:space="4" w:color="auto"/>
              </w:pBdr>
              <w:ind w:left="162" w:right="342"/>
              <w:jc w:val="center"/>
              <w:rPr>
                <w:rFonts w:ascii="Verdana" w:hAnsi="Verdana" w:cs="Tahoma"/>
                <w:b/>
                <w:sz w:val="20"/>
              </w:rPr>
            </w:pPr>
          </w:p>
          <w:p w14:paraId="5F2E82FC" w14:textId="77777777" w:rsidR="00490153" w:rsidRDefault="00490153">
            <w:pPr>
              <w:pBdr>
                <w:top w:val="double" w:sz="4" w:space="1" w:color="auto"/>
                <w:left w:val="double" w:sz="4" w:space="4" w:color="auto"/>
                <w:bottom w:val="double" w:sz="4" w:space="1" w:color="auto"/>
                <w:right w:val="double" w:sz="4" w:space="4" w:color="auto"/>
              </w:pBdr>
              <w:ind w:left="162" w:right="342"/>
              <w:jc w:val="center"/>
              <w:rPr>
                <w:rFonts w:ascii="Verdana" w:hAnsi="Verdana" w:cs="Tahoma"/>
                <w:sz w:val="20"/>
              </w:rPr>
            </w:pPr>
            <w:r>
              <w:rPr>
                <w:rFonts w:ascii="Verdana" w:hAnsi="Verdana" w:cs="Tahoma"/>
                <w:sz w:val="20"/>
              </w:rPr>
              <w:t xml:space="preserve">Clinical Reminders furnish clinicians with timely information about the health maintenance schedules of their patients. </w:t>
            </w:r>
            <w:r>
              <w:rPr>
                <w:rFonts w:ascii="Verdana" w:hAnsi="Verdana"/>
                <w:sz w:val="20"/>
              </w:rPr>
              <w:t xml:space="preserve">This information is provided in </w:t>
            </w:r>
            <w:r>
              <w:rPr>
                <w:rFonts w:ascii="Verdana" w:hAnsi="Verdana" w:cs="Tahoma"/>
                <w:sz w:val="20"/>
              </w:rPr>
              <w:t>Encounter Forms, Health Summaries, and the Computerized Medical Record System (CPRS), where clinicians can easily respond to the reminders by placing relevant orders or recording clinical activities on patients’ notes. Thus, Clinical Reminders can become a valuable decision support tool for clinicians.</w:t>
            </w:r>
          </w:p>
          <w:p w14:paraId="1663F24A" w14:textId="77777777" w:rsidR="00490153" w:rsidRDefault="00490153">
            <w:pPr>
              <w:pBdr>
                <w:top w:val="double" w:sz="4" w:space="1" w:color="auto"/>
                <w:left w:val="double" w:sz="4" w:space="4" w:color="auto"/>
                <w:bottom w:val="double" w:sz="4" w:space="1" w:color="auto"/>
                <w:right w:val="double" w:sz="4" w:space="4" w:color="auto"/>
              </w:pBdr>
              <w:ind w:left="162" w:right="342"/>
              <w:jc w:val="center"/>
              <w:rPr>
                <w:rFonts w:ascii="Verdana" w:hAnsi="Verdana" w:cs="Tahoma"/>
                <w:sz w:val="20"/>
              </w:rPr>
            </w:pPr>
          </w:p>
          <w:p w14:paraId="1352B436" w14:textId="77777777" w:rsidR="00490153" w:rsidRDefault="00490153">
            <w:pPr>
              <w:pBdr>
                <w:top w:val="double" w:sz="4" w:space="1" w:color="auto"/>
                <w:left w:val="double" w:sz="4" w:space="4" w:color="auto"/>
                <w:bottom w:val="double" w:sz="4" w:space="1" w:color="auto"/>
                <w:right w:val="double" w:sz="4" w:space="4" w:color="auto"/>
              </w:pBdr>
              <w:ind w:left="162" w:right="342"/>
              <w:jc w:val="center"/>
              <w:rPr>
                <w:rFonts w:ascii="Verdana" w:hAnsi="Verdana" w:cs="Tahoma"/>
                <w:sz w:val="20"/>
              </w:rPr>
            </w:pPr>
          </w:p>
          <w:p w14:paraId="66D83F5A" w14:textId="77777777" w:rsidR="00490153" w:rsidRDefault="00490153">
            <w:pPr>
              <w:pBdr>
                <w:top w:val="double" w:sz="4" w:space="1" w:color="auto"/>
                <w:left w:val="double" w:sz="4" w:space="4" w:color="auto"/>
                <w:bottom w:val="double" w:sz="4" w:space="1" w:color="auto"/>
                <w:right w:val="double" w:sz="4" w:space="4" w:color="auto"/>
              </w:pBdr>
              <w:ind w:left="162" w:right="342"/>
              <w:jc w:val="center"/>
              <w:rPr>
                <w:rFonts w:ascii="Verdana" w:hAnsi="Verdana" w:cs="Tahoma"/>
                <w:sz w:val="20"/>
              </w:rPr>
            </w:pPr>
          </w:p>
          <w:p w14:paraId="11034154" w14:textId="77777777" w:rsidR="00490153" w:rsidRDefault="00490153">
            <w:pPr>
              <w:pBdr>
                <w:top w:val="double" w:sz="4" w:space="1" w:color="auto"/>
                <w:left w:val="double" w:sz="4" w:space="4" w:color="auto"/>
                <w:bottom w:val="double" w:sz="4" w:space="1" w:color="auto"/>
                <w:right w:val="double" w:sz="4" w:space="4" w:color="auto"/>
              </w:pBdr>
              <w:ind w:left="162" w:right="342"/>
              <w:jc w:val="center"/>
              <w:rPr>
                <w:rFonts w:ascii="Tahoma" w:hAnsi="Tahoma" w:cs="Tahoma"/>
                <w:sz w:val="22"/>
              </w:rPr>
            </w:pPr>
          </w:p>
          <w:p w14:paraId="44EE00FE" w14:textId="77777777" w:rsidR="00490153" w:rsidRDefault="00490153">
            <w:pPr>
              <w:ind w:right="162"/>
              <w:jc w:val="center"/>
              <w:rPr>
                <w:rFonts w:ascii="Arial" w:hAnsi="Arial"/>
                <w:b/>
                <w:sz w:val="18"/>
              </w:rPr>
            </w:pPr>
            <w:bookmarkStart w:id="0" w:name="_Toc363271339"/>
          </w:p>
          <w:bookmarkEnd w:id="0"/>
          <w:p w14:paraId="79A8E311" w14:textId="77777777" w:rsidR="00490153" w:rsidRDefault="00490153">
            <w:pPr>
              <w:ind w:right="162"/>
              <w:jc w:val="center"/>
            </w:pPr>
          </w:p>
        </w:tc>
      </w:tr>
    </w:tbl>
    <w:p w14:paraId="4F13E4EC" w14:textId="77777777" w:rsidR="00490153" w:rsidRDefault="00490153">
      <w:pPr>
        <w:pStyle w:val="FEEMANUAL"/>
        <w:rPr>
          <w:rFonts w:ascii="Century Schoolbook" w:hAnsi="Century Schoolbook"/>
          <w:sz w:val="16"/>
        </w:rPr>
      </w:pPr>
      <w:r>
        <w:rPr>
          <w:rFonts w:ascii="Century Schoolbook" w:hAnsi="Century Schoolbook"/>
        </w:rPr>
        <w:br w:type="page"/>
      </w:r>
    </w:p>
    <w:p w14:paraId="4942031B" w14:textId="77777777" w:rsidR="00490153" w:rsidRDefault="00490153">
      <w:pPr>
        <w:rPr>
          <w:sz w:val="16"/>
        </w:rPr>
      </w:pPr>
    </w:p>
    <w:tbl>
      <w:tblPr>
        <w:tblW w:w="14670" w:type="dxa"/>
        <w:tblInd w:w="108" w:type="dxa"/>
        <w:tblLayout w:type="fixed"/>
        <w:tblLook w:val="0000" w:firstRow="0" w:lastRow="0" w:firstColumn="0" w:lastColumn="0" w:noHBand="0" w:noVBand="0"/>
      </w:tblPr>
      <w:tblGrid>
        <w:gridCol w:w="4770"/>
        <w:gridCol w:w="4950"/>
        <w:gridCol w:w="4950"/>
      </w:tblGrid>
      <w:tr w:rsidR="00490153" w14:paraId="29D1055B" w14:textId="77777777">
        <w:tc>
          <w:tcPr>
            <w:tcW w:w="4770" w:type="dxa"/>
          </w:tcPr>
          <w:p w14:paraId="047E06B1" w14:textId="77777777" w:rsidR="00490153" w:rsidRDefault="00490153">
            <w:pPr>
              <w:shd w:val="clear" w:color="0000FF" w:fill="auto"/>
              <w:tabs>
                <w:tab w:val="left" w:pos="5760"/>
              </w:tabs>
              <w:ind w:left="180" w:right="252"/>
              <w:rPr>
                <w:rFonts w:ascii="Tahoma" w:hAnsi="Tahoma" w:cs="Tahoma"/>
                <w:b/>
                <w:iCs/>
              </w:rPr>
            </w:pPr>
            <w:r>
              <w:br w:type="page"/>
            </w:r>
            <w:r>
              <w:rPr>
                <w:rFonts w:ascii="Tahoma" w:hAnsi="Tahoma" w:cs="Tahoma"/>
                <w:b/>
                <w:iCs/>
              </w:rPr>
              <w:t>Viewing Clinical Reminder Information</w:t>
            </w:r>
          </w:p>
          <w:p w14:paraId="71D36CA5" w14:textId="77777777" w:rsidR="00490153" w:rsidRDefault="00490153">
            <w:pPr>
              <w:tabs>
                <w:tab w:val="left" w:pos="5760"/>
              </w:tabs>
              <w:ind w:left="180" w:right="252" w:hanging="180"/>
              <w:rPr>
                <w:rFonts w:ascii="Tahoma" w:hAnsi="Tahoma" w:cs="Tahoma"/>
                <w:sz w:val="16"/>
              </w:rPr>
            </w:pPr>
          </w:p>
          <w:p w14:paraId="56FBE68F" w14:textId="77777777" w:rsidR="00490153" w:rsidRDefault="00490153">
            <w:pPr>
              <w:ind w:right="252"/>
              <w:rPr>
                <w:rFonts w:ascii="Tahoma" w:hAnsi="Tahoma" w:cs="Tahoma"/>
                <w:sz w:val="18"/>
              </w:rPr>
            </w:pPr>
            <w:r>
              <w:rPr>
                <w:rFonts w:ascii="Tahoma" w:hAnsi="Tahoma" w:cs="Tahoma"/>
                <w:sz w:val="18"/>
              </w:rPr>
              <w:t>You can view Clinical Reminder information on your Clinic Health Summary, Encounter Form, or on the CPRS Cover Sheet.</w:t>
            </w:r>
          </w:p>
          <w:p w14:paraId="18C8D617" w14:textId="77777777" w:rsidR="00490153" w:rsidRDefault="00490153">
            <w:pPr>
              <w:pStyle w:val="Heading2"/>
              <w:pBdr>
                <w:bottom w:val="none" w:sz="0" w:space="0" w:color="auto"/>
              </w:pBdr>
              <w:rPr>
                <w:rFonts w:ascii="Tahoma" w:hAnsi="Tahoma" w:cs="Tahoma"/>
                <w:sz w:val="16"/>
              </w:rPr>
            </w:pPr>
          </w:p>
          <w:p w14:paraId="6BC9F789" w14:textId="77777777" w:rsidR="00490153" w:rsidRDefault="00490153">
            <w:pPr>
              <w:ind w:right="252"/>
              <w:rPr>
                <w:rFonts w:ascii="Tahoma" w:hAnsi="Tahoma" w:cs="Tahoma"/>
                <w:sz w:val="20"/>
              </w:rPr>
            </w:pPr>
            <w:r>
              <w:rPr>
                <w:rFonts w:ascii="Tahoma" w:hAnsi="Tahoma" w:cs="Tahoma"/>
                <w:sz w:val="18"/>
              </w:rPr>
              <w:t xml:space="preserve">This pane on the CPRS Cover Sheet </w:t>
            </w:r>
            <w:r>
              <w:rPr>
                <w:rFonts w:ascii="Tahoma" w:hAnsi="Tahoma" w:cs="Tahoma"/>
                <w:sz w:val="20"/>
              </w:rPr>
              <w:t>displays Reminders that are due now or are due soon. You can double-click on a reminder to get basic information about why it is due and what actions it requires.</w:t>
            </w:r>
          </w:p>
          <w:p w14:paraId="3E2A320A" w14:textId="77777777" w:rsidR="00490153" w:rsidRDefault="00490153">
            <w:pPr>
              <w:ind w:right="252"/>
              <w:rPr>
                <w:rFonts w:ascii="Tahoma" w:hAnsi="Tahoma" w:cs="Tahoma"/>
                <w:sz w:val="20"/>
              </w:rPr>
            </w:pPr>
          </w:p>
          <w:p w14:paraId="73CE796E" w14:textId="77777777" w:rsidR="00490153" w:rsidRDefault="00121D9C">
            <w:pPr>
              <w:ind w:left="180"/>
            </w:pPr>
            <w:r>
              <w:rPr>
                <w:noProof/>
                <w:sz w:val="20"/>
              </w:rPr>
              <w:pict w14:anchorId="4499EB65">
                <v:oval id="_x0000_s1045" style="position:absolute;left:0;text-align:left;margin-left:104.45pt;margin-top:.65pt;width:46.4pt;height:18.7pt;z-index:3" filled="f" strokecolor="red"/>
              </w:pict>
            </w:r>
            <w:r>
              <w:rPr>
                <w:noProof/>
                <w:sz w:val="20"/>
              </w:rPr>
              <w:pict w14:anchorId="5FE86D10">
                <v:oval id="_x0000_s1044" style="position:absolute;left:0;text-align:left;margin-left:14.55pt;margin-top:.65pt;width:46.4pt;height:18.7pt;z-index:2" filled="f" strokecolor="red"/>
              </w:pict>
            </w:r>
            <w:r w:rsidR="0089005F">
              <w:pict w14:anchorId="72ACE3D0">
                <v:shape id="_x0000_i1027" type="#_x0000_t75" style="width:171.15pt;height:59.8pt" fillcolor="window">
                  <v:imagedata r:id="rId7" o:title="" croptop="24480f" cropbottom="24785f" cropleft="30001f"/>
                </v:shape>
              </w:pict>
            </w:r>
          </w:p>
          <w:p w14:paraId="53155BF5" w14:textId="77777777" w:rsidR="00490153" w:rsidRDefault="00490153">
            <w:pPr>
              <w:spacing w:after="60"/>
              <w:rPr>
                <w:rFonts w:ascii="Times New Roman" w:hAnsi="Times New Roman"/>
                <w:sz w:val="16"/>
              </w:rPr>
            </w:pPr>
          </w:p>
          <w:p w14:paraId="7575AE87" w14:textId="77777777" w:rsidR="00490153" w:rsidRDefault="00490153">
            <w:pPr>
              <w:pStyle w:val="NormalWeb"/>
              <w:rPr>
                <w:rFonts w:ascii="Tahoma" w:hAnsi="Tahoma" w:cs="Tahoma"/>
                <w:sz w:val="18"/>
              </w:rPr>
            </w:pPr>
            <w:r>
              <w:rPr>
                <w:rFonts w:ascii="Tahoma" w:hAnsi="Tahoma" w:cs="Tahoma"/>
                <w:sz w:val="18"/>
              </w:rPr>
              <w:t>Icons in the upper right corner of the Cover Sheet provide information about reminders.</w:t>
            </w:r>
          </w:p>
          <w:p w14:paraId="3EB559CB" w14:textId="77777777" w:rsidR="00490153" w:rsidRDefault="00121D9C">
            <w:pPr>
              <w:spacing w:before="60"/>
            </w:pPr>
            <w:r>
              <w:rPr>
                <w:noProof/>
                <w:sz w:val="20"/>
              </w:rPr>
              <w:pict w14:anchorId="6DAC9D11">
                <v:oval id="_x0000_s1043" style="position:absolute;margin-left:118.95pt;margin-top:2.65pt;width:34.8pt;height:37.4pt;z-index:1" filled="f" strokecolor="red"/>
              </w:pict>
            </w:r>
            <w:r w:rsidR="00490153">
              <w:object w:dxaOrig="4454" w:dyaOrig="600" w14:anchorId="121294C8">
                <v:shape id="_x0000_i1028" type="#_x0000_t75" style="width:194.4pt;height:34.9pt" o:ole="">
                  <v:imagedata r:id="rId8" o:title=""/>
                </v:shape>
                <o:OLEObject Type="Embed" ProgID="PBrush" ShapeID="_x0000_i1028" DrawAspect="Content" ObjectID="_1693128111" r:id="rId9"/>
              </w:object>
            </w:r>
          </w:p>
          <w:p w14:paraId="4E429830" w14:textId="77777777" w:rsidR="00490153" w:rsidRDefault="00490153">
            <w:pPr>
              <w:spacing w:before="60"/>
              <w:rPr>
                <w:rFonts w:ascii="Times New Roman" w:hAnsi="Times New Roman"/>
                <w:color w:val="FF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3402"/>
            </w:tblGrid>
            <w:tr w:rsidR="00490153" w14:paraId="6E576A1D" w14:textId="77777777">
              <w:tc>
                <w:tcPr>
                  <w:tcW w:w="625" w:type="dxa"/>
                </w:tcPr>
                <w:p w14:paraId="6BD5424D" w14:textId="77777777" w:rsidR="00490153" w:rsidRDefault="00490153">
                  <w:pPr>
                    <w:numPr>
                      <w:ilvl w:val="12"/>
                      <w:numId w:val="0"/>
                    </w:numPr>
                    <w:ind w:right="72"/>
                  </w:pPr>
                  <w:r>
                    <w:object w:dxaOrig="480" w:dyaOrig="660" w14:anchorId="6DE27D04">
                      <v:shape id="_x0000_i1029" type="#_x0000_t75" style="width:16.05pt;height:22.15pt" o:ole="" fillcolor="window">
                        <v:imagedata r:id="rId10" o:title=""/>
                      </v:shape>
                      <o:OLEObject Type="Embed" ProgID="PBrush" ShapeID="_x0000_i1029" DrawAspect="Content" ObjectID="_1693128112" r:id="rId11"/>
                    </w:object>
                  </w:r>
                  <w:r>
                    <w:t xml:space="preserve">  </w:t>
                  </w:r>
                </w:p>
              </w:tc>
              <w:tc>
                <w:tcPr>
                  <w:tcW w:w="3402" w:type="dxa"/>
                </w:tcPr>
                <w:p w14:paraId="6F5D6E25" w14:textId="77777777" w:rsidR="00490153" w:rsidRDefault="00490153">
                  <w:pPr>
                    <w:numPr>
                      <w:ilvl w:val="12"/>
                      <w:numId w:val="0"/>
                    </w:numPr>
                    <w:ind w:right="90"/>
                    <w:rPr>
                      <w:rFonts w:ascii="Tahoma" w:hAnsi="Tahoma" w:cs="Tahoma"/>
                      <w:sz w:val="16"/>
                    </w:rPr>
                  </w:pPr>
                  <w:r>
                    <w:rPr>
                      <w:rFonts w:ascii="Tahoma" w:hAnsi="Tahoma" w:cs="Tahoma"/>
                      <w:sz w:val="16"/>
                    </w:rPr>
                    <w:t xml:space="preserve">A red, ringing alarm clock means that a reminder is due. </w:t>
                  </w:r>
                </w:p>
              </w:tc>
            </w:tr>
            <w:tr w:rsidR="00490153" w14:paraId="54D995EA" w14:textId="77777777">
              <w:tc>
                <w:tcPr>
                  <w:tcW w:w="625" w:type="dxa"/>
                </w:tcPr>
                <w:p w14:paraId="2A8ED14C" w14:textId="77777777" w:rsidR="00490153" w:rsidRDefault="00490153">
                  <w:pPr>
                    <w:numPr>
                      <w:ilvl w:val="12"/>
                      <w:numId w:val="0"/>
                    </w:numPr>
                    <w:ind w:right="72"/>
                    <w:rPr>
                      <w:rFonts w:ascii="Times New Roman" w:hAnsi="Times New Roman"/>
                      <w:sz w:val="16"/>
                    </w:rPr>
                  </w:pPr>
                  <w:r>
                    <w:object w:dxaOrig="480" w:dyaOrig="660" w14:anchorId="24E303C8">
                      <v:shape id="_x0000_i1030" type="#_x0000_t75" style="width:12.75pt;height:17.7pt" o:ole="" fillcolor="window">
                        <v:imagedata r:id="rId12" o:title=""/>
                      </v:shape>
                      <o:OLEObject Type="Embed" ProgID="PBrush" ShapeID="_x0000_i1030" DrawAspect="Content" ObjectID="_1693128113" r:id="rId13"/>
                    </w:object>
                  </w:r>
                </w:p>
              </w:tc>
              <w:tc>
                <w:tcPr>
                  <w:tcW w:w="3402" w:type="dxa"/>
                </w:tcPr>
                <w:p w14:paraId="440026B4" w14:textId="77777777" w:rsidR="00490153" w:rsidRDefault="00490153">
                  <w:pPr>
                    <w:numPr>
                      <w:ilvl w:val="12"/>
                      <w:numId w:val="0"/>
                    </w:numPr>
                    <w:ind w:right="90"/>
                    <w:rPr>
                      <w:rFonts w:ascii="Tahoma" w:hAnsi="Tahoma" w:cs="Tahoma"/>
                      <w:b/>
                      <w:sz w:val="16"/>
                    </w:rPr>
                  </w:pPr>
                  <w:r>
                    <w:rPr>
                      <w:rFonts w:ascii="Tahoma" w:hAnsi="Tahoma" w:cs="Tahoma"/>
                      <w:sz w:val="16"/>
                    </w:rPr>
                    <w:t xml:space="preserve">A blue, non-ringing alarm clock means a reminder is not due, but is applicable. </w:t>
                  </w:r>
                  <w:r w:rsidR="00317777">
                    <w:rPr>
                      <w:rFonts w:ascii="Tahoma" w:hAnsi="Tahoma" w:cs="Tahoma"/>
                      <w:sz w:val="16"/>
                    </w:rPr>
                    <w:t>I.e.</w:t>
                  </w:r>
                  <w:r>
                    <w:rPr>
                      <w:rFonts w:ascii="Tahoma" w:hAnsi="Tahoma" w:cs="Tahoma"/>
                      <w:sz w:val="16"/>
                    </w:rPr>
                    <w:t>, the reminder will be due soon and you might want to consider resolving it now, in case the patient doesn’t have an appointment between now and the due date.</w:t>
                  </w:r>
                </w:p>
              </w:tc>
            </w:tr>
            <w:tr w:rsidR="00490153" w14:paraId="3A012B23" w14:textId="77777777">
              <w:tc>
                <w:tcPr>
                  <w:tcW w:w="625" w:type="dxa"/>
                </w:tcPr>
                <w:p w14:paraId="3A5919A2" w14:textId="77777777" w:rsidR="00490153" w:rsidRDefault="00490153">
                  <w:pPr>
                    <w:numPr>
                      <w:ilvl w:val="12"/>
                      <w:numId w:val="0"/>
                    </w:numPr>
                    <w:ind w:right="72"/>
                  </w:pPr>
                  <w:r>
                    <w:object w:dxaOrig="480" w:dyaOrig="660" w14:anchorId="3414D6EA">
                      <v:shape id="_x0000_i1031" type="#_x0000_t75" style="width:14.95pt;height:21.05pt" o:ole="" fillcolor="window">
                        <v:imagedata r:id="rId14" o:title=""/>
                      </v:shape>
                      <o:OLEObject Type="Embed" ProgID="PBrush" ShapeID="_x0000_i1031" DrawAspect="Content" ObjectID="_1693128114" r:id="rId15"/>
                    </w:object>
                  </w:r>
                </w:p>
              </w:tc>
              <w:tc>
                <w:tcPr>
                  <w:tcW w:w="3402" w:type="dxa"/>
                </w:tcPr>
                <w:p w14:paraId="07393DB6" w14:textId="77777777" w:rsidR="00490153" w:rsidRDefault="00490153">
                  <w:pPr>
                    <w:numPr>
                      <w:ilvl w:val="12"/>
                      <w:numId w:val="0"/>
                    </w:numPr>
                    <w:ind w:right="90"/>
                    <w:rPr>
                      <w:rFonts w:ascii="Tahoma" w:hAnsi="Tahoma" w:cs="Tahoma"/>
                      <w:b/>
                      <w:sz w:val="16"/>
                    </w:rPr>
                  </w:pPr>
                  <w:r>
                    <w:rPr>
                      <w:rFonts w:ascii="Tahoma" w:hAnsi="Tahoma" w:cs="Tahoma"/>
                      <w:sz w:val="16"/>
                    </w:rPr>
                    <w:t xml:space="preserve">A wall clock means a reminder is not applicable. </w:t>
                  </w:r>
                </w:p>
              </w:tc>
            </w:tr>
            <w:tr w:rsidR="00490153" w14:paraId="767D5FAE" w14:textId="77777777">
              <w:tc>
                <w:tcPr>
                  <w:tcW w:w="625" w:type="dxa"/>
                </w:tcPr>
                <w:p w14:paraId="59E0A425" w14:textId="77777777" w:rsidR="00490153" w:rsidRDefault="00490153">
                  <w:pPr>
                    <w:numPr>
                      <w:ilvl w:val="12"/>
                      <w:numId w:val="0"/>
                    </w:numPr>
                    <w:ind w:right="72"/>
                    <w:rPr>
                      <w:sz w:val="16"/>
                    </w:rPr>
                  </w:pPr>
                  <w:r>
                    <w:object w:dxaOrig="570" w:dyaOrig="660" w14:anchorId="1E859EE2">
                      <v:shape id="_x0000_i1032" type="#_x0000_t75" style="width:18.85pt;height:21.05pt" o:ole="" fillcolor="window">
                        <v:imagedata r:id="rId16" o:title=""/>
                      </v:shape>
                      <o:OLEObject Type="Embed" ProgID="PBrush" ShapeID="_x0000_i1032" DrawAspect="Content" ObjectID="_1693128115" r:id="rId17"/>
                    </w:object>
                  </w:r>
                </w:p>
              </w:tc>
              <w:tc>
                <w:tcPr>
                  <w:tcW w:w="3402" w:type="dxa"/>
                </w:tcPr>
                <w:p w14:paraId="1A0615C1" w14:textId="77777777" w:rsidR="00490153" w:rsidRDefault="00490153">
                  <w:pPr>
                    <w:numPr>
                      <w:ilvl w:val="12"/>
                      <w:numId w:val="0"/>
                    </w:numPr>
                    <w:ind w:right="90"/>
                    <w:rPr>
                      <w:rFonts w:ascii="Tahoma" w:hAnsi="Tahoma" w:cs="Tahoma"/>
                      <w:sz w:val="16"/>
                    </w:rPr>
                  </w:pPr>
                  <w:r>
                    <w:rPr>
                      <w:rFonts w:ascii="Tahoma" w:hAnsi="Tahoma" w:cs="Tahoma"/>
                      <w:color w:val="000000"/>
                      <w:sz w:val="16"/>
                    </w:rPr>
                    <w:t>A grayed-out alarm clock means that no reminders are due or applicable.</w:t>
                  </w:r>
                </w:p>
              </w:tc>
            </w:tr>
            <w:tr w:rsidR="00490153" w14:paraId="2A435A92" w14:textId="77777777">
              <w:tc>
                <w:tcPr>
                  <w:tcW w:w="625" w:type="dxa"/>
                </w:tcPr>
                <w:p w14:paraId="42CC9CDB" w14:textId="77777777" w:rsidR="00490153" w:rsidRDefault="00490153">
                  <w:pPr>
                    <w:numPr>
                      <w:ilvl w:val="12"/>
                      <w:numId w:val="0"/>
                    </w:numPr>
                    <w:ind w:right="72"/>
                  </w:pPr>
                  <w:r>
                    <w:object w:dxaOrig="570" w:dyaOrig="660" w14:anchorId="072D0FB5">
                      <v:shape id="_x0000_i1033" type="#_x0000_t75" style="width:17.15pt;height:18.85pt" o:ole="" fillcolor="window">
                        <v:imagedata r:id="rId18" o:title=""/>
                      </v:shape>
                      <o:OLEObject Type="Embed" ProgID="PBrush" ShapeID="_x0000_i1033" DrawAspect="Content" ObjectID="_1693128116" r:id="rId19"/>
                    </w:object>
                  </w:r>
                </w:p>
              </w:tc>
              <w:tc>
                <w:tcPr>
                  <w:tcW w:w="3402" w:type="dxa"/>
                </w:tcPr>
                <w:p w14:paraId="3EAA6722" w14:textId="77777777" w:rsidR="00490153" w:rsidRDefault="00490153">
                  <w:pPr>
                    <w:numPr>
                      <w:ilvl w:val="12"/>
                      <w:numId w:val="0"/>
                    </w:numPr>
                    <w:ind w:right="90"/>
                    <w:rPr>
                      <w:rFonts w:ascii="Tahoma" w:hAnsi="Tahoma" w:cs="Tahoma"/>
                      <w:b/>
                      <w:sz w:val="16"/>
                    </w:rPr>
                  </w:pPr>
                  <w:r>
                    <w:rPr>
                      <w:rFonts w:ascii="Tahoma" w:hAnsi="Tahoma" w:cs="Tahoma"/>
                      <w:color w:val="000000"/>
                      <w:sz w:val="16"/>
                    </w:rPr>
                    <w:t xml:space="preserve">A question mark means that a reminder has yet to be evaluated. (The question mark appears as CPRS checks reminders for the patient.) </w:t>
                  </w:r>
                </w:p>
              </w:tc>
            </w:tr>
          </w:tbl>
          <w:p w14:paraId="74F656FF" w14:textId="77777777" w:rsidR="00490153" w:rsidRDefault="00490153">
            <w:pPr>
              <w:pStyle w:val="BodyText2"/>
              <w:autoSpaceDE w:val="0"/>
              <w:autoSpaceDN w:val="0"/>
              <w:adjustRightInd w:val="0"/>
              <w:spacing w:after="0"/>
            </w:pPr>
          </w:p>
        </w:tc>
        <w:tc>
          <w:tcPr>
            <w:tcW w:w="4950" w:type="dxa"/>
          </w:tcPr>
          <w:p w14:paraId="29746B2D" w14:textId="77777777" w:rsidR="00490153" w:rsidRDefault="00490153">
            <w:pPr>
              <w:rPr>
                <w:rFonts w:ascii="Tahoma" w:hAnsi="Tahoma" w:cs="Tahoma"/>
                <w:b/>
                <w:iCs/>
              </w:rPr>
            </w:pPr>
            <w:r>
              <w:rPr>
                <w:rFonts w:ascii="Tahoma" w:hAnsi="Tahoma" w:cs="Tahoma"/>
                <w:b/>
                <w:iCs/>
              </w:rPr>
              <w:t>Resolving Reminders</w:t>
            </w:r>
          </w:p>
          <w:p w14:paraId="72405E9C" w14:textId="77777777" w:rsidR="00490153" w:rsidRDefault="00490153">
            <w:pPr>
              <w:rPr>
                <w:rFonts w:ascii="Tahoma" w:hAnsi="Tahoma" w:cs="Tahoma"/>
                <w:b/>
                <w:sz w:val="16"/>
              </w:rPr>
            </w:pPr>
          </w:p>
          <w:p w14:paraId="2A7A6888" w14:textId="77777777" w:rsidR="00490153" w:rsidRDefault="00490153">
            <w:pPr>
              <w:rPr>
                <w:rFonts w:ascii="Tahoma" w:hAnsi="Tahoma" w:cs="Tahoma"/>
                <w:sz w:val="18"/>
              </w:rPr>
            </w:pPr>
            <w:r>
              <w:rPr>
                <w:rFonts w:ascii="Tahoma" w:hAnsi="Tahoma" w:cs="Tahoma"/>
                <w:sz w:val="18"/>
              </w:rPr>
              <w:t>1.  Log on to CPRS and select the</w:t>
            </w:r>
            <w:r>
              <w:rPr>
                <w:rFonts w:ascii="Tahoma" w:hAnsi="Tahoma" w:cs="Tahoma"/>
                <w:i/>
                <w:iCs/>
                <w:sz w:val="18"/>
              </w:rPr>
              <w:t xml:space="preserve"> Notes</w:t>
            </w:r>
            <w:r>
              <w:rPr>
                <w:rFonts w:ascii="Tahoma" w:hAnsi="Tahoma" w:cs="Tahoma"/>
                <w:sz w:val="18"/>
              </w:rPr>
              <w:t xml:space="preserve"> tab. </w:t>
            </w:r>
          </w:p>
          <w:p w14:paraId="3508E593" w14:textId="77777777" w:rsidR="00490153" w:rsidRDefault="00490153">
            <w:pPr>
              <w:rPr>
                <w:rFonts w:ascii="Tahoma" w:hAnsi="Tahoma" w:cs="Tahoma"/>
                <w:sz w:val="18"/>
              </w:rPr>
            </w:pPr>
            <w:r>
              <w:rPr>
                <w:rFonts w:ascii="Tahoma" w:hAnsi="Tahoma" w:cs="Tahoma"/>
                <w:sz w:val="18"/>
              </w:rPr>
              <w:t xml:space="preserve">2.  Click on the </w:t>
            </w:r>
            <w:r>
              <w:rPr>
                <w:rFonts w:ascii="Tahoma" w:hAnsi="Tahoma" w:cs="Tahoma"/>
                <w:b/>
                <w:bCs/>
                <w:sz w:val="18"/>
              </w:rPr>
              <w:t>New Note</w:t>
            </w:r>
            <w:r>
              <w:rPr>
                <w:rFonts w:ascii="Tahoma" w:hAnsi="Tahoma" w:cs="Tahoma"/>
                <w:sz w:val="18"/>
              </w:rPr>
              <w:t xml:space="preserve"> button.</w:t>
            </w:r>
          </w:p>
          <w:p w14:paraId="315C0CC6" w14:textId="77777777" w:rsidR="00490153" w:rsidRDefault="00490153">
            <w:pPr>
              <w:pStyle w:val="BodyTextIndent2"/>
              <w:ind w:right="162"/>
              <w:rPr>
                <w:rFonts w:ascii="Tahoma" w:hAnsi="Tahoma" w:cs="Tahoma"/>
              </w:rPr>
            </w:pPr>
            <w:r>
              <w:rPr>
                <w:rFonts w:ascii="Tahoma" w:hAnsi="Tahoma" w:cs="Tahoma"/>
              </w:rPr>
              <w:t>3.  Select any title or type a new title in the title box.</w:t>
            </w:r>
          </w:p>
          <w:p w14:paraId="3362CFA3" w14:textId="77777777" w:rsidR="00490153" w:rsidRDefault="00490153">
            <w:pPr>
              <w:pStyle w:val="NormalWeb"/>
              <w:spacing w:before="0" w:beforeAutospacing="0" w:after="0" w:afterAutospacing="0"/>
              <w:ind w:left="252" w:right="162" w:hanging="252"/>
              <w:rPr>
                <w:rFonts w:ascii="Tahoma" w:hAnsi="Tahoma" w:cs="Tahoma"/>
                <w:sz w:val="18"/>
              </w:rPr>
            </w:pPr>
            <w:r>
              <w:rPr>
                <w:rFonts w:ascii="Tahoma" w:hAnsi="Tahoma" w:cs="Tahoma"/>
                <w:sz w:val="18"/>
              </w:rPr>
              <w:t>4.  Choose a visit with which to associate the note. You can use the TELEPHONE CLINIC selection for telephone notes.</w:t>
            </w:r>
          </w:p>
          <w:p w14:paraId="70C47388" w14:textId="77777777" w:rsidR="00490153" w:rsidRDefault="00490153">
            <w:pPr>
              <w:ind w:left="252" w:right="252" w:hanging="252"/>
              <w:rPr>
                <w:rFonts w:ascii="Tahoma" w:hAnsi="Tahoma" w:cs="Tahoma"/>
                <w:sz w:val="18"/>
              </w:rPr>
            </w:pPr>
            <w:r>
              <w:rPr>
                <w:rFonts w:ascii="Tahoma" w:hAnsi="Tahoma" w:cs="Tahoma"/>
                <w:sz w:val="18"/>
              </w:rPr>
              <w:t xml:space="preserve">5.  When the note opens, "drawers" open in the lower left section of the screen. Click on the </w:t>
            </w:r>
            <w:r>
              <w:rPr>
                <w:rFonts w:ascii="Tahoma" w:hAnsi="Tahoma" w:cs="Tahoma"/>
                <w:b/>
                <w:bCs/>
                <w:sz w:val="18"/>
              </w:rPr>
              <w:t>Reminders</w:t>
            </w:r>
            <w:r>
              <w:rPr>
                <w:rFonts w:ascii="Tahoma" w:hAnsi="Tahoma" w:cs="Tahoma"/>
                <w:sz w:val="18"/>
              </w:rPr>
              <w:t xml:space="preserve"> drawer to open it.</w:t>
            </w:r>
          </w:p>
          <w:p w14:paraId="3B912802" w14:textId="77777777" w:rsidR="00490153" w:rsidRDefault="00121D9C">
            <w:pPr>
              <w:ind w:left="252" w:right="72" w:hanging="252"/>
              <w:rPr>
                <w:rFonts w:ascii="Tahoma" w:hAnsi="Tahoma" w:cs="Tahoma"/>
                <w:noProof/>
                <w:sz w:val="18"/>
              </w:rPr>
            </w:pPr>
            <w:r>
              <w:rPr>
                <w:rFonts w:ascii="Tahoma" w:hAnsi="Tahoma" w:cs="Tahoma"/>
                <w:noProof/>
                <w:sz w:val="18"/>
              </w:rPr>
              <w:pict w14:anchorId="66C050CB">
                <v:shape id="_x0000_s1046" type="#_x0000_t75" alt="CR15rmdrwr.jpg (17037 bytes)" style="position:absolute;left:0;text-align:left;margin-left:-.65pt;margin-top:30.15pt;width:209.75pt;height:67.95pt;z-index:4">
                  <v:imagedata r:id="rId20" o:title="CR15rmdrwr"/>
                  <w10:wrap type="topAndBottom"/>
                </v:shape>
              </w:pict>
            </w:r>
            <w:r w:rsidR="00490153">
              <w:rPr>
                <w:rFonts w:ascii="Tahoma" w:hAnsi="Tahoma" w:cs="Tahoma"/>
                <w:sz w:val="18"/>
              </w:rPr>
              <w:t>6. When the Reminders drawer opens, you can see the reminders on which you can act.  </w:t>
            </w:r>
          </w:p>
          <w:p w14:paraId="4AB8BB74" w14:textId="77777777" w:rsidR="00490153" w:rsidRDefault="00490153">
            <w:pPr>
              <w:ind w:left="252" w:right="72" w:hanging="252"/>
              <w:rPr>
                <w:rFonts w:ascii="Tahoma" w:hAnsi="Tahoma" w:cs="Tahoma"/>
                <w:noProof/>
                <w:sz w:val="18"/>
              </w:rPr>
            </w:pPr>
          </w:p>
          <w:p w14:paraId="2BFC2C1B" w14:textId="77777777" w:rsidR="00490153" w:rsidRDefault="00490153">
            <w:pPr>
              <w:ind w:left="252" w:right="342" w:hanging="252"/>
              <w:rPr>
                <w:rFonts w:ascii="Arial" w:hAnsi="Arial"/>
                <w:noProof/>
                <w:sz w:val="18"/>
              </w:rPr>
            </w:pPr>
            <w:r>
              <w:rPr>
                <w:rFonts w:ascii="Tahoma" w:hAnsi="Tahoma" w:cs="Tahoma"/>
                <w:noProof/>
                <w:sz w:val="18"/>
              </w:rPr>
              <w:t>7.  Click on a reminder to select it for resolution. A reminder dialog opens. You can resolve one or several reminders in a single note. As you select items in the dialog by clicking on the checkboxes, Clinical Reminders enters text into the progress note and may also automatically write orders for labs, consults, etc. You can click on a selected item to undo the selection.</w:t>
            </w:r>
          </w:p>
          <w:p w14:paraId="0434CEEB" w14:textId="77777777" w:rsidR="00490153" w:rsidRDefault="00490153">
            <w:pPr>
              <w:pStyle w:val="BulletList-Normal1"/>
              <w:autoSpaceDE/>
              <w:autoSpaceDN/>
              <w:adjustRightInd/>
              <w:rPr>
                <w:szCs w:val="20"/>
              </w:rPr>
            </w:pPr>
          </w:p>
          <w:p w14:paraId="78F2CF4E" w14:textId="77777777" w:rsidR="00490153" w:rsidRDefault="00490153">
            <w:pPr>
              <w:tabs>
                <w:tab w:val="left" w:pos="1062"/>
              </w:tabs>
            </w:pPr>
            <w:r>
              <w:fldChar w:fldCharType="begin"/>
            </w:r>
            <w:r>
              <w:instrText xml:space="preserve"> INCLUDEPICTURE "http://152.132.3.120/cprs/reminders/CR15PNhc2.jpg" \* MERGEFORMATINET </w:instrText>
            </w:r>
            <w:r>
              <w:fldChar w:fldCharType="separate"/>
            </w:r>
            <w:r w:rsidR="00121D9C">
              <w:fldChar w:fldCharType="begin"/>
            </w:r>
            <w:r w:rsidR="00121D9C">
              <w:instrText xml:space="preserve"> </w:instrText>
            </w:r>
            <w:r w:rsidR="00121D9C">
              <w:instrText>INCLUDEPICTURE  "http://152.132.3.120/cprs/reminders/CR15PNhc2.jpg" \* MERGEFORMATINET</w:instrText>
            </w:r>
            <w:r w:rsidR="00121D9C">
              <w:instrText xml:space="preserve"> </w:instrText>
            </w:r>
            <w:r w:rsidR="00121D9C">
              <w:fldChar w:fldCharType="separate"/>
            </w:r>
            <w:r w:rsidR="00121D9C">
              <w:pict w14:anchorId="7AE864DE">
                <v:shape id="_x0000_i1034" type="#_x0000_t75" alt="CR15PNhc2.jpg (78435 bytes)" style="width:193.85pt;height:128.5pt">
                  <v:imagedata r:id="rId21" r:href="rId22"/>
                </v:shape>
              </w:pict>
            </w:r>
            <w:r w:rsidR="00121D9C">
              <w:fldChar w:fldCharType="end"/>
            </w:r>
            <w:r>
              <w:fldChar w:fldCharType="end"/>
            </w:r>
          </w:p>
          <w:p w14:paraId="1607DD8C" w14:textId="77777777" w:rsidR="00490153" w:rsidRDefault="00490153">
            <w:pPr>
              <w:tabs>
                <w:tab w:val="left" w:pos="162"/>
                <w:tab w:val="left" w:pos="1062"/>
              </w:tabs>
              <w:rPr>
                <w:sz w:val="16"/>
              </w:rPr>
            </w:pPr>
            <w:r>
              <w:rPr>
                <w:rFonts w:ascii="Times New Roman" w:hAnsi="Times New Roman"/>
                <w:b/>
                <w:sz w:val="18"/>
              </w:rPr>
              <w:t xml:space="preserve"> </w:t>
            </w:r>
          </w:p>
          <w:p w14:paraId="46CB013A" w14:textId="77777777" w:rsidR="00490153" w:rsidRDefault="00490153">
            <w:pPr>
              <w:pStyle w:val="BodyText2"/>
              <w:spacing w:after="0"/>
              <w:ind w:right="342"/>
              <w:rPr>
                <w:rFonts w:ascii="Tahoma" w:hAnsi="Tahoma" w:cs="Tahoma"/>
              </w:rPr>
            </w:pPr>
            <w:r>
              <w:rPr>
                <w:rFonts w:ascii="Tahoma" w:hAnsi="Tahoma" w:cs="Tahoma"/>
              </w:rPr>
              <w:t xml:space="preserve">Notice that selections in the dialog have corresponding text in the pane below the dialog. You can edit, add to, or delete any of this text just as you would text in any progress note. </w:t>
            </w:r>
          </w:p>
        </w:tc>
        <w:tc>
          <w:tcPr>
            <w:tcW w:w="4950" w:type="dxa"/>
          </w:tcPr>
          <w:p w14:paraId="74FADED7" w14:textId="77777777" w:rsidR="00490153" w:rsidRDefault="00490153">
            <w:pPr>
              <w:pStyle w:val="Heading6"/>
              <w:shd w:val="clear" w:color="0000FF" w:fill="auto"/>
              <w:spacing w:after="120"/>
              <w:ind w:left="252" w:right="-115"/>
              <w:rPr>
                <w:rFonts w:ascii="Tahoma" w:hAnsi="Tahoma" w:cs="Tahoma"/>
                <w:i w:val="0"/>
                <w:color w:val="auto"/>
                <w:sz w:val="24"/>
              </w:rPr>
            </w:pPr>
            <w:r>
              <w:rPr>
                <w:rFonts w:ascii="Tahoma" w:hAnsi="Tahoma" w:cs="Tahoma"/>
                <w:i w:val="0"/>
                <w:color w:val="auto"/>
                <w:sz w:val="24"/>
              </w:rPr>
              <w:t>Clinical Reminders Reports</w:t>
            </w:r>
          </w:p>
          <w:p w14:paraId="5743D6F7" w14:textId="77777777" w:rsidR="00490153" w:rsidRDefault="00490153">
            <w:pPr>
              <w:pStyle w:val="BodyText2"/>
              <w:tabs>
                <w:tab w:val="left" w:pos="270"/>
              </w:tabs>
              <w:ind w:left="252"/>
              <w:rPr>
                <w:rFonts w:ascii="Tahoma" w:hAnsi="Tahoma" w:cs="Tahoma"/>
              </w:rPr>
            </w:pPr>
            <w:r>
              <w:rPr>
                <w:rFonts w:ascii="Tahoma" w:hAnsi="Tahoma" w:cs="Tahoma"/>
              </w:rPr>
              <w:t xml:space="preserve">You can use Clinical Reminder reports to: </w:t>
            </w:r>
          </w:p>
          <w:p w14:paraId="609A9B1E" w14:textId="77777777" w:rsidR="00490153" w:rsidRDefault="00490153">
            <w:pPr>
              <w:numPr>
                <w:ilvl w:val="0"/>
                <w:numId w:val="10"/>
              </w:numPr>
              <w:tabs>
                <w:tab w:val="clear" w:pos="720"/>
              </w:tabs>
              <w:ind w:left="522" w:right="522" w:hanging="274"/>
              <w:rPr>
                <w:rFonts w:ascii="Tahoma" w:hAnsi="Tahoma" w:cs="Tahoma"/>
                <w:sz w:val="18"/>
              </w:rPr>
            </w:pPr>
            <w:r>
              <w:rPr>
                <w:rFonts w:ascii="Tahoma" w:hAnsi="Tahoma" w:cs="Tahoma"/>
                <w:sz w:val="18"/>
              </w:rPr>
              <w:t>Identify patients in a panel or a clinic who have reminders that are due</w:t>
            </w:r>
          </w:p>
          <w:p w14:paraId="263DC27D" w14:textId="77777777" w:rsidR="00490153" w:rsidRDefault="00490153">
            <w:pPr>
              <w:numPr>
                <w:ilvl w:val="0"/>
                <w:numId w:val="10"/>
              </w:numPr>
              <w:tabs>
                <w:tab w:val="clear" w:pos="720"/>
              </w:tabs>
              <w:ind w:left="522" w:right="522" w:hanging="274"/>
              <w:rPr>
                <w:rFonts w:ascii="Tahoma" w:hAnsi="Tahoma" w:cs="Tahoma"/>
                <w:sz w:val="18"/>
              </w:rPr>
            </w:pPr>
            <w:r>
              <w:rPr>
                <w:rFonts w:ascii="Tahoma" w:hAnsi="Tahoma" w:cs="Tahoma"/>
                <w:sz w:val="18"/>
              </w:rPr>
              <w:t>Provide aggregate reporting</w:t>
            </w:r>
          </w:p>
          <w:p w14:paraId="2A5B012A" w14:textId="77777777" w:rsidR="00490153" w:rsidRDefault="00490153">
            <w:pPr>
              <w:numPr>
                <w:ilvl w:val="0"/>
                <w:numId w:val="10"/>
              </w:numPr>
              <w:tabs>
                <w:tab w:val="clear" w:pos="720"/>
              </w:tabs>
              <w:ind w:left="522" w:right="522" w:hanging="274"/>
              <w:rPr>
                <w:rFonts w:ascii="Tahoma" w:hAnsi="Tahoma" w:cs="Tahoma"/>
                <w:sz w:val="18"/>
              </w:rPr>
            </w:pPr>
            <w:r>
              <w:rPr>
                <w:rFonts w:ascii="Tahoma" w:hAnsi="Tahoma" w:cs="Tahoma"/>
                <w:sz w:val="18"/>
              </w:rPr>
              <w:t>Create patient-specific reports for intervention</w:t>
            </w:r>
          </w:p>
          <w:p w14:paraId="0048743D" w14:textId="77777777" w:rsidR="00490153" w:rsidRDefault="00490153">
            <w:pPr>
              <w:numPr>
                <w:ilvl w:val="0"/>
                <w:numId w:val="10"/>
              </w:numPr>
              <w:tabs>
                <w:tab w:val="clear" w:pos="720"/>
              </w:tabs>
              <w:ind w:left="522" w:right="522" w:hanging="274"/>
              <w:rPr>
                <w:rFonts w:ascii="Tahoma" w:hAnsi="Tahoma" w:cs="Tahoma"/>
                <w:sz w:val="18"/>
              </w:rPr>
            </w:pPr>
            <w:r>
              <w:rPr>
                <w:rFonts w:ascii="Tahoma" w:hAnsi="Tahoma" w:cs="Tahoma"/>
                <w:sz w:val="18"/>
              </w:rPr>
              <w:t>Identify inpatients who have reminders that are due</w:t>
            </w:r>
          </w:p>
          <w:p w14:paraId="76A002AD" w14:textId="77777777" w:rsidR="00490153" w:rsidRDefault="00490153">
            <w:pPr>
              <w:numPr>
                <w:ilvl w:val="0"/>
                <w:numId w:val="10"/>
              </w:numPr>
              <w:tabs>
                <w:tab w:val="clear" w:pos="720"/>
              </w:tabs>
              <w:ind w:left="522" w:right="522" w:hanging="274"/>
              <w:rPr>
                <w:rFonts w:ascii="Tahoma" w:hAnsi="Tahoma" w:cs="Tahoma"/>
                <w:sz w:val="18"/>
              </w:rPr>
            </w:pPr>
            <w:r>
              <w:rPr>
                <w:rFonts w:ascii="Tahoma" w:hAnsi="Tahoma" w:cs="Tahoma"/>
                <w:sz w:val="18"/>
              </w:rPr>
              <w:t>Identify patients who will be in a specific clinic in the next month and who need an intervention</w:t>
            </w:r>
          </w:p>
          <w:p w14:paraId="7393A1BB" w14:textId="77777777" w:rsidR="00490153" w:rsidRDefault="00490153">
            <w:pPr>
              <w:numPr>
                <w:ilvl w:val="0"/>
                <w:numId w:val="10"/>
              </w:numPr>
              <w:tabs>
                <w:tab w:val="clear" w:pos="720"/>
              </w:tabs>
              <w:ind w:left="522" w:right="522" w:hanging="274"/>
              <w:rPr>
                <w:rFonts w:ascii="Tahoma" w:hAnsi="Tahoma" w:cs="Tahoma"/>
                <w:sz w:val="18"/>
              </w:rPr>
            </w:pPr>
            <w:r>
              <w:rPr>
                <w:rFonts w:ascii="Tahoma" w:hAnsi="Tahoma" w:cs="Tahoma"/>
                <w:sz w:val="18"/>
              </w:rPr>
              <w:t>Identify patients who have left a specific clinic in the past week and who missed having an intervention</w:t>
            </w:r>
          </w:p>
          <w:p w14:paraId="01B066F8" w14:textId="77777777" w:rsidR="00490153" w:rsidRDefault="00490153">
            <w:pPr>
              <w:numPr>
                <w:ilvl w:val="0"/>
                <w:numId w:val="10"/>
              </w:numPr>
              <w:tabs>
                <w:tab w:val="clear" w:pos="720"/>
              </w:tabs>
              <w:ind w:left="522" w:right="522" w:hanging="274"/>
              <w:rPr>
                <w:rFonts w:ascii="Tahoma" w:hAnsi="Tahoma" w:cs="Tahoma"/>
                <w:sz w:val="18"/>
              </w:rPr>
            </w:pPr>
            <w:r>
              <w:rPr>
                <w:rFonts w:ascii="Tahoma" w:hAnsi="Tahoma" w:cs="Tahoma"/>
                <w:sz w:val="18"/>
              </w:rPr>
              <w:t>Identify patients who have lab findings but no diagnoses</w:t>
            </w:r>
          </w:p>
          <w:p w14:paraId="676AD816" w14:textId="77777777" w:rsidR="00490153" w:rsidRDefault="00490153">
            <w:pPr>
              <w:numPr>
                <w:ilvl w:val="0"/>
                <w:numId w:val="10"/>
              </w:numPr>
              <w:tabs>
                <w:tab w:val="clear" w:pos="720"/>
              </w:tabs>
              <w:ind w:left="522" w:right="522" w:hanging="274"/>
              <w:rPr>
                <w:rFonts w:ascii="Tahoma" w:hAnsi="Tahoma" w:cs="Tahoma"/>
                <w:sz w:val="18"/>
              </w:rPr>
            </w:pPr>
            <w:r>
              <w:rPr>
                <w:rFonts w:ascii="Tahoma" w:hAnsi="Tahoma" w:cs="Tahoma"/>
                <w:sz w:val="18"/>
              </w:rPr>
              <w:t xml:space="preserve">Track employee health </w:t>
            </w:r>
          </w:p>
          <w:p w14:paraId="08F0B357" w14:textId="77777777" w:rsidR="00490153" w:rsidRDefault="00490153">
            <w:pPr>
              <w:numPr>
                <w:ilvl w:val="0"/>
                <w:numId w:val="10"/>
              </w:numPr>
              <w:tabs>
                <w:tab w:val="clear" w:pos="720"/>
              </w:tabs>
              <w:ind w:left="522" w:right="522" w:hanging="274"/>
              <w:rPr>
                <w:rFonts w:ascii="Tahoma" w:hAnsi="Tahoma" w:cs="Tahoma"/>
                <w:sz w:val="18"/>
              </w:rPr>
            </w:pPr>
            <w:r>
              <w:rPr>
                <w:rFonts w:ascii="Tahoma" w:hAnsi="Tahoma" w:cs="Tahoma"/>
                <w:sz w:val="18"/>
              </w:rPr>
              <w:t>Obtain information for inpatient education, exams, and immunizations</w:t>
            </w:r>
          </w:p>
          <w:p w14:paraId="151CD7F1" w14:textId="77777777" w:rsidR="00490153" w:rsidRDefault="00490153">
            <w:pPr>
              <w:numPr>
                <w:ilvl w:val="0"/>
                <w:numId w:val="10"/>
              </w:numPr>
              <w:tabs>
                <w:tab w:val="clear" w:pos="720"/>
              </w:tabs>
              <w:ind w:left="522" w:right="522" w:hanging="274"/>
              <w:rPr>
                <w:rFonts w:ascii="Tahoma" w:hAnsi="Tahoma" w:cs="Tahoma"/>
                <w:sz w:val="18"/>
              </w:rPr>
            </w:pPr>
            <w:r>
              <w:rPr>
                <w:rFonts w:ascii="Tahoma" w:hAnsi="Tahoma" w:cs="Tahoma"/>
                <w:sz w:val="18"/>
              </w:rPr>
              <w:t>Report on patients who are eligible for a study</w:t>
            </w:r>
          </w:p>
          <w:p w14:paraId="0E94E908" w14:textId="77777777" w:rsidR="00490153" w:rsidRDefault="00490153">
            <w:pPr>
              <w:numPr>
                <w:ilvl w:val="0"/>
                <w:numId w:val="10"/>
              </w:numPr>
              <w:tabs>
                <w:tab w:val="clear" w:pos="720"/>
              </w:tabs>
              <w:ind w:left="522" w:right="522" w:hanging="274"/>
              <w:rPr>
                <w:rFonts w:ascii="Tahoma" w:hAnsi="Tahoma" w:cs="Tahoma"/>
                <w:sz w:val="18"/>
              </w:rPr>
            </w:pPr>
            <w:r>
              <w:rPr>
                <w:rFonts w:ascii="Tahoma" w:hAnsi="Tahoma" w:cs="Tahoma"/>
                <w:sz w:val="18"/>
              </w:rPr>
              <w:t>Identify high-risk patients</w:t>
            </w:r>
          </w:p>
          <w:p w14:paraId="01BC9F64" w14:textId="77777777" w:rsidR="00490153" w:rsidRDefault="00490153">
            <w:pPr>
              <w:numPr>
                <w:ilvl w:val="0"/>
                <w:numId w:val="10"/>
              </w:numPr>
              <w:tabs>
                <w:tab w:val="clear" w:pos="720"/>
              </w:tabs>
              <w:ind w:left="522" w:right="522" w:hanging="274"/>
              <w:rPr>
                <w:rFonts w:ascii="Tahoma" w:hAnsi="Tahoma" w:cs="Tahoma"/>
                <w:sz w:val="18"/>
              </w:rPr>
            </w:pPr>
            <w:r>
              <w:rPr>
                <w:rFonts w:ascii="Tahoma" w:hAnsi="Tahoma" w:cs="Tahoma"/>
                <w:sz w:val="18"/>
              </w:rPr>
              <w:t>Report on disease-specific reminders: HCV, HIV, Melanoma, AAA, Diabetes</w:t>
            </w:r>
          </w:p>
          <w:p w14:paraId="3C3B7DBE" w14:textId="77777777" w:rsidR="00490153" w:rsidRDefault="00490153">
            <w:pPr>
              <w:shd w:val="clear" w:color="0000FF" w:fill="auto"/>
              <w:tabs>
                <w:tab w:val="left" w:pos="5760"/>
              </w:tabs>
              <w:ind w:right="-108"/>
              <w:rPr>
                <w:rFonts w:ascii="Tahoma" w:hAnsi="Tahoma" w:cs="Tahoma"/>
                <w:b/>
                <w:i/>
              </w:rPr>
            </w:pPr>
          </w:p>
          <w:p w14:paraId="5153C7A1" w14:textId="77777777" w:rsidR="00490153" w:rsidRDefault="00490153">
            <w:pPr>
              <w:shd w:val="clear" w:color="0000FF" w:fill="auto"/>
              <w:tabs>
                <w:tab w:val="left" w:pos="5760"/>
              </w:tabs>
              <w:ind w:left="162" w:right="252"/>
              <w:rPr>
                <w:rFonts w:ascii="Tahoma" w:hAnsi="Tahoma" w:cs="Tahoma"/>
                <w:b/>
                <w:iCs/>
              </w:rPr>
            </w:pPr>
            <w:r>
              <w:rPr>
                <w:rFonts w:ascii="Tahoma" w:hAnsi="Tahoma" w:cs="Tahoma"/>
                <w:b/>
                <w:iCs/>
              </w:rPr>
              <w:t>Health Summary &amp; Reminders</w:t>
            </w:r>
          </w:p>
          <w:p w14:paraId="161E41A9" w14:textId="77777777" w:rsidR="00490153" w:rsidRDefault="00490153">
            <w:pPr>
              <w:ind w:left="162" w:right="252"/>
              <w:rPr>
                <w:rFonts w:ascii="Times New Roman" w:hAnsi="Times New Roman"/>
                <w:sz w:val="20"/>
              </w:rPr>
            </w:pPr>
          </w:p>
          <w:p w14:paraId="21C99F87" w14:textId="77777777" w:rsidR="00490153" w:rsidRDefault="00490153">
            <w:pPr>
              <w:ind w:left="162" w:right="252"/>
              <w:rPr>
                <w:rFonts w:ascii="Tahoma" w:hAnsi="Tahoma" w:cs="Tahoma"/>
                <w:sz w:val="18"/>
              </w:rPr>
            </w:pPr>
            <w:r>
              <w:rPr>
                <w:rFonts w:ascii="Tahoma" w:hAnsi="Tahoma" w:cs="Tahoma"/>
                <w:sz w:val="18"/>
              </w:rPr>
              <w:t>You can define health summaries with three different reminder components and you can define each of these components with selected reminders. The reminders you select for each health summary should target the clinic or clinicians best suited for clinical intervention when the reminders are due. When you run a health summary, Clinical Reminders evaluates the patient’s data and returns the results to the health summary for display. The format of the display is based on the component defined in the health summary.</w:t>
            </w:r>
          </w:p>
          <w:p w14:paraId="4EF9BB2F" w14:textId="77777777" w:rsidR="00490153" w:rsidRDefault="00490153">
            <w:pPr>
              <w:ind w:left="162" w:right="252"/>
              <w:rPr>
                <w:rFonts w:ascii="Times New Roman" w:hAnsi="Times New Roman"/>
                <w:sz w:val="18"/>
              </w:rPr>
            </w:pPr>
          </w:p>
          <w:p w14:paraId="5D8EDC4E" w14:textId="77777777" w:rsidR="00490153" w:rsidRDefault="00490153">
            <w:pPr>
              <w:ind w:left="162" w:right="252"/>
              <w:rPr>
                <w:rFonts w:ascii="Times New Roman" w:hAnsi="Times New Roman"/>
                <w:sz w:val="18"/>
              </w:rPr>
            </w:pPr>
            <w:r>
              <w:rPr>
                <w:rFonts w:ascii="Tahoma" w:hAnsi="Tahoma" w:cs="Tahoma"/>
                <w:sz w:val="18"/>
              </w:rPr>
              <w:t xml:space="preserve">Clinical Reminders 2 contains new health summary components to support the </w:t>
            </w:r>
            <w:r>
              <w:rPr>
                <w:rFonts w:ascii="Tahoma" w:hAnsi="Tahoma" w:cs="Tahoma"/>
                <w:b/>
                <w:bCs/>
                <w:sz w:val="18"/>
              </w:rPr>
              <w:t>My Health</w:t>
            </w:r>
            <w:r>
              <w:rPr>
                <w:rFonts w:ascii="Tahoma" w:hAnsi="Tahoma" w:cs="Tahoma"/>
                <w:b/>
                <w:bCs/>
                <w:i/>
                <w:iCs/>
                <w:sz w:val="18"/>
              </w:rPr>
              <w:t>e</w:t>
            </w:r>
            <w:r>
              <w:rPr>
                <w:rFonts w:ascii="Tahoma" w:hAnsi="Tahoma" w:cs="Tahoma"/>
                <w:b/>
                <w:bCs/>
                <w:sz w:val="18"/>
              </w:rPr>
              <w:t>Vet</w:t>
            </w:r>
            <w:r>
              <w:rPr>
                <w:rFonts w:ascii="Tahoma" w:hAnsi="Tahoma" w:cs="Tahoma"/>
                <w:sz w:val="18"/>
              </w:rPr>
              <w:t xml:space="preserve"> project. These components contain less technical information than in most health summary components, to provide a more suitable display of clinical reminder information to patients. </w:t>
            </w:r>
          </w:p>
          <w:p w14:paraId="4CA67B32" w14:textId="77777777" w:rsidR="00490153" w:rsidRDefault="00490153">
            <w:pPr>
              <w:pStyle w:val="BodyTextIndent"/>
              <w:numPr>
                <w:ilvl w:val="0"/>
                <w:numId w:val="0"/>
              </w:numPr>
              <w:ind w:left="259" w:hanging="97"/>
              <w:rPr>
                <w:sz w:val="16"/>
              </w:rPr>
            </w:pPr>
          </w:p>
        </w:tc>
      </w:tr>
    </w:tbl>
    <w:p w14:paraId="52C745E1" w14:textId="77777777" w:rsidR="00490153" w:rsidRDefault="00490153"/>
    <w:sectPr w:rsidR="00490153">
      <w:pgSz w:w="15840" w:h="12240" w:orient="landscape" w:code="1"/>
      <w:pgMar w:top="576" w:right="720" w:bottom="720" w:left="72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w:altName w:val="Courier New"/>
    <w:panose1 w:val="02070409020205020404"/>
    <w:charset w:val="00"/>
    <w:family w:val="roman"/>
    <w:pitch w:val="variable"/>
  </w:font>
  <w:font w:name="New Century Schlbk">
    <w:altName w:val="Century Schoolbook"/>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BC5E2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D49570C"/>
    <w:multiLevelType w:val="hybridMultilevel"/>
    <w:tmpl w:val="5E0ED6D0"/>
    <w:lvl w:ilvl="0" w:tplc="BFD25C2A">
      <w:start w:val="1"/>
      <w:numFmt w:val="bullet"/>
      <w:lvlText w:val=""/>
      <w:lvlJc w:val="left"/>
      <w:pPr>
        <w:tabs>
          <w:tab w:val="num" w:pos="720"/>
        </w:tabs>
        <w:ind w:left="720" w:hanging="360"/>
      </w:pPr>
      <w:rPr>
        <w:rFonts w:ascii="Symbol" w:hAnsi="Symbol" w:hint="default"/>
      </w:rPr>
    </w:lvl>
    <w:lvl w:ilvl="1" w:tplc="3A7C3394">
      <w:start w:val="1"/>
      <w:numFmt w:val="bullet"/>
      <w:lvlText w:val="o"/>
      <w:lvlJc w:val="left"/>
      <w:pPr>
        <w:tabs>
          <w:tab w:val="num" w:pos="1440"/>
        </w:tabs>
        <w:ind w:left="1440" w:hanging="360"/>
      </w:pPr>
      <w:rPr>
        <w:rFonts w:ascii="Courier New" w:hAnsi="Courier New" w:hint="default"/>
      </w:rPr>
    </w:lvl>
    <w:lvl w:ilvl="2" w:tplc="38F2056E" w:tentative="1">
      <w:start w:val="1"/>
      <w:numFmt w:val="bullet"/>
      <w:lvlText w:val=""/>
      <w:lvlJc w:val="left"/>
      <w:pPr>
        <w:tabs>
          <w:tab w:val="num" w:pos="2160"/>
        </w:tabs>
        <w:ind w:left="2160" w:hanging="360"/>
      </w:pPr>
      <w:rPr>
        <w:rFonts w:ascii="Wingdings" w:hAnsi="Wingdings" w:hint="default"/>
      </w:rPr>
    </w:lvl>
    <w:lvl w:ilvl="3" w:tplc="CE8C7190" w:tentative="1">
      <w:start w:val="1"/>
      <w:numFmt w:val="bullet"/>
      <w:lvlText w:val=""/>
      <w:lvlJc w:val="left"/>
      <w:pPr>
        <w:tabs>
          <w:tab w:val="num" w:pos="2880"/>
        </w:tabs>
        <w:ind w:left="2880" w:hanging="360"/>
      </w:pPr>
      <w:rPr>
        <w:rFonts w:ascii="Symbol" w:hAnsi="Symbol" w:hint="default"/>
      </w:rPr>
    </w:lvl>
    <w:lvl w:ilvl="4" w:tplc="FF88B4CC" w:tentative="1">
      <w:start w:val="1"/>
      <w:numFmt w:val="bullet"/>
      <w:lvlText w:val="o"/>
      <w:lvlJc w:val="left"/>
      <w:pPr>
        <w:tabs>
          <w:tab w:val="num" w:pos="3600"/>
        </w:tabs>
        <w:ind w:left="3600" w:hanging="360"/>
      </w:pPr>
      <w:rPr>
        <w:rFonts w:ascii="Courier New" w:hAnsi="Courier New" w:hint="default"/>
      </w:rPr>
    </w:lvl>
    <w:lvl w:ilvl="5" w:tplc="82961406" w:tentative="1">
      <w:start w:val="1"/>
      <w:numFmt w:val="bullet"/>
      <w:lvlText w:val=""/>
      <w:lvlJc w:val="left"/>
      <w:pPr>
        <w:tabs>
          <w:tab w:val="num" w:pos="4320"/>
        </w:tabs>
        <w:ind w:left="4320" w:hanging="360"/>
      </w:pPr>
      <w:rPr>
        <w:rFonts w:ascii="Wingdings" w:hAnsi="Wingdings" w:hint="default"/>
      </w:rPr>
    </w:lvl>
    <w:lvl w:ilvl="6" w:tplc="B2DE9234" w:tentative="1">
      <w:start w:val="1"/>
      <w:numFmt w:val="bullet"/>
      <w:lvlText w:val=""/>
      <w:lvlJc w:val="left"/>
      <w:pPr>
        <w:tabs>
          <w:tab w:val="num" w:pos="5040"/>
        </w:tabs>
        <w:ind w:left="5040" w:hanging="360"/>
      </w:pPr>
      <w:rPr>
        <w:rFonts w:ascii="Symbol" w:hAnsi="Symbol" w:hint="default"/>
      </w:rPr>
    </w:lvl>
    <w:lvl w:ilvl="7" w:tplc="76B4769E" w:tentative="1">
      <w:start w:val="1"/>
      <w:numFmt w:val="bullet"/>
      <w:lvlText w:val="o"/>
      <w:lvlJc w:val="left"/>
      <w:pPr>
        <w:tabs>
          <w:tab w:val="num" w:pos="5760"/>
        </w:tabs>
        <w:ind w:left="5760" w:hanging="360"/>
      </w:pPr>
      <w:rPr>
        <w:rFonts w:ascii="Courier New" w:hAnsi="Courier New" w:hint="default"/>
      </w:rPr>
    </w:lvl>
    <w:lvl w:ilvl="8" w:tplc="30C8B1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F6C74"/>
    <w:multiLevelType w:val="hybridMultilevel"/>
    <w:tmpl w:val="B616E98A"/>
    <w:lvl w:ilvl="0" w:tplc="59D480BC">
      <w:start w:val="1"/>
      <w:numFmt w:val="bullet"/>
      <w:lvlText w:val=""/>
      <w:lvlJc w:val="left"/>
      <w:pPr>
        <w:tabs>
          <w:tab w:val="num" w:pos="720"/>
        </w:tabs>
        <w:ind w:left="720" w:hanging="360"/>
      </w:pPr>
      <w:rPr>
        <w:rFonts w:ascii="Symbol" w:hAnsi="Symbol" w:hint="default"/>
      </w:rPr>
    </w:lvl>
    <w:lvl w:ilvl="1" w:tplc="1A14E9D4">
      <w:start w:val="1"/>
      <w:numFmt w:val="bullet"/>
      <w:lvlText w:val="o"/>
      <w:lvlJc w:val="left"/>
      <w:pPr>
        <w:tabs>
          <w:tab w:val="num" w:pos="1440"/>
        </w:tabs>
        <w:ind w:left="1440" w:hanging="360"/>
      </w:pPr>
      <w:rPr>
        <w:rFonts w:ascii="Courier New" w:hAnsi="Courier New" w:hint="default"/>
      </w:rPr>
    </w:lvl>
    <w:lvl w:ilvl="2" w:tplc="0F4ACEEC" w:tentative="1">
      <w:start w:val="1"/>
      <w:numFmt w:val="bullet"/>
      <w:lvlText w:val=""/>
      <w:lvlJc w:val="left"/>
      <w:pPr>
        <w:tabs>
          <w:tab w:val="num" w:pos="2160"/>
        </w:tabs>
        <w:ind w:left="2160" w:hanging="360"/>
      </w:pPr>
      <w:rPr>
        <w:rFonts w:ascii="Wingdings" w:hAnsi="Wingdings" w:hint="default"/>
      </w:rPr>
    </w:lvl>
    <w:lvl w:ilvl="3" w:tplc="E5A0D262" w:tentative="1">
      <w:start w:val="1"/>
      <w:numFmt w:val="bullet"/>
      <w:lvlText w:val=""/>
      <w:lvlJc w:val="left"/>
      <w:pPr>
        <w:tabs>
          <w:tab w:val="num" w:pos="2880"/>
        </w:tabs>
        <w:ind w:left="2880" w:hanging="360"/>
      </w:pPr>
      <w:rPr>
        <w:rFonts w:ascii="Symbol" w:hAnsi="Symbol" w:hint="default"/>
      </w:rPr>
    </w:lvl>
    <w:lvl w:ilvl="4" w:tplc="7FFC68AC" w:tentative="1">
      <w:start w:val="1"/>
      <w:numFmt w:val="bullet"/>
      <w:lvlText w:val="o"/>
      <w:lvlJc w:val="left"/>
      <w:pPr>
        <w:tabs>
          <w:tab w:val="num" w:pos="3600"/>
        </w:tabs>
        <w:ind w:left="3600" w:hanging="360"/>
      </w:pPr>
      <w:rPr>
        <w:rFonts w:ascii="Courier New" w:hAnsi="Courier New" w:hint="default"/>
      </w:rPr>
    </w:lvl>
    <w:lvl w:ilvl="5" w:tplc="F0ACA63A" w:tentative="1">
      <w:start w:val="1"/>
      <w:numFmt w:val="bullet"/>
      <w:lvlText w:val=""/>
      <w:lvlJc w:val="left"/>
      <w:pPr>
        <w:tabs>
          <w:tab w:val="num" w:pos="4320"/>
        </w:tabs>
        <w:ind w:left="4320" w:hanging="360"/>
      </w:pPr>
      <w:rPr>
        <w:rFonts w:ascii="Wingdings" w:hAnsi="Wingdings" w:hint="default"/>
      </w:rPr>
    </w:lvl>
    <w:lvl w:ilvl="6" w:tplc="753858D0" w:tentative="1">
      <w:start w:val="1"/>
      <w:numFmt w:val="bullet"/>
      <w:lvlText w:val=""/>
      <w:lvlJc w:val="left"/>
      <w:pPr>
        <w:tabs>
          <w:tab w:val="num" w:pos="5040"/>
        </w:tabs>
        <w:ind w:left="5040" w:hanging="360"/>
      </w:pPr>
      <w:rPr>
        <w:rFonts w:ascii="Symbol" w:hAnsi="Symbol" w:hint="default"/>
      </w:rPr>
    </w:lvl>
    <w:lvl w:ilvl="7" w:tplc="A81E1F2E" w:tentative="1">
      <w:start w:val="1"/>
      <w:numFmt w:val="bullet"/>
      <w:lvlText w:val="o"/>
      <w:lvlJc w:val="left"/>
      <w:pPr>
        <w:tabs>
          <w:tab w:val="num" w:pos="5760"/>
        </w:tabs>
        <w:ind w:left="5760" w:hanging="360"/>
      </w:pPr>
      <w:rPr>
        <w:rFonts w:ascii="Courier New" w:hAnsi="Courier New" w:hint="default"/>
      </w:rPr>
    </w:lvl>
    <w:lvl w:ilvl="8" w:tplc="6DDE3D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A0494"/>
    <w:multiLevelType w:val="hybridMultilevel"/>
    <w:tmpl w:val="C56EBCAE"/>
    <w:lvl w:ilvl="0" w:tplc="3612C934">
      <w:start w:val="1"/>
      <w:numFmt w:val="bullet"/>
      <w:lvlText w:val=""/>
      <w:lvlJc w:val="left"/>
      <w:pPr>
        <w:tabs>
          <w:tab w:val="num" w:pos="1512"/>
        </w:tabs>
        <w:ind w:left="1152"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DE6336"/>
    <w:multiLevelType w:val="singleLevel"/>
    <w:tmpl w:val="149ADE10"/>
    <w:lvl w:ilvl="0">
      <w:start w:val="5"/>
      <w:numFmt w:val="decimal"/>
      <w:lvlText w:val="%1."/>
      <w:lvlJc w:val="left"/>
      <w:pPr>
        <w:tabs>
          <w:tab w:val="num" w:pos="360"/>
        </w:tabs>
        <w:ind w:left="360" w:hanging="360"/>
      </w:pPr>
      <w:rPr>
        <w:rFonts w:hint="default"/>
        <w:b/>
        <w:i w:val="0"/>
        <w:sz w:val="18"/>
      </w:rPr>
    </w:lvl>
  </w:abstractNum>
  <w:abstractNum w:abstractNumId="6" w15:restartNumberingAfterBreak="0">
    <w:nsid w:val="2B6611F0"/>
    <w:multiLevelType w:val="hybridMultilevel"/>
    <w:tmpl w:val="C02E3376"/>
    <w:lvl w:ilvl="0" w:tplc="527CB9D0">
      <w:start w:val="1"/>
      <w:numFmt w:val="bullet"/>
      <w:lvlText w:val=""/>
      <w:lvlJc w:val="left"/>
      <w:pPr>
        <w:tabs>
          <w:tab w:val="num" w:pos="720"/>
        </w:tabs>
        <w:ind w:left="720" w:hanging="360"/>
      </w:pPr>
      <w:rPr>
        <w:rFonts w:ascii="Symbol" w:hAnsi="Symbol" w:hint="default"/>
      </w:rPr>
    </w:lvl>
    <w:lvl w:ilvl="1" w:tplc="1AB621B8" w:tentative="1">
      <w:start w:val="1"/>
      <w:numFmt w:val="bullet"/>
      <w:lvlText w:val="o"/>
      <w:lvlJc w:val="left"/>
      <w:pPr>
        <w:tabs>
          <w:tab w:val="num" w:pos="1440"/>
        </w:tabs>
        <w:ind w:left="1440" w:hanging="360"/>
      </w:pPr>
      <w:rPr>
        <w:rFonts w:ascii="Courier New" w:hAnsi="Courier New" w:hint="default"/>
      </w:rPr>
    </w:lvl>
    <w:lvl w:ilvl="2" w:tplc="0D688E06" w:tentative="1">
      <w:start w:val="1"/>
      <w:numFmt w:val="bullet"/>
      <w:lvlText w:val=""/>
      <w:lvlJc w:val="left"/>
      <w:pPr>
        <w:tabs>
          <w:tab w:val="num" w:pos="2160"/>
        </w:tabs>
        <w:ind w:left="2160" w:hanging="360"/>
      </w:pPr>
      <w:rPr>
        <w:rFonts w:ascii="Wingdings" w:hAnsi="Wingdings" w:hint="default"/>
      </w:rPr>
    </w:lvl>
    <w:lvl w:ilvl="3" w:tplc="EA207BF0" w:tentative="1">
      <w:start w:val="1"/>
      <w:numFmt w:val="bullet"/>
      <w:lvlText w:val=""/>
      <w:lvlJc w:val="left"/>
      <w:pPr>
        <w:tabs>
          <w:tab w:val="num" w:pos="2880"/>
        </w:tabs>
        <w:ind w:left="2880" w:hanging="360"/>
      </w:pPr>
      <w:rPr>
        <w:rFonts w:ascii="Symbol" w:hAnsi="Symbol" w:hint="default"/>
      </w:rPr>
    </w:lvl>
    <w:lvl w:ilvl="4" w:tplc="3BBACD9E" w:tentative="1">
      <w:start w:val="1"/>
      <w:numFmt w:val="bullet"/>
      <w:lvlText w:val="o"/>
      <w:lvlJc w:val="left"/>
      <w:pPr>
        <w:tabs>
          <w:tab w:val="num" w:pos="3600"/>
        </w:tabs>
        <w:ind w:left="3600" w:hanging="360"/>
      </w:pPr>
      <w:rPr>
        <w:rFonts w:ascii="Courier New" w:hAnsi="Courier New" w:hint="default"/>
      </w:rPr>
    </w:lvl>
    <w:lvl w:ilvl="5" w:tplc="DFEAA35A" w:tentative="1">
      <w:start w:val="1"/>
      <w:numFmt w:val="bullet"/>
      <w:lvlText w:val=""/>
      <w:lvlJc w:val="left"/>
      <w:pPr>
        <w:tabs>
          <w:tab w:val="num" w:pos="4320"/>
        </w:tabs>
        <w:ind w:left="4320" w:hanging="360"/>
      </w:pPr>
      <w:rPr>
        <w:rFonts w:ascii="Wingdings" w:hAnsi="Wingdings" w:hint="default"/>
      </w:rPr>
    </w:lvl>
    <w:lvl w:ilvl="6" w:tplc="2DEC32B6" w:tentative="1">
      <w:start w:val="1"/>
      <w:numFmt w:val="bullet"/>
      <w:lvlText w:val=""/>
      <w:lvlJc w:val="left"/>
      <w:pPr>
        <w:tabs>
          <w:tab w:val="num" w:pos="5040"/>
        </w:tabs>
        <w:ind w:left="5040" w:hanging="360"/>
      </w:pPr>
      <w:rPr>
        <w:rFonts w:ascii="Symbol" w:hAnsi="Symbol" w:hint="default"/>
      </w:rPr>
    </w:lvl>
    <w:lvl w:ilvl="7" w:tplc="C1F8E1CC" w:tentative="1">
      <w:start w:val="1"/>
      <w:numFmt w:val="bullet"/>
      <w:lvlText w:val="o"/>
      <w:lvlJc w:val="left"/>
      <w:pPr>
        <w:tabs>
          <w:tab w:val="num" w:pos="5760"/>
        </w:tabs>
        <w:ind w:left="5760" w:hanging="360"/>
      </w:pPr>
      <w:rPr>
        <w:rFonts w:ascii="Courier New" w:hAnsi="Courier New" w:hint="default"/>
      </w:rPr>
    </w:lvl>
    <w:lvl w:ilvl="8" w:tplc="EDE02C8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5E33DD"/>
    <w:multiLevelType w:val="hybridMultilevel"/>
    <w:tmpl w:val="A3D6CCCA"/>
    <w:lvl w:ilvl="0" w:tplc="C0E23978">
      <w:start w:val="1"/>
      <w:numFmt w:val="bullet"/>
      <w:lvlText w:val=""/>
      <w:lvlJc w:val="left"/>
      <w:pPr>
        <w:tabs>
          <w:tab w:val="num" w:pos="720"/>
        </w:tabs>
        <w:ind w:left="720" w:hanging="360"/>
      </w:pPr>
      <w:rPr>
        <w:rFonts w:ascii="Symbol" w:hAnsi="Symbol" w:hint="default"/>
      </w:rPr>
    </w:lvl>
    <w:lvl w:ilvl="1" w:tplc="18C49ACC">
      <w:start w:val="1"/>
      <w:numFmt w:val="bullet"/>
      <w:lvlText w:val="o"/>
      <w:lvlJc w:val="left"/>
      <w:pPr>
        <w:tabs>
          <w:tab w:val="num" w:pos="1440"/>
        </w:tabs>
        <w:ind w:left="1440" w:hanging="360"/>
      </w:pPr>
      <w:rPr>
        <w:rFonts w:ascii="Courier New" w:hAnsi="Courier New" w:hint="default"/>
      </w:rPr>
    </w:lvl>
    <w:lvl w:ilvl="2" w:tplc="044AE17E" w:tentative="1">
      <w:start w:val="1"/>
      <w:numFmt w:val="bullet"/>
      <w:lvlText w:val=""/>
      <w:lvlJc w:val="left"/>
      <w:pPr>
        <w:tabs>
          <w:tab w:val="num" w:pos="2160"/>
        </w:tabs>
        <w:ind w:left="2160" w:hanging="360"/>
      </w:pPr>
      <w:rPr>
        <w:rFonts w:ascii="Wingdings" w:hAnsi="Wingdings" w:hint="default"/>
      </w:rPr>
    </w:lvl>
    <w:lvl w:ilvl="3" w:tplc="5AA86A6C" w:tentative="1">
      <w:start w:val="1"/>
      <w:numFmt w:val="bullet"/>
      <w:lvlText w:val=""/>
      <w:lvlJc w:val="left"/>
      <w:pPr>
        <w:tabs>
          <w:tab w:val="num" w:pos="2880"/>
        </w:tabs>
        <w:ind w:left="2880" w:hanging="360"/>
      </w:pPr>
      <w:rPr>
        <w:rFonts w:ascii="Symbol" w:hAnsi="Symbol" w:hint="default"/>
      </w:rPr>
    </w:lvl>
    <w:lvl w:ilvl="4" w:tplc="4E28A62A" w:tentative="1">
      <w:start w:val="1"/>
      <w:numFmt w:val="bullet"/>
      <w:lvlText w:val="o"/>
      <w:lvlJc w:val="left"/>
      <w:pPr>
        <w:tabs>
          <w:tab w:val="num" w:pos="3600"/>
        </w:tabs>
        <w:ind w:left="3600" w:hanging="360"/>
      </w:pPr>
      <w:rPr>
        <w:rFonts w:ascii="Courier New" w:hAnsi="Courier New" w:hint="default"/>
      </w:rPr>
    </w:lvl>
    <w:lvl w:ilvl="5" w:tplc="45D0C27E" w:tentative="1">
      <w:start w:val="1"/>
      <w:numFmt w:val="bullet"/>
      <w:lvlText w:val=""/>
      <w:lvlJc w:val="left"/>
      <w:pPr>
        <w:tabs>
          <w:tab w:val="num" w:pos="4320"/>
        </w:tabs>
        <w:ind w:left="4320" w:hanging="360"/>
      </w:pPr>
      <w:rPr>
        <w:rFonts w:ascii="Wingdings" w:hAnsi="Wingdings" w:hint="default"/>
      </w:rPr>
    </w:lvl>
    <w:lvl w:ilvl="6" w:tplc="FD5AF9C2" w:tentative="1">
      <w:start w:val="1"/>
      <w:numFmt w:val="bullet"/>
      <w:lvlText w:val=""/>
      <w:lvlJc w:val="left"/>
      <w:pPr>
        <w:tabs>
          <w:tab w:val="num" w:pos="5040"/>
        </w:tabs>
        <w:ind w:left="5040" w:hanging="360"/>
      </w:pPr>
      <w:rPr>
        <w:rFonts w:ascii="Symbol" w:hAnsi="Symbol" w:hint="default"/>
      </w:rPr>
    </w:lvl>
    <w:lvl w:ilvl="7" w:tplc="4C00145A" w:tentative="1">
      <w:start w:val="1"/>
      <w:numFmt w:val="bullet"/>
      <w:lvlText w:val="o"/>
      <w:lvlJc w:val="left"/>
      <w:pPr>
        <w:tabs>
          <w:tab w:val="num" w:pos="5760"/>
        </w:tabs>
        <w:ind w:left="5760" w:hanging="360"/>
      </w:pPr>
      <w:rPr>
        <w:rFonts w:ascii="Courier New" w:hAnsi="Courier New" w:hint="default"/>
      </w:rPr>
    </w:lvl>
    <w:lvl w:ilvl="8" w:tplc="2EA85F6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9C19F7"/>
    <w:multiLevelType w:val="hybridMultilevel"/>
    <w:tmpl w:val="B9F8FA64"/>
    <w:lvl w:ilvl="0" w:tplc="60EE1428">
      <w:start w:val="1"/>
      <w:numFmt w:val="bullet"/>
      <w:pStyle w:val="BodyTextIndent"/>
      <w:lvlText w:val=""/>
      <w:lvlJc w:val="left"/>
      <w:pPr>
        <w:tabs>
          <w:tab w:val="num" w:pos="792"/>
        </w:tabs>
        <w:ind w:left="432"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6C0500"/>
    <w:multiLevelType w:val="hybridMultilevel"/>
    <w:tmpl w:val="09D0B384"/>
    <w:lvl w:ilvl="0" w:tplc="DFAA360C">
      <w:start w:val="1"/>
      <w:numFmt w:val="bullet"/>
      <w:lvlText w:val=""/>
      <w:lvlJc w:val="left"/>
      <w:pPr>
        <w:tabs>
          <w:tab w:val="num" w:pos="720"/>
        </w:tabs>
        <w:ind w:left="720" w:hanging="360"/>
      </w:pPr>
      <w:rPr>
        <w:rFonts w:ascii="Symbol" w:hAnsi="Symbol" w:hint="default"/>
      </w:rPr>
    </w:lvl>
    <w:lvl w:ilvl="1" w:tplc="B8CA98B6">
      <w:start w:val="1"/>
      <w:numFmt w:val="bullet"/>
      <w:lvlText w:val="o"/>
      <w:lvlJc w:val="left"/>
      <w:pPr>
        <w:tabs>
          <w:tab w:val="num" w:pos="1440"/>
        </w:tabs>
        <w:ind w:left="1440" w:hanging="360"/>
      </w:pPr>
      <w:rPr>
        <w:rFonts w:ascii="Courier New" w:hAnsi="Courier New" w:hint="default"/>
      </w:rPr>
    </w:lvl>
    <w:lvl w:ilvl="2" w:tplc="2B98D676" w:tentative="1">
      <w:start w:val="1"/>
      <w:numFmt w:val="bullet"/>
      <w:lvlText w:val=""/>
      <w:lvlJc w:val="left"/>
      <w:pPr>
        <w:tabs>
          <w:tab w:val="num" w:pos="2160"/>
        </w:tabs>
        <w:ind w:left="2160" w:hanging="360"/>
      </w:pPr>
      <w:rPr>
        <w:rFonts w:ascii="Wingdings" w:hAnsi="Wingdings" w:hint="default"/>
      </w:rPr>
    </w:lvl>
    <w:lvl w:ilvl="3" w:tplc="F7146290" w:tentative="1">
      <w:start w:val="1"/>
      <w:numFmt w:val="bullet"/>
      <w:lvlText w:val=""/>
      <w:lvlJc w:val="left"/>
      <w:pPr>
        <w:tabs>
          <w:tab w:val="num" w:pos="2880"/>
        </w:tabs>
        <w:ind w:left="2880" w:hanging="360"/>
      </w:pPr>
      <w:rPr>
        <w:rFonts w:ascii="Symbol" w:hAnsi="Symbol" w:hint="default"/>
      </w:rPr>
    </w:lvl>
    <w:lvl w:ilvl="4" w:tplc="9C501754" w:tentative="1">
      <w:start w:val="1"/>
      <w:numFmt w:val="bullet"/>
      <w:lvlText w:val="o"/>
      <w:lvlJc w:val="left"/>
      <w:pPr>
        <w:tabs>
          <w:tab w:val="num" w:pos="3600"/>
        </w:tabs>
        <w:ind w:left="3600" w:hanging="360"/>
      </w:pPr>
      <w:rPr>
        <w:rFonts w:ascii="Courier New" w:hAnsi="Courier New" w:hint="default"/>
      </w:rPr>
    </w:lvl>
    <w:lvl w:ilvl="5" w:tplc="55DE9698" w:tentative="1">
      <w:start w:val="1"/>
      <w:numFmt w:val="bullet"/>
      <w:lvlText w:val=""/>
      <w:lvlJc w:val="left"/>
      <w:pPr>
        <w:tabs>
          <w:tab w:val="num" w:pos="4320"/>
        </w:tabs>
        <w:ind w:left="4320" w:hanging="360"/>
      </w:pPr>
      <w:rPr>
        <w:rFonts w:ascii="Wingdings" w:hAnsi="Wingdings" w:hint="default"/>
      </w:rPr>
    </w:lvl>
    <w:lvl w:ilvl="6" w:tplc="C01EC136" w:tentative="1">
      <w:start w:val="1"/>
      <w:numFmt w:val="bullet"/>
      <w:lvlText w:val=""/>
      <w:lvlJc w:val="left"/>
      <w:pPr>
        <w:tabs>
          <w:tab w:val="num" w:pos="5040"/>
        </w:tabs>
        <w:ind w:left="5040" w:hanging="360"/>
      </w:pPr>
      <w:rPr>
        <w:rFonts w:ascii="Symbol" w:hAnsi="Symbol" w:hint="default"/>
      </w:rPr>
    </w:lvl>
    <w:lvl w:ilvl="7" w:tplc="BA029118" w:tentative="1">
      <w:start w:val="1"/>
      <w:numFmt w:val="bullet"/>
      <w:lvlText w:val="o"/>
      <w:lvlJc w:val="left"/>
      <w:pPr>
        <w:tabs>
          <w:tab w:val="num" w:pos="5760"/>
        </w:tabs>
        <w:ind w:left="5760" w:hanging="360"/>
      </w:pPr>
      <w:rPr>
        <w:rFonts w:ascii="Courier New" w:hAnsi="Courier New" w:hint="default"/>
      </w:rPr>
    </w:lvl>
    <w:lvl w:ilvl="8" w:tplc="B0D2070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4A6176"/>
    <w:multiLevelType w:val="hybridMultilevel"/>
    <w:tmpl w:val="64684472"/>
    <w:lvl w:ilvl="0" w:tplc="3612C934">
      <w:start w:val="1"/>
      <w:numFmt w:val="bullet"/>
      <w:lvlText w:val=""/>
      <w:lvlJc w:val="left"/>
      <w:pPr>
        <w:tabs>
          <w:tab w:val="num" w:pos="1512"/>
        </w:tabs>
        <w:ind w:left="1152" w:firstLine="0"/>
      </w:pPr>
      <w:rPr>
        <w:rFonts w:ascii="Symbol" w:hAnsi="Symbol" w:hint="default"/>
      </w:rPr>
    </w:lvl>
    <w:lvl w:ilvl="1" w:tplc="D3F03A96">
      <w:start w:val="1"/>
      <w:numFmt w:val="bullet"/>
      <w:lvlText w:val=""/>
      <w:lvlJc w:val="left"/>
      <w:pPr>
        <w:tabs>
          <w:tab w:val="num" w:pos="2160"/>
        </w:tabs>
        <w:ind w:left="2160" w:hanging="360"/>
      </w:pPr>
      <w:rPr>
        <w:rFonts w:ascii="Wingdings" w:hAnsi="Wingdings" w:hint="default"/>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66315D"/>
    <w:multiLevelType w:val="singleLevel"/>
    <w:tmpl w:val="7AE8748E"/>
    <w:lvl w:ilvl="0">
      <w:start w:val="1"/>
      <w:numFmt w:val="bullet"/>
      <w:lvlText w:val=""/>
      <w:lvlJc w:val="left"/>
      <w:pPr>
        <w:tabs>
          <w:tab w:val="num" w:pos="432"/>
        </w:tabs>
        <w:ind w:left="360" w:hanging="288"/>
      </w:pPr>
      <w:rPr>
        <w:rFonts w:ascii="Symbol" w:hAnsi="Symbol" w:hint="default"/>
      </w:rPr>
    </w:lvl>
  </w:abstractNum>
  <w:abstractNum w:abstractNumId="12" w15:restartNumberingAfterBreak="0">
    <w:nsid w:val="47D2788E"/>
    <w:multiLevelType w:val="hybridMultilevel"/>
    <w:tmpl w:val="56964FF4"/>
    <w:lvl w:ilvl="0" w:tplc="5D9C9E0E">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09291B"/>
    <w:multiLevelType w:val="hybridMultilevel"/>
    <w:tmpl w:val="718C9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9D591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2AD71A9"/>
    <w:multiLevelType w:val="hybridMultilevel"/>
    <w:tmpl w:val="56A67BF8"/>
    <w:lvl w:ilvl="0" w:tplc="40DEFA24">
      <w:start w:val="1"/>
      <w:numFmt w:val="bullet"/>
      <w:lvlText w:val=""/>
      <w:lvlJc w:val="left"/>
      <w:pPr>
        <w:tabs>
          <w:tab w:val="num" w:pos="720"/>
        </w:tabs>
        <w:ind w:left="720" w:hanging="360"/>
      </w:pPr>
      <w:rPr>
        <w:rFonts w:ascii="Symbol" w:hAnsi="Symbol" w:hint="default"/>
      </w:rPr>
    </w:lvl>
    <w:lvl w:ilvl="1" w:tplc="DDEAEE24" w:tentative="1">
      <w:start w:val="1"/>
      <w:numFmt w:val="bullet"/>
      <w:lvlText w:val="o"/>
      <w:lvlJc w:val="left"/>
      <w:pPr>
        <w:tabs>
          <w:tab w:val="num" w:pos="1440"/>
        </w:tabs>
        <w:ind w:left="1440" w:hanging="360"/>
      </w:pPr>
      <w:rPr>
        <w:rFonts w:ascii="Courier New" w:hAnsi="Courier New" w:hint="default"/>
      </w:rPr>
    </w:lvl>
    <w:lvl w:ilvl="2" w:tplc="7B76C544" w:tentative="1">
      <w:start w:val="1"/>
      <w:numFmt w:val="bullet"/>
      <w:lvlText w:val=""/>
      <w:lvlJc w:val="left"/>
      <w:pPr>
        <w:tabs>
          <w:tab w:val="num" w:pos="2160"/>
        </w:tabs>
        <w:ind w:left="2160" w:hanging="360"/>
      </w:pPr>
      <w:rPr>
        <w:rFonts w:ascii="Wingdings" w:hAnsi="Wingdings" w:hint="default"/>
      </w:rPr>
    </w:lvl>
    <w:lvl w:ilvl="3" w:tplc="496AFD3A" w:tentative="1">
      <w:start w:val="1"/>
      <w:numFmt w:val="bullet"/>
      <w:lvlText w:val=""/>
      <w:lvlJc w:val="left"/>
      <w:pPr>
        <w:tabs>
          <w:tab w:val="num" w:pos="2880"/>
        </w:tabs>
        <w:ind w:left="2880" w:hanging="360"/>
      </w:pPr>
      <w:rPr>
        <w:rFonts w:ascii="Symbol" w:hAnsi="Symbol" w:hint="default"/>
      </w:rPr>
    </w:lvl>
    <w:lvl w:ilvl="4" w:tplc="5D4E0DE6" w:tentative="1">
      <w:start w:val="1"/>
      <w:numFmt w:val="bullet"/>
      <w:lvlText w:val="o"/>
      <w:lvlJc w:val="left"/>
      <w:pPr>
        <w:tabs>
          <w:tab w:val="num" w:pos="3600"/>
        </w:tabs>
        <w:ind w:left="3600" w:hanging="360"/>
      </w:pPr>
      <w:rPr>
        <w:rFonts w:ascii="Courier New" w:hAnsi="Courier New" w:hint="default"/>
      </w:rPr>
    </w:lvl>
    <w:lvl w:ilvl="5" w:tplc="7A6876CE" w:tentative="1">
      <w:start w:val="1"/>
      <w:numFmt w:val="bullet"/>
      <w:lvlText w:val=""/>
      <w:lvlJc w:val="left"/>
      <w:pPr>
        <w:tabs>
          <w:tab w:val="num" w:pos="4320"/>
        </w:tabs>
        <w:ind w:left="4320" w:hanging="360"/>
      </w:pPr>
      <w:rPr>
        <w:rFonts w:ascii="Wingdings" w:hAnsi="Wingdings" w:hint="default"/>
      </w:rPr>
    </w:lvl>
    <w:lvl w:ilvl="6" w:tplc="399EBE68" w:tentative="1">
      <w:start w:val="1"/>
      <w:numFmt w:val="bullet"/>
      <w:lvlText w:val=""/>
      <w:lvlJc w:val="left"/>
      <w:pPr>
        <w:tabs>
          <w:tab w:val="num" w:pos="5040"/>
        </w:tabs>
        <w:ind w:left="5040" w:hanging="360"/>
      </w:pPr>
      <w:rPr>
        <w:rFonts w:ascii="Symbol" w:hAnsi="Symbol" w:hint="default"/>
      </w:rPr>
    </w:lvl>
    <w:lvl w:ilvl="7" w:tplc="22DA75C2" w:tentative="1">
      <w:start w:val="1"/>
      <w:numFmt w:val="bullet"/>
      <w:lvlText w:val="o"/>
      <w:lvlJc w:val="left"/>
      <w:pPr>
        <w:tabs>
          <w:tab w:val="num" w:pos="5760"/>
        </w:tabs>
        <w:ind w:left="5760" w:hanging="360"/>
      </w:pPr>
      <w:rPr>
        <w:rFonts w:ascii="Courier New" w:hAnsi="Courier New" w:hint="default"/>
      </w:rPr>
    </w:lvl>
    <w:lvl w:ilvl="8" w:tplc="26328E4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7B2F36"/>
    <w:multiLevelType w:val="hybridMultilevel"/>
    <w:tmpl w:val="B1186746"/>
    <w:lvl w:ilvl="0" w:tplc="C074ADEE">
      <w:start w:val="1"/>
      <w:numFmt w:val="bullet"/>
      <w:pStyle w:val="CPRS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29B1181"/>
    <w:multiLevelType w:val="hybridMultilevel"/>
    <w:tmpl w:val="8682CF8A"/>
    <w:lvl w:ilvl="0" w:tplc="149ADE10">
      <w:start w:val="5"/>
      <w:numFmt w:val="decimal"/>
      <w:lvlText w:val="%1."/>
      <w:lvlJc w:val="left"/>
      <w:pPr>
        <w:tabs>
          <w:tab w:val="num" w:pos="360"/>
        </w:tabs>
        <w:ind w:left="360" w:hanging="360"/>
      </w:pPr>
      <w:rPr>
        <w:rFonts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296F54"/>
    <w:multiLevelType w:val="hybridMultilevel"/>
    <w:tmpl w:val="7EA048F4"/>
    <w:lvl w:ilvl="0" w:tplc="BDEA39DC">
      <w:start w:val="1"/>
      <w:numFmt w:val="bullet"/>
      <w:lvlText w:val=""/>
      <w:lvlJc w:val="left"/>
      <w:pPr>
        <w:tabs>
          <w:tab w:val="num" w:pos="720"/>
        </w:tabs>
        <w:ind w:left="720" w:hanging="360"/>
      </w:pPr>
      <w:rPr>
        <w:rFonts w:ascii="Symbol" w:hAnsi="Symbol" w:hint="default"/>
      </w:rPr>
    </w:lvl>
    <w:lvl w:ilvl="1" w:tplc="072A182E" w:tentative="1">
      <w:start w:val="1"/>
      <w:numFmt w:val="bullet"/>
      <w:lvlText w:val="o"/>
      <w:lvlJc w:val="left"/>
      <w:pPr>
        <w:tabs>
          <w:tab w:val="num" w:pos="1440"/>
        </w:tabs>
        <w:ind w:left="1440" w:hanging="360"/>
      </w:pPr>
      <w:rPr>
        <w:rFonts w:ascii="Courier New" w:hAnsi="Courier New" w:hint="default"/>
      </w:rPr>
    </w:lvl>
    <w:lvl w:ilvl="2" w:tplc="E75661F4" w:tentative="1">
      <w:start w:val="1"/>
      <w:numFmt w:val="bullet"/>
      <w:lvlText w:val=""/>
      <w:lvlJc w:val="left"/>
      <w:pPr>
        <w:tabs>
          <w:tab w:val="num" w:pos="2160"/>
        </w:tabs>
        <w:ind w:left="2160" w:hanging="360"/>
      </w:pPr>
      <w:rPr>
        <w:rFonts w:ascii="Wingdings" w:hAnsi="Wingdings" w:hint="default"/>
      </w:rPr>
    </w:lvl>
    <w:lvl w:ilvl="3" w:tplc="25AECB7A" w:tentative="1">
      <w:start w:val="1"/>
      <w:numFmt w:val="bullet"/>
      <w:lvlText w:val=""/>
      <w:lvlJc w:val="left"/>
      <w:pPr>
        <w:tabs>
          <w:tab w:val="num" w:pos="2880"/>
        </w:tabs>
        <w:ind w:left="2880" w:hanging="360"/>
      </w:pPr>
      <w:rPr>
        <w:rFonts w:ascii="Symbol" w:hAnsi="Symbol" w:hint="default"/>
      </w:rPr>
    </w:lvl>
    <w:lvl w:ilvl="4" w:tplc="9D8C7862" w:tentative="1">
      <w:start w:val="1"/>
      <w:numFmt w:val="bullet"/>
      <w:lvlText w:val="o"/>
      <w:lvlJc w:val="left"/>
      <w:pPr>
        <w:tabs>
          <w:tab w:val="num" w:pos="3600"/>
        </w:tabs>
        <w:ind w:left="3600" w:hanging="360"/>
      </w:pPr>
      <w:rPr>
        <w:rFonts w:ascii="Courier New" w:hAnsi="Courier New" w:hint="default"/>
      </w:rPr>
    </w:lvl>
    <w:lvl w:ilvl="5" w:tplc="CF30F6C2" w:tentative="1">
      <w:start w:val="1"/>
      <w:numFmt w:val="bullet"/>
      <w:lvlText w:val=""/>
      <w:lvlJc w:val="left"/>
      <w:pPr>
        <w:tabs>
          <w:tab w:val="num" w:pos="4320"/>
        </w:tabs>
        <w:ind w:left="4320" w:hanging="360"/>
      </w:pPr>
      <w:rPr>
        <w:rFonts w:ascii="Wingdings" w:hAnsi="Wingdings" w:hint="default"/>
      </w:rPr>
    </w:lvl>
    <w:lvl w:ilvl="6" w:tplc="25B4EB9E" w:tentative="1">
      <w:start w:val="1"/>
      <w:numFmt w:val="bullet"/>
      <w:lvlText w:val=""/>
      <w:lvlJc w:val="left"/>
      <w:pPr>
        <w:tabs>
          <w:tab w:val="num" w:pos="5040"/>
        </w:tabs>
        <w:ind w:left="5040" w:hanging="360"/>
      </w:pPr>
      <w:rPr>
        <w:rFonts w:ascii="Symbol" w:hAnsi="Symbol" w:hint="default"/>
      </w:rPr>
    </w:lvl>
    <w:lvl w:ilvl="7" w:tplc="B7AA8F10" w:tentative="1">
      <w:start w:val="1"/>
      <w:numFmt w:val="bullet"/>
      <w:lvlText w:val="o"/>
      <w:lvlJc w:val="left"/>
      <w:pPr>
        <w:tabs>
          <w:tab w:val="num" w:pos="5760"/>
        </w:tabs>
        <w:ind w:left="5760" w:hanging="360"/>
      </w:pPr>
      <w:rPr>
        <w:rFonts w:ascii="Courier New" w:hAnsi="Courier New" w:hint="default"/>
      </w:rPr>
    </w:lvl>
    <w:lvl w:ilvl="8" w:tplc="C71AEB7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2B61F6"/>
    <w:multiLevelType w:val="hybridMultilevel"/>
    <w:tmpl w:val="F01E4DF4"/>
    <w:lvl w:ilvl="0" w:tplc="5D9C9E0E">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9223CF"/>
    <w:multiLevelType w:val="hybridMultilevel"/>
    <w:tmpl w:val="D06663DA"/>
    <w:lvl w:ilvl="0" w:tplc="E73EC3E2">
      <w:start w:val="1"/>
      <w:numFmt w:val="bullet"/>
      <w:lvlText w:val=""/>
      <w:lvlJc w:val="left"/>
      <w:pPr>
        <w:tabs>
          <w:tab w:val="num" w:pos="702"/>
        </w:tabs>
        <w:ind w:left="702" w:hanging="360"/>
      </w:pPr>
      <w:rPr>
        <w:rFonts w:ascii="Symbol" w:hAnsi="Symbol" w:hint="default"/>
      </w:rPr>
    </w:lvl>
    <w:lvl w:ilvl="1" w:tplc="32D43CB4">
      <w:start w:val="1"/>
      <w:numFmt w:val="bullet"/>
      <w:lvlText w:val="o"/>
      <w:lvlJc w:val="left"/>
      <w:pPr>
        <w:tabs>
          <w:tab w:val="num" w:pos="1422"/>
        </w:tabs>
        <w:ind w:left="1422" w:hanging="360"/>
      </w:pPr>
      <w:rPr>
        <w:rFonts w:ascii="Courier New" w:hAnsi="Courier New" w:hint="default"/>
      </w:rPr>
    </w:lvl>
    <w:lvl w:ilvl="2" w:tplc="54440E2C" w:tentative="1">
      <w:start w:val="1"/>
      <w:numFmt w:val="bullet"/>
      <w:lvlText w:val=""/>
      <w:lvlJc w:val="left"/>
      <w:pPr>
        <w:tabs>
          <w:tab w:val="num" w:pos="2142"/>
        </w:tabs>
        <w:ind w:left="2142" w:hanging="360"/>
      </w:pPr>
      <w:rPr>
        <w:rFonts w:ascii="Wingdings" w:hAnsi="Wingdings" w:hint="default"/>
      </w:rPr>
    </w:lvl>
    <w:lvl w:ilvl="3" w:tplc="EA682EEA" w:tentative="1">
      <w:start w:val="1"/>
      <w:numFmt w:val="bullet"/>
      <w:lvlText w:val=""/>
      <w:lvlJc w:val="left"/>
      <w:pPr>
        <w:tabs>
          <w:tab w:val="num" w:pos="2862"/>
        </w:tabs>
        <w:ind w:left="2862" w:hanging="360"/>
      </w:pPr>
      <w:rPr>
        <w:rFonts w:ascii="Symbol" w:hAnsi="Symbol" w:hint="default"/>
      </w:rPr>
    </w:lvl>
    <w:lvl w:ilvl="4" w:tplc="2B20E146" w:tentative="1">
      <w:start w:val="1"/>
      <w:numFmt w:val="bullet"/>
      <w:lvlText w:val="o"/>
      <w:lvlJc w:val="left"/>
      <w:pPr>
        <w:tabs>
          <w:tab w:val="num" w:pos="3582"/>
        </w:tabs>
        <w:ind w:left="3582" w:hanging="360"/>
      </w:pPr>
      <w:rPr>
        <w:rFonts w:ascii="Courier New" w:hAnsi="Courier New" w:hint="default"/>
      </w:rPr>
    </w:lvl>
    <w:lvl w:ilvl="5" w:tplc="C0F4E70A" w:tentative="1">
      <w:start w:val="1"/>
      <w:numFmt w:val="bullet"/>
      <w:lvlText w:val=""/>
      <w:lvlJc w:val="left"/>
      <w:pPr>
        <w:tabs>
          <w:tab w:val="num" w:pos="4302"/>
        </w:tabs>
        <w:ind w:left="4302" w:hanging="360"/>
      </w:pPr>
      <w:rPr>
        <w:rFonts w:ascii="Wingdings" w:hAnsi="Wingdings" w:hint="default"/>
      </w:rPr>
    </w:lvl>
    <w:lvl w:ilvl="6" w:tplc="2AE646D8" w:tentative="1">
      <w:start w:val="1"/>
      <w:numFmt w:val="bullet"/>
      <w:lvlText w:val=""/>
      <w:lvlJc w:val="left"/>
      <w:pPr>
        <w:tabs>
          <w:tab w:val="num" w:pos="5022"/>
        </w:tabs>
        <w:ind w:left="5022" w:hanging="360"/>
      </w:pPr>
      <w:rPr>
        <w:rFonts w:ascii="Symbol" w:hAnsi="Symbol" w:hint="default"/>
      </w:rPr>
    </w:lvl>
    <w:lvl w:ilvl="7" w:tplc="1988F856" w:tentative="1">
      <w:start w:val="1"/>
      <w:numFmt w:val="bullet"/>
      <w:lvlText w:val="o"/>
      <w:lvlJc w:val="left"/>
      <w:pPr>
        <w:tabs>
          <w:tab w:val="num" w:pos="5742"/>
        </w:tabs>
        <w:ind w:left="5742" w:hanging="360"/>
      </w:pPr>
      <w:rPr>
        <w:rFonts w:ascii="Courier New" w:hAnsi="Courier New" w:hint="default"/>
      </w:rPr>
    </w:lvl>
    <w:lvl w:ilvl="8" w:tplc="BDDC58C4" w:tentative="1">
      <w:start w:val="1"/>
      <w:numFmt w:val="bullet"/>
      <w:lvlText w:val=""/>
      <w:lvlJc w:val="left"/>
      <w:pPr>
        <w:tabs>
          <w:tab w:val="num" w:pos="6462"/>
        </w:tabs>
        <w:ind w:left="6462" w:hanging="360"/>
      </w:pPr>
      <w:rPr>
        <w:rFonts w:ascii="Wingdings" w:hAnsi="Wingdings" w:hint="default"/>
      </w:rPr>
    </w:lvl>
  </w:abstractNum>
  <w:abstractNum w:abstractNumId="21" w15:restartNumberingAfterBreak="0">
    <w:nsid w:val="6F4F6BE9"/>
    <w:multiLevelType w:val="singleLevel"/>
    <w:tmpl w:val="7AE8748E"/>
    <w:lvl w:ilvl="0">
      <w:start w:val="1"/>
      <w:numFmt w:val="bullet"/>
      <w:lvlText w:val=""/>
      <w:lvlJc w:val="left"/>
      <w:pPr>
        <w:tabs>
          <w:tab w:val="num" w:pos="432"/>
        </w:tabs>
        <w:ind w:left="360" w:hanging="288"/>
      </w:pPr>
      <w:rPr>
        <w:rFonts w:ascii="Symbol" w:hAnsi="Symbol" w:hint="default"/>
      </w:rPr>
    </w:lvl>
  </w:abstractNum>
  <w:abstractNum w:abstractNumId="22" w15:restartNumberingAfterBreak="0">
    <w:nsid w:val="763824DD"/>
    <w:multiLevelType w:val="hybridMultilevel"/>
    <w:tmpl w:val="F0B60B80"/>
    <w:lvl w:ilvl="0" w:tplc="570032CA">
      <w:start w:val="1"/>
      <w:numFmt w:val="bullet"/>
      <w:lvlText w:val=""/>
      <w:lvlJc w:val="left"/>
      <w:pPr>
        <w:tabs>
          <w:tab w:val="num" w:pos="432"/>
        </w:tabs>
        <w:ind w:left="72" w:firstLine="0"/>
      </w:pPr>
      <w:rPr>
        <w:rFonts w:ascii="Symbol" w:hAnsi="Symbol" w:hint="default"/>
      </w:rPr>
    </w:lvl>
    <w:lvl w:ilvl="1" w:tplc="F0E8861C" w:tentative="1">
      <w:start w:val="1"/>
      <w:numFmt w:val="bullet"/>
      <w:lvlText w:val="o"/>
      <w:lvlJc w:val="left"/>
      <w:pPr>
        <w:tabs>
          <w:tab w:val="num" w:pos="1080"/>
        </w:tabs>
        <w:ind w:left="1080" w:hanging="360"/>
      </w:pPr>
      <w:rPr>
        <w:rFonts w:ascii="Courier New" w:hAnsi="Courier New" w:hint="default"/>
      </w:rPr>
    </w:lvl>
    <w:lvl w:ilvl="2" w:tplc="661A6576" w:tentative="1">
      <w:start w:val="1"/>
      <w:numFmt w:val="bullet"/>
      <w:lvlText w:val=""/>
      <w:lvlJc w:val="left"/>
      <w:pPr>
        <w:tabs>
          <w:tab w:val="num" w:pos="1800"/>
        </w:tabs>
        <w:ind w:left="1800" w:hanging="360"/>
      </w:pPr>
      <w:rPr>
        <w:rFonts w:ascii="Wingdings" w:hAnsi="Wingdings" w:hint="default"/>
      </w:rPr>
    </w:lvl>
    <w:lvl w:ilvl="3" w:tplc="E61ECB4C" w:tentative="1">
      <w:start w:val="1"/>
      <w:numFmt w:val="bullet"/>
      <w:lvlText w:val=""/>
      <w:lvlJc w:val="left"/>
      <w:pPr>
        <w:tabs>
          <w:tab w:val="num" w:pos="2520"/>
        </w:tabs>
        <w:ind w:left="2520" w:hanging="360"/>
      </w:pPr>
      <w:rPr>
        <w:rFonts w:ascii="Symbol" w:hAnsi="Symbol" w:hint="default"/>
      </w:rPr>
    </w:lvl>
    <w:lvl w:ilvl="4" w:tplc="BD445D66" w:tentative="1">
      <w:start w:val="1"/>
      <w:numFmt w:val="bullet"/>
      <w:lvlText w:val="o"/>
      <w:lvlJc w:val="left"/>
      <w:pPr>
        <w:tabs>
          <w:tab w:val="num" w:pos="3240"/>
        </w:tabs>
        <w:ind w:left="3240" w:hanging="360"/>
      </w:pPr>
      <w:rPr>
        <w:rFonts w:ascii="Courier New" w:hAnsi="Courier New" w:hint="default"/>
      </w:rPr>
    </w:lvl>
    <w:lvl w:ilvl="5" w:tplc="9B20B35E" w:tentative="1">
      <w:start w:val="1"/>
      <w:numFmt w:val="bullet"/>
      <w:lvlText w:val=""/>
      <w:lvlJc w:val="left"/>
      <w:pPr>
        <w:tabs>
          <w:tab w:val="num" w:pos="3960"/>
        </w:tabs>
        <w:ind w:left="3960" w:hanging="360"/>
      </w:pPr>
      <w:rPr>
        <w:rFonts w:ascii="Wingdings" w:hAnsi="Wingdings" w:hint="default"/>
      </w:rPr>
    </w:lvl>
    <w:lvl w:ilvl="6" w:tplc="CBF63A74" w:tentative="1">
      <w:start w:val="1"/>
      <w:numFmt w:val="bullet"/>
      <w:lvlText w:val=""/>
      <w:lvlJc w:val="left"/>
      <w:pPr>
        <w:tabs>
          <w:tab w:val="num" w:pos="4680"/>
        </w:tabs>
        <w:ind w:left="4680" w:hanging="360"/>
      </w:pPr>
      <w:rPr>
        <w:rFonts w:ascii="Symbol" w:hAnsi="Symbol" w:hint="default"/>
      </w:rPr>
    </w:lvl>
    <w:lvl w:ilvl="7" w:tplc="F0D01072" w:tentative="1">
      <w:start w:val="1"/>
      <w:numFmt w:val="bullet"/>
      <w:lvlText w:val="o"/>
      <w:lvlJc w:val="left"/>
      <w:pPr>
        <w:tabs>
          <w:tab w:val="num" w:pos="5400"/>
        </w:tabs>
        <w:ind w:left="5400" w:hanging="360"/>
      </w:pPr>
      <w:rPr>
        <w:rFonts w:ascii="Courier New" w:hAnsi="Courier New" w:hint="default"/>
      </w:rPr>
    </w:lvl>
    <w:lvl w:ilvl="8" w:tplc="492C7A1E"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70"/>
        <w:lvlJc w:val="left"/>
        <w:pPr>
          <w:ind w:left="270" w:hanging="270"/>
        </w:pPr>
        <w:rPr>
          <w:rFonts w:ascii="Symbol" w:hAnsi="Symbol" w:hint="default"/>
        </w:rPr>
      </w:lvl>
    </w:lvlOverride>
  </w:num>
  <w:num w:numId="2">
    <w:abstractNumId w:val="0"/>
    <w:lvlOverride w:ilvl="0">
      <w:lvl w:ilvl="0">
        <w:start w:val="1"/>
        <w:numFmt w:val="bullet"/>
        <w:lvlText w:val=""/>
        <w:legacy w:legacy="1" w:legacySpace="0" w:legacyIndent="144"/>
        <w:lvlJc w:val="left"/>
        <w:pPr>
          <w:ind w:left="486" w:hanging="144"/>
        </w:pPr>
        <w:rPr>
          <w:rFonts w:ascii="Symbol" w:hAnsi="Symbol" w:hint="default"/>
        </w:rPr>
      </w:lvl>
    </w:lvlOverride>
  </w:num>
  <w:num w:numId="3">
    <w:abstractNumId w:val="9"/>
  </w:num>
  <w:num w:numId="4">
    <w:abstractNumId w:val="6"/>
  </w:num>
  <w:num w:numId="5">
    <w:abstractNumId w:val="15"/>
  </w:num>
  <w:num w:numId="6">
    <w:abstractNumId w:val="20"/>
  </w:num>
  <w:num w:numId="7">
    <w:abstractNumId w:val="2"/>
  </w:num>
  <w:num w:numId="8">
    <w:abstractNumId w:val="7"/>
  </w:num>
  <w:num w:numId="9">
    <w:abstractNumId w:val="3"/>
  </w:num>
  <w:num w:numId="10">
    <w:abstractNumId w:val="18"/>
  </w:num>
  <w:num w:numId="11">
    <w:abstractNumId w:val="14"/>
  </w:num>
  <w:num w:numId="12">
    <w:abstractNumId w:val="11"/>
  </w:num>
  <w:num w:numId="13">
    <w:abstractNumId w:val="21"/>
  </w:num>
  <w:num w:numId="14">
    <w:abstractNumId w:val="8"/>
  </w:num>
  <w:num w:numId="15">
    <w:abstractNumId w:val="22"/>
  </w:num>
  <w:num w:numId="16">
    <w:abstractNumId w:val="5"/>
  </w:num>
  <w:num w:numId="17">
    <w:abstractNumId w:val="1"/>
  </w:num>
  <w:num w:numId="18">
    <w:abstractNumId w:val="17"/>
  </w:num>
  <w:num w:numId="19">
    <w:abstractNumId w:val="12"/>
  </w:num>
  <w:num w:numId="20">
    <w:abstractNumId w:val="19"/>
  </w:num>
  <w:num w:numId="21">
    <w:abstractNumId w:val="13"/>
  </w:num>
  <w:num w:numId="22">
    <w:abstractNumId w:val="10"/>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58"/>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7AB6"/>
    <w:rsid w:val="00121D9C"/>
    <w:rsid w:val="00317777"/>
    <w:rsid w:val="00490153"/>
    <w:rsid w:val="00876F0E"/>
    <w:rsid w:val="0089005F"/>
    <w:rsid w:val="009A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7"/>
    <o:shapelayout v:ext="edit">
      <o:idmap v:ext="edit" data="1"/>
    </o:shapelayout>
  </w:shapeDefaults>
  <w:decimalSymbol w:val="."/>
  <w:listSeparator w:val=","/>
  <w14:docId w14:val="0675DF7F"/>
  <w15:chartTrackingRefBased/>
  <w15:docId w15:val="{C73D7397-7ECD-41C9-8CC7-7B34B3C9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pBdr>
        <w:bottom w:val="single" w:sz="6" w:space="0" w:color="auto"/>
        <w:between w:val="single" w:sz="6" w:space="0" w:color="auto"/>
      </w:pBdr>
      <w:spacing w:before="240"/>
      <w:outlineLvl w:val="0"/>
    </w:pPr>
    <w:rPr>
      <w:rFonts w:ascii="Arial" w:hAnsi="Arial"/>
      <w:b/>
      <w:noProof/>
      <w:sz w:val="36"/>
    </w:rPr>
  </w:style>
  <w:style w:type="paragraph" w:styleId="Heading2">
    <w:name w:val="heading 2"/>
    <w:basedOn w:val="Normal"/>
    <w:next w:val="Normal"/>
    <w:qFormat/>
    <w:pPr>
      <w:pBdr>
        <w:bottom w:val="single" w:sz="6" w:space="1" w:color="auto"/>
      </w:pBdr>
      <w:tabs>
        <w:tab w:val="left" w:pos="2160"/>
        <w:tab w:val="left" w:pos="2880"/>
      </w:tabs>
      <w:outlineLvl w:val="1"/>
    </w:pPr>
    <w:rPr>
      <w:rFonts w:ascii="Arial" w:hAnsi="Arial"/>
      <w:b/>
      <w:noProof/>
      <w:sz w:val="32"/>
    </w:rPr>
  </w:style>
  <w:style w:type="paragraph" w:styleId="Heading3">
    <w:name w:val="heading 3"/>
    <w:basedOn w:val="Normal"/>
    <w:next w:val="Normal"/>
    <w:qFormat/>
    <w:pPr>
      <w:pBdr>
        <w:bottom w:val="single" w:sz="6" w:space="1" w:color="auto"/>
      </w:pBdr>
      <w:ind w:left="720"/>
      <w:outlineLvl w:val="2"/>
    </w:pPr>
    <w:rPr>
      <w:b/>
      <w:noProof/>
      <w:sz w:val="28"/>
    </w:rPr>
  </w:style>
  <w:style w:type="paragraph" w:styleId="Heading4">
    <w:name w:val="heading 4"/>
    <w:basedOn w:val="Normal"/>
    <w:next w:val="Normal"/>
    <w:qFormat/>
    <w:pPr>
      <w:spacing w:after="120"/>
      <w:outlineLvl w:val="3"/>
    </w:pPr>
    <w:rPr>
      <w:b/>
      <w:i/>
      <w:noProof/>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ind w:left="252" w:right="342"/>
      <w:outlineLvl w:val="4"/>
    </w:pPr>
    <w:rPr>
      <w:b/>
      <w:bCs/>
      <w:sz w:val="18"/>
    </w:rPr>
  </w:style>
  <w:style w:type="paragraph" w:styleId="Heading6">
    <w:name w:val="heading 6"/>
    <w:basedOn w:val="Normal"/>
    <w:next w:val="Normal"/>
    <w:qFormat/>
    <w:pPr>
      <w:keepNext/>
      <w:shd w:val="solid" w:color="0000FF" w:fill="auto"/>
      <w:tabs>
        <w:tab w:val="left" w:pos="270"/>
        <w:tab w:val="left" w:pos="5760"/>
      </w:tabs>
      <w:ind w:right="-108"/>
      <w:outlineLvl w:val="5"/>
    </w:pPr>
    <w:rPr>
      <w:b/>
      <w:i/>
      <w:color w:val="FFFFFF"/>
      <w:sz w:val="28"/>
    </w:rPr>
  </w:style>
  <w:style w:type="paragraph" w:styleId="Heading7">
    <w:name w:val="heading 7"/>
    <w:basedOn w:val="Normal"/>
    <w:next w:val="Normal"/>
    <w:qFormat/>
    <w:pPr>
      <w:keepNext/>
      <w:ind w:right="162"/>
      <w:jc w:val="center"/>
      <w:outlineLvl w:val="6"/>
    </w:pPr>
    <w:rPr>
      <w:rFonts w:ascii="Comic Sans MS" w:hAnsi="Comic Sans MS"/>
      <w:b/>
      <w:sz w:val="32"/>
    </w:rPr>
  </w:style>
  <w:style w:type="paragraph" w:styleId="Heading8">
    <w:name w:val="heading 8"/>
    <w:basedOn w:val="Normal"/>
    <w:next w:val="Normal"/>
    <w:qFormat/>
    <w:pPr>
      <w:keepNext/>
      <w:ind w:right="162"/>
      <w:jc w:val="center"/>
      <w:outlineLvl w:val="7"/>
    </w:pPr>
    <w:rPr>
      <w:rFonts w:ascii="Comic Sans MS" w:hAnsi="Comic Sans MS"/>
      <w:b/>
      <w:i/>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play">
    <w:name w:val="display"/>
    <w:basedOn w:val="Normal"/>
    <w:pPr>
      <w:pBdr>
        <w:top w:val="single" w:sz="6" w:space="1" w:color="auto"/>
        <w:left w:val="single" w:sz="6" w:space="1" w:color="auto"/>
        <w:bottom w:val="single" w:sz="6" w:space="1" w:color="auto"/>
        <w:right w:val="single" w:sz="6" w:space="1" w:color="auto"/>
      </w:pBdr>
      <w:ind w:left="720"/>
    </w:pPr>
    <w:rPr>
      <w:rFonts w:ascii="Courier" w:hAnsi="Courier"/>
      <w:noProof/>
      <w:sz w:val="18"/>
    </w:rPr>
  </w:style>
  <w:style w:type="paragraph" w:styleId="Header">
    <w:name w:val="header"/>
    <w:basedOn w:val="Normal"/>
    <w:pPr>
      <w:tabs>
        <w:tab w:val="center" w:pos="4320"/>
        <w:tab w:val="right" w:pos="8640"/>
      </w:tabs>
    </w:pPr>
    <w:rPr>
      <w:rFonts w:ascii="New Century Schlbk" w:hAnsi="New Century Schlbk"/>
      <w:noProof/>
      <w:sz w:val="20"/>
    </w:rPr>
  </w:style>
  <w:style w:type="paragraph" w:customStyle="1" w:styleId="NormalIndent1">
    <w:name w:val="Normal Indent1"/>
    <w:basedOn w:val="Normal"/>
    <w:pPr>
      <w:ind w:left="1440"/>
    </w:pPr>
    <w:rPr>
      <w:rFonts w:ascii="New Century Schlbk" w:hAnsi="New Century Schlbk"/>
      <w:noProof/>
    </w:rPr>
  </w:style>
  <w:style w:type="paragraph" w:styleId="TOC2">
    <w:name w:val="toc 2"/>
    <w:basedOn w:val="Normal"/>
    <w:next w:val="Normal"/>
    <w:semiHidden/>
    <w:pPr>
      <w:tabs>
        <w:tab w:val="right" w:leader="dot" w:pos="9450"/>
      </w:tabs>
      <w:spacing w:before="240"/>
      <w:ind w:left="1008"/>
    </w:pPr>
    <w:rPr>
      <w:b/>
    </w:rPr>
  </w:style>
  <w:style w:type="paragraph" w:styleId="BodyText">
    <w:name w:val="Body Text"/>
    <w:basedOn w:val="Normal"/>
    <w:pPr>
      <w:ind w:right="5040"/>
    </w:pPr>
    <w:rPr>
      <w:rFonts w:ascii="Times New Roman" w:hAnsi="Times New Roman"/>
      <w:sz w:val="18"/>
    </w:rPr>
  </w:style>
  <w:style w:type="paragraph" w:styleId="BodyTextIndent">
    <w:name w:val="Body Text Indent"/>
    <w:basedOn w:val="Normal"/>
    <w:pPr>
      <w:numPr>
        <w:numId w:val="14"/>
      </w:numPr>
      <w:tabs>
        <w:tab w:val="left" w:pos="252"/>
      </w:tabs>
      <w:spacing w:after="60"/>
      <w:ind w:left="259" w:right="252" w:hanging="97"/>
    </w:pPr>
    <w:rPr>
      <w:rFonts w:ascii="Times New Roman" w:hAnsi="Times New Roman"/>
      <w:i/>
      <w:iCs/>
      <w:sz w:val="18"/>
    </w:rPr>
  </w:style>
  <w:style w:type="paragraph" w:styleId="BlockText">
    <w:name w:val="Block Text"/>
    <w:basedOn w:val="Normal"/>
    <w:pPr>
      <w:pBdr>
        <w:top w:val="single" w:sz="4" w:space="0" w:color="0000FF"/>
        <w:left w:val="single" w:sz="4" w:space="0" w:color="0000FF"/>
        <w:bottom w:val="single" w:sz="4" w:space="0" w:color="0000FF"/>
        <w:right w:val="single" w:sz="4" w:space="0" w:color="0000FF"/>
      </w:pBdr>
      <w:ind w:left="342" w:right="432"/>
    </w:pPr>
    <w:rPr>
      <w:sz w:val="20"/>
    </w:rPr>
  </w:style>
  <w:style w:type="paragraph" w:styleId="BodyText3">
    <w:name w:val="Body Text 3"/>
    <w:basedOn w:val="Normal"/>
    <w:rPr>
      <w:b/>
    </w:rPr>
  </w:style>
  <w:style w:type="paragraph" w:customStyle="1" w:styleId="BlankLine">
    <w:name w:val="Blank Line"/>
    <w:basedOn w:val="Normal"/>
    <w:pPr>
      <w:ind w:left="720"/>
    </w:pPr>
    <w:rPr>
      <w:rFonts w:ascii="New Century Schlbk" w:hAnsi="New Century Schlbk"/>
      <w:szCs w:val="24"/>
    </w:rPr>
  </w:style>
  <w:style w:type="paragraph" w:styleId="BodyText2">
    <w:name w:val="Body Text 2"/>
    <w:basedOn w:val="Normal"/>
    <w:pPr>
      <w:spacing w:after="60"/>
    </w:pPr>
    <w:rPr>
      <w:sz w:val="18"/>
    </w:rPr>
  </w:style>
  <w:style w:type="paragraph" w:customStyle="1" w:styleId="FEEMANUAL">
    <w:name w:val="FEE MANUAL"/>
    <w:basedOn w:val="Normal"/>
    <w:rPr>
      <w:rFonts w:ascii="Times New Roman" w:hAnsi="Times New Roman"/>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paragraph" w:styleId="BodyTextIndent2">
    <w:name w:val="Body Text Indent 2"/>
    <w:basedOn w:val="Normal"/>
    <w:pPr>
      <w:ind w:left="252" w:hanging="252"/>
    </w:pPr>
    <w:rPr>
      <w:rFonts w:ascii="Arial" w:hAnsi="Arial"/>
      <w:sz w:val="18"/>
    </w:rPr>
  </w:style>
  <w:style w:type="paragraph" w:styleId="CommentText">
    <w:name w:val="annotation text"/>
    <w:basedOn w:val="Normal"/>
    <w:semiHidden/>
    <w:rPr>
      <w:rFonts w:ascii="Times New Roman" w:hAnsi="Times New Roman"/>
      <w:sz w:val="20"/>
    </w:rPr>
  </w:style>
  <w:style w:type="character" w:styleId="CommentReference">
    <w:name w:val="annotation reference"/>
    <w:semiHidden/>
    <w:rPr>
      <w:sz w:val="16"/>
      <w:szCs w:val="16"/>
    </w:rPr>
  </w:style>
  <w:style w:type="paragraph" w:customStyle="1" w:styleId="BulletList-Normal1">
    <w:name w:val="Bullet List-Normal 1"/>
    <w:aliases w:val="BN1"/>
    <w:autoRedefine/>
    <w:pPr>
      <w:autoSpaceDE w:val="0"/>
      <w:autoSpaceDN w:val="0"/>
      <w:adjustRightInd w:val="0"/>
    </w:pPr>
    <w:rPr>
      <w:sz w:val="18"/>
      <w:szCs w:val="22"/>
    </w:rPr>
  </w:style>
  <w:style w:type="paragraph" w:customStyle="1" w:styleId="CPRSBullets">
    <w:name w:val="CPRS Bullets"/>
    <w:basedOn w:val="Normal"/>
    <w:pPr>
      <w:numPr>
        <w:numId w:val="24"/>
      </w:numPr>
      <w:spacing w:after="60"/>
    </w:pPr>
    <w:rPr>
      <w:rFonts w:ascii="Arial" w:hAnsi="Arial"/>
    </w:rPr>
  </w:style>
  <w:style w:type="paragraph" w:styleId="BodyTextIndent3">
    <w:name w:val="Body Text Indent 3"/>
    <w:basedOn w:val="Normal"/>
    <w:pPr>
      <w:ind w:left="180"/>
    </w:pPr>
    <w:rPr>
      <w:rFonts w:ascii="Verdana" w:hAnsi="Verdana"/>
      <w:b/>
      <w:bCs/>
      <w:i/>
      <w:iCs/>
      <w:sz w:val="18"/>
    </w:rPr>
  </w:style>
  <w:style w:type="paragraph" w:styleId="BalloonText">
    <w:name w:val="Balloon Text"/>
    <w:basedOn w:val="Normal"/>
    <w:semiHidden/>
    <w:rsid w:val="009A7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3.bin"/><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vista.med.va.gov/reminders" TargetMode="Externa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http://152.132.3.120/cprs/reminders/CR15PNhc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How do I select a patient?</vt:lpstr>
    </vt:vector>
  </TitlesOfParts>
  <Company>SLC IRMFO-VA</Company>
  <LinksUpToDate>false</LinksUpToDate>
  <CharactersWithSpaces>5683</CharactersWithSpaces>
  <SharedDoc>false</SharedDoc>
  <HLinks>
    <vt:vector size="12" baseType="variant">
      <vt:variant>
        <vt:i4>4456469</vt:i4>
      </vt:variant>
      <vt:variant>
        <vt:i4>0</vt:i4>
      </vt:variant>
      <vt:variant>
        <vt:i4>0</vt:i4>
      </vt:variant>
      <vt:variant>
        <vt:i4>5</vt:i4>
      </vt:variant>
      <vt:variant>
        <vt:lpwstr>http://vista.med.va.gov/reminders</vt:lpwstr>
      </vt:variant>
      <vt:variant>
        <vt:lpwstr/>
      </vt:variant>
      <vt:variant>
        <vt:i4>3473461</vt:i4>
      </vt:variant>
      <vt:variant>
        <vt:i4>-1</vt:i4>
      </vt:variant>
      <vt:variant>
        <vt:i4>1046</vt:i4>
      </vt:variant>
      <vt:variant>
        <vt:i4>1</vt:i4>
      </vt:variant>
      <vt:variant>
        <vt:lpwstr>http://152.132.3.120/cprs/reminders/CR15rmdrwr.jpg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select a patient?</dc:title>
  <dc:subject/>
  <dc:creator/>
  <cp:keywords/>
  <dc:description/>
  <cp:lastModifiedBy>Dept of Veterans Affairs</cp:lastModifiedBy>
  <cp:revision>4</cp:revision>
  <cp:lastPrinted>2021-09-14T16:32:00Z</cp:lastPrinted>
  <dcterms:created xsi:type="dcterms:W3CDTF">2020-10-23T14:22:00Z</dcterms:created>
  <dcterms:modified xsi:type="dcterms:W3CDTF">2021-09-14T16:35:00Z</dcterms:modified>
</cp:coreProperties>
</file>