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49DB6" w14:textId="77777777" w:rsidR="00AE08C4" w:rsidRDefault="00AE08C4">
      <w:pPr>
        <w:pStyle w:val="BodyText"/>
        <w:spacing w:before="7"/>
        <w:rPr>
          <w:sz w:val="15"/>
        </w:rPr>
      </w:pPr>
    </w:p>
    <w:p w14:paraId="09D3485B" w14:textId="77777777" w:rsidR="00AE08C4" w:rsidRDefault="002067E5">
      <w:pPr>
        <w:pStyle w:val="BodyText"/>
        <w:ind w:left="2755"/>
        <w:rPr>
          <w:sz w:val="20"/>
        </w:rPr>
      </w:pPr>
      <w:r>
        <w:rPr>
          <w:noProof/>
          <w:sz w:val="20"/>
        </w:rPr>
        <w:drawing>
          <wp:inline distT="0" distB="0" distL="0" distR="0" wp14:anchorId="57530988" wp14:editId="27A1942E">
            <wp:extent cx="2764655" cy="1718309"/>
            <wp:effectExtent l="0" t="0" r="0" b="0"/>
            <wp:docPr id="1" name="image1.jpeg"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64655" cy="1718309"/>
                    </a:xfrm>
                    <a:prstGeom prst="rect">
                      <a:avLst/>
                    </a:prstGeom>
                  </pic:spPr>
                </pic:pic>
              </a:graphicData>
            </a:graphic>
          </wp:inline>
        </w:drawing>
      </w:r>
    </w:p>
    <w:p w14:paraId="098B7AA4" w14:textId="77777777" w:rsidR="00AE08C4" w:rsidRDefault="00AE08C4">
      <w:pPr>
        <w:pStyle w:val="BodyText"/>
        <w:rPr>
          <w:sz w:val="20"/>
        </w:rPr>
      </w:pPr>
    </w:p>
    <w:p w14:paraId="46ECA62B" w14:textId="77777777" w:rsidR="00AE08C4" w:rsidRDefault="00AE08C4">
      <w:pPr>
        <w:pStyle w:val="BodyText"/>
        <w:rPr>
          <w:sz w:val="20"/>
        </w:rPr>
      </w:pPr>
    </w:p>
    <w:p w14:paraId="7FAF891F" w14:textId="77777777" w:rsidR="00AE08C4" w:rsidRDefault="00AE08C4">
      <w:pPr>
        <w:pStyle w:val="BodyText"/>
        <w:rPr>
          <w:sz w:val="20"/>
        </w:rPr>
      </w:pPr>
    </w:p>
    <w:p w14:paraId="0C2C71BC" w14:textId="77777777" w:rsidR="00AE08C4" w:rsidRDefault="00AE08C4">
      <w:pPr>
        <w:pStyle w:val="BodyText"/>
        <w:rPr>
          <w:sz w:val="20"/>
        </w:rPr>
      </w:pPr>
    </w:p>
    <w:p w14:paraId="2013FC5C" w14:textId="77777777" w:rsidR="00AE08C4" w:rsidRDefault="00AE08C4">
      <w:pPr>
        <w:pStyle w:val="BodyText"/>
        <w:spacing w:before="6"/>
        <w:rPr>
          <w:sz w:val="27"/>
        </w:rPr>
      </w:pPr>
    </w:p>
    <w:p w14:paraId="39C51EB4" w14:textId="77777777" w:rsidR="00AE08C4" w:rsidRDefault="002067E5">
      <w:pPr>
        <w:spacing w:before="84"/>
        <w:ind w:left="899" w:right="896"/>
        <w:jc w:val="center"/>
        <w:rPr>
          <w:rFonts w:ascii="Arial"/>
          <w:b/>
          <w:sz w:val="48"/>
        </w:rPr>
      </w:pPr>
      <w:r>
        <w:rPr>
          <w:rFonts w:ascii="Arial"/>
          <w:b/>
          <w:sz w:val="48"/>
        </w:rPr>
        <w:t>CLINICAL PROCEDURES (CP) V2.0 FLOWSHEETS MODULE</w:t>
      </w:r>
    </w:p>
    <w:p w14:paraId="5A37AB97" w14:textId="77777777" w:rsidR="00AE08C4" w:rsidRDefault="002067E5">
      <w:pPr>
        <w:ind w:left="896" w:right="896"/>
        <w:jc w:val="center"/>
        <w:rPr>
          <w:rFonts w:ascii="Arial"/>
          <w:b/>
          <w:sz w:val="48"/>
        </w:rPr>
      </w:pPr>
      <w:r>
        <w:rPr>
          <w:rFonts w:ascii="Arial"/>
          <w:b/>
          <w:sz w:val="48"/>
        </w:rPr>
        <w:t>RELEASE NOTES</w:t>
      </w:r>
    </w:p>
    <w:p w14:paraId="24BEB5A5" w14:textId="77777777" w:rsidR="00AE08C4" w:rsidRDefault="00AE08C4">
      <w:pPr>
        <w:pStyle w:val="BodyText"/>
        <w:rPr>
          <w:rFonts w:ascii="Arial"/>
          <w:b/>
          <w:sz w:val="54"/>
        </w:rPr>
      </w:pPr>
    </w:p>
    <w:p w14:paraId="434B4319" w14:textId="77777777" w:rsidR="00AE08C4" w:rsidRDefault="00AE08C4">
      <w:pPr>
        <w:pStyle w:val="BodyText"/>
        <w:rPr>
          <w:rFonts w:ascii="Arial"/>
          <w:b/>
          <w:sz w:val="54"/>
        </w:rPr>
      </w:pPr>
    </w:p>
    <w:p w14:paraId="3959ECDA" w14:textId="77777777" w:rsidR="00AE08C4" w:rsidRDefault="002067E5">
      <w:pPr>
        <w:spacing w:before="342" w:line="413" w:lineRule="exact"/>
        <w:ind w:left="896" w:right="896"/>
        <w:jc w:val="center"/>
        <w:rPr>
          <w:rFonts w:ascii="Arial"/>
          <w:sz w:val="36"/>
        </w:rPr>
      </w:pPr>
      <w:r>
        <w:rPr>
          <w:rFonts w:ascii="Arial"/>
          <w:sz w:val="36"/>
        </w:rPr>
        <w:t>MD*1.0*23</w:t>
      </w:r>
    </w:p>
    <w:p w14:paraId="49E027B5" w14:textId="77777777" w:rsidR="00AE08C4" w:rsidRDefault="002067E5">
      <w:pPr>
        <w:spacing w:line="413" w:lineRule="exact"/>
        <w:ind w:left="896" w:right="896"/>
        <w:jc w:val="center"/>
        <w:rPr>
          <w:rFonts w:ascii="Arial"/>
          <w:sz w:val="36"/>
        </w:rPr>
      </w:pPr>
      <w:r>
        <w:rPr>
          <w:rFonts w:ascii="Arial"/>
          <w:sz w:val="36"/>
        </w:rPr>
        <w:t>February 2012</w:t>
      </w:r>
    </w:p>
    <w:p w14:paraId="376033A8" w14:textId="77777777" w:rsidR="00AE08C4" w:rsidRDefault="00AE08C4">
      <w:pPr>
        <w:pStyle w:val="BodyText"/>
        <w:rPr>
          <w:rFonts w:ascii="Arial"/>
          <w:sz w:val="40"/>
        </w:rPr>
      </w:pPr>
    </w:p>
    <w:p w14:paraId="00AA72E6" w14:textId="77777777" w:rsidR="00AE08C4" w:rsidRDefault="00AE08C4">
      <w:pPr>
        <w:pStyle w:val="BodyText"/>
        <w:rPr>
          <w:rFonts w:ascii="Arial"/>
          <w:sz w:val="40"/>
        </w:rPr>
      </w:pPr>
    </w:p>
    <w:p w14:paraId="2606A43E" w14:textId="77777777" w:rsidR="00AE08C4" w:rsidRDefault="00AE08C4">
      <w:pPr>
        <w:pStyle w:val="BodyText"/>
        <w:rPr>
          <w:rFonts w:ascii="Arial"/>
          <w:sz w:val="40"/>
        </w:rPr>
      </w:pPr>
    </w:p>
    <w:p w14:paraId="67D7AB53" w14:textId="77777777" w:rsidR="00AE08C4" w:rsidRDefault="002067E5">
      <w:pPr>
        <w:pStyle w:val="BodyText"/>
        <w:spacing w:before="338"/>
        <w:ind w:left="2658" w:right="2640" w:firstLine="593"/>
        <w:rPr>
          <w:rFonts w:ascii="Arial"/>
        </w:rPr>
      </w:pPr>
      <w:r>
        <w:rPr>
          <w:rFonts w:ascii="Arial"/>
        </w:rPr>
        <w:t>Department of Veterans Affairs Office of Information &amp; Technology (OI&amp;T)</w:t>
      </w:r>
    </w:p>
    <w:p w14:paraId="57D47B76" w14:textId="77777777" w:rsidR="00AE08C4" w:rsidRDefault="002067E5">
      <w:pPr>
        <w:pStyle w:val="BodyText"/>
        <w:ind w:left="3465"/>
        <w:rPr>
          <w:rFonts w:ascii="Arial"/>
        </w:rPr>
      </w:pPr>
      <w:r>
        <w:rPr>
          <w:rFonts w:ascii="Arial"/>
        </w:rPr>
        <w:t>Product Development (PD)</w:t>
      </w:r>
    </w:p>
    <w:p w14:paraId="0D913A08" w14:textId="77777777" w:rsidR="00AE08C4" w:rsidRDefault="00AE08C4">
      <w:pPr>
        <w:rPr>
          <w:rFonts w:ascii="Arial"/>
        </w:rPr>
        <w:sectPr w:rsidR="00AE08C4">
          <w:type w:val="continuous"/>
          <w:pgSz w:w="12240" w:h="15840"/>
          <w:pgMar w:top="1500" w:right="1220" w:bottom="280" w:left="1220" w:header="720" w:footer="720" w:gutter="0"/>
          <w:cols w:space="720"/>
        </w:sectPr>
      </w:pPr>
    </w:p>
    <w:p w14:paraId="176C086B" w14:textId="77777777" w:rsidR="00AE08C4" w:rsidRDefault="002067E5">
      <w:pPr>
        <w:spacing w:before="114"/>
        <w:ind w:left="220"/>
        <w:rPr>
          <w:rFonts w:ascii="Arial"/>
          <w:b/>
          <w:sz w:val="36"/>
        </w:rPr>
      </w:pPr>
      <w:r>
        <w:rPr>
          <w:rFonts w:ascii="Arial"/>
          <w:b/>
          <w:sz w:val="36"/>
        </w:rPr>
        <w:lastRenderedPageBreak/>
        <w:t>Revision History</w:t>
      </w:r>
    </w:p>
    <w:p w14:paraId="268BBD99" w14:textId="77777777" w:rsidR="00AE08C4" w:rsidRDefault="00AE08C4">
      <w:pPr>
        <w:pStyle w:val="BodyText"/>
        <w:rPr>
          <w:rFonts w:ascii="Arial"/>
          <w:b/>
          <w:sz w:val="20"/>
        </w:rPr>
      </w:pPr>
    </w:p>
    <w:p w14:paraId="59F5706B" w14:textId="77777777" w:rsidR="00AE08C4" w:rsidRDefault="00AE08C4">
      <w:pPr>
        <w:pStyle w:val="BodyText"/>
        <w:spacing w:before="3"/>
        <w:rPr>
          <w:rFonts w:ascii="Arial"/>
          <w:b/>
          <w:sz w:val="25"/>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17"/>
        <w:gridCol w:w="2141"/>
        <w:gridCol w:w="2662"/>
      </w:tblGrid>
      <w:tr w:rsidR="00AE08C4" w14:paraId="35708ADF" w14:textId="77777777">
        <w:trPr>
          <w:trHeight w:val="316"/>
        </w:trPr>
        <w:tc>
          <w:tcPr>
            <w:tcW w:w="3817" w:type="dxa"/>
            <w:shd w:val="clear" w:color="auto" w:fill="F1F1F1"/>
          </w:tcPr>
          <w:p w14:paraId="37E6B0E8" w14:textId="77777777" w:rsidR="00AE08C4" w:rsidRDefault="002067E5">
            <w:pPr>
              <w:pStyle w:val="TableParagraph"/>
              <w:spacing w:before="39" w:line="257" w:lineRule="exact"/>
              <w:ind w:left="108"/>
              <w:rPr>
                <w:b/>
                <w:sz w:val="24"/>
              </w:rPr>
            </w:pPr>
            <w:r>
              <w:rPr>
                <w:b/>
                <w:sz w:val="24"/>
              </w:rPr>
              <w:t>Description</w:t>
            </w:r>
          </w:p>
        </w:tc>
        <w:tc>
          <w:tcPr>
            <w:tcW w:w="2141" w:type="dxa"/>
            <w:shd w:val="clear" w:color="auto" w:fill="F1F1F1"/>
          </w:tcPr>
          <w:p w14:paraId="281D8DAC" w14:textId="77777777" w:rsidR="00AE08C4" w:rsidRDefault="002067E5">
            <w:pPr>
              <w:pStyle w:val="TableParagraph"/>
              <w:spacing w:before="39" w:line="257" w:lineRule="exact"/>
              <w:rPr>
                <w:b/>
                <w:sz w:val="24"/>
              </w:rPr>
            </w:pPr>
            <w:r>
              <w:rPr>
                <w:b/>
                <w:sz w:val="24"/>
              </w:rPr>
              <w:t>Date</w:t>
            </w:r>
          </w:p>
        </w:tc>
        <w:tc>
          <w:tcPr>
            <w:tcW w:w="2662" w:type="dxa"/>
            <w:shd w:val="clear" w:color="auto" w:fill="F1F1F1"/>
          </w:tcPr>
          <w:p w14:paraId="10D0CDB6" w14:textId="77777777" w:rsidR="00AE08C4" w:rsidRDefault="002067E5">
            <w:pPr>
              <w:pStyle w:val="TableParagraph"/>
              <w:spacing w:before="39" w:line="257" w:lineRule="exact"/>
              <w:rPr>
                <w:b/>
                <w:sz w:val="24"/>
              </w:rPr>
            </w:pPr>
            <w:r>
              <w:rPr>
                <w:b/>
                <w:sz w:val="24"/>
              </w:rPr>
              <w:t>Author</w:t>
            </w:r>
          </w:p>
        </w:tc>
      </w:tr>
      <w:tr w:rsidR="002067E5" w14:paraId="075A597D" w14:textId="77777777">
        <w:trPr>
          <w:trHeight w:val="632"/>
        </w:trPr>
        <w:tc>
          <w:tcPr>
            <w:tcW w:w="3817" w:type="dxa"/>
          </w:tcPr>
          <w:p w14:paraId="398C58FD" w14:textId="77777777" w:rsidR="002067E5" w:rsidRDefault="002067E5" w:rsidP="002067E5">
            <w:pPr>
              <w:pStyle w:val="TableParagraph"/>
              <w:spacing w:before="37" w:line="237" w:lineRule="auto"/>
              <w:ind w:left="108" w:right="121"/>
              <w:rPr>
                <w:sz w:val="24"/>
              </w:rPr>
            </w:pPr>
            <w:r>
              <w:rPr>
                <w:sz w:val="24"/>
              </w:rPr>
              <w:t>Initial version of MD*1.0*23 release notes</w:t>
            </w:r>
          </w:p>
        </w:tc>
        <w:tc>
          <w:tcPr>
            <w:tcW w:w="2141" w:type="dxa"/>
          </w:tcPr>
          <w:p w14:paraId="583EC2CB" w14:textId="77777777" w:rsidR="002067E5" w:rsidRDefault="002067E5" w:rsidP="002067E5">
            <w:pPr>
              <w:pStyle w:val="TableParagraph"/>
              <w:spacing w:before="35"/>
              <w:rPr>
                <w:sz w:val="24"/>
              </w:rPr>
            </w:pPr>
            <w:r>
              <w:rPr>
                <w:sz w:val="24"/>
              </w:rPr>
              <w:t>November 2011</w:t>
            </w:r>
          </w:p>
        </w:tc>
        <w:tc>
          <w:tcPr>
            <w:tcW w:w="2662" w:type="dxa"/>
          </w:tcPr>
          <w:p w14:paraId="41CD9859" w14:textId="7BFAF7D1" w:rsidR="002067E5" w:rsidRDefault="002067E5" w:rsidP="002067E5">
            <w:pPr>
              <w:pStyle w:val="TableParagraph"/>
              <w:spacing w:before="38" w:line="264" w:lineRule="exact"/>
              <w:rPr>
                <w:sz w:val="24"/>
              </w:rPr>
            </w:pPr>
            <w:r w:rsidRPr="0069780F">
              <w:rPr>
                <w:sz w:val="24"/>
                <w:highlight w:val="yellow"/>
              </w:rPr>
              <w:t>REDACTED</w:t>
            </w:r>
          </w:p>
        </w:tc>
      </w:tr>
      <w:tr w:rsidR="002067E5" w14:paraId="1C2B8794" w14:textId="77777777">
        <w:trPr>
          <w:trHeight w:val="798"/>
        </w:trPr>
        <w:tc>
          <w:tcPr>
            <w:tcW w:w="3817" w:type="dxa"/>
          </w:tcPr>
          <w:p w14:paraId="3027CB01" w14:textId="77777777" w:rsidR="002067E5" w:rsidRDefault="002067E5" w:rsidP="002067E5">
            <w:pPr>
              <w:pStyle w:val="TableParagraph"/>
              <w:spacing w:before="34"/>
              <w:ind w:left="108" w:right="832"/>
            </w:pPr>
            <w:r>
              <w:t>Added IV dose rate content to Implementation Considerations-</w:t>
            </w:r>
          </w:p>
          <w:p w14:paraId="01A3C0DB" w14:textId="77777777" w:rsidR="002067E5" w:rsidRDefault="002067E5" w:rsidP="002067E5">
            <w:pPr>
              <w:pStyle w:val="TableParagraph"/>
              <w:spacing w:line="238" w:lineRule="exact"/>
              <w:ind w:left="108"/>
            </w:pPr>
            <w:r>
              <w:t>Installation section</w:t>
            </w:r>
          </w:p>
        </w:tc>
        <w:tc>
          <w:tcPr>
            <w:tcW w:w="2141" w:type="dxa"/>
          </w:tcPr>
          <w:p w14:paraId="022A3CB9" w14:textId="77777777" w:rsidR="002067E5" w:rsidRDefault="002067E5" w:rsidP="002067E5">
            <w:pPr>
              <w:pStyle w:val="TableParagraph"/>
              <w:spacing w:before="32"/>
              <w:rPr>
                <w:sz w:val="24"/>
              </w:rPr>
            </w:pPr>
            <w:r>
              <w:rPr>
                <w:sz w:val="24"/>
              </w:rPr>
              <w:t>February 2012</w:t>
            </w:r>
          </w:p>
        </w:tc>
        <w:tc>
          <w:tcPr>
            <w:tcW w:w="2662" w:type="dxa"/>
          </w:tcPr>
          <w:p w14:paraId="29682A4D" w14:textId="78E0CF98" w:rsidR="002067E5" w:rsidRDefault="002067E5" w:rsidP="002067E5">
            <w:pPr>
              <w:pStyle w:val="TableParagraph"/>
              <w:spacing w:before="32"/>
              <w:rPr>
                <w:sz w:val="24"/>
              </w:rPr>
            </w:pPr>
            <w:r w:rsidRPr="0069780F">
              <w:rPr>
                <w:sz w:val="24"/>
                <w:highlight w:val="yellow"/>
              </w:rPr>
              <w:t>REDACTED</w:t>
            </w:r>
          </w:p>
        </w:tc>
      </w:tr>
      <w:tr w:rsidR="00AE08C4" w14:paraId="6AA729CE" w14:textId="77777777">
        <w:trPr>
          <w:trHeight w:val="316"/>
        </w:trPr>
        <w:tc>
          <w:tcPr>
            <w:tcW w:w="3817" w:type="dxa"/>
          </w:tcPr>
          <w:p w14:paraId="4CFCFB6A" w14:textId="77777777" w:rsidR="00AE08C4" w:rsidRDefault="00AE08C4">
            <w:pPr>
              <w:pStyle w:val="TableParagraph"/>
              <w:ind w:left="0"/>
            </w:pPr>
          </w:p>
        </w:tc>
        <w:tc>
          <w:tcPr>
            <w:tcW w:w="2141" w:type="dxa"/>
          </w:tcPr>
          <w:p w14:paraId="2045EE02" w14:textId="77777777" w:rsidR="00AE08C4" w:rsidRDefault="00AE08C4">
            <w:pPr>
              <w:pStyle w:val="TableParagraph"/>
              <w:ind w:left="0"/>
            </w:pPr>
          </w:p>
        </w:tc>
        <w:tc>
          <w:tcPr>
            <w:tcW w:w="2662" w:type="dxa"/>
          </w:tcPr>
          <w:p w14:paraId="35C89274" w14:textId="77777777" w:rsidR="00AE08C4" w:rsidRDefault="00AE08C4">
            <w:pPr>
              <w:pStyle w:val="TableParagraph"/>
              <w:ind w:left="0"/>
            </w:pPr>
          </w:p>
        </w:tc>
      </w:tr>
      <w:tr w:rsidR="00AE08C4" w14:paraId="08B01AE1" w14:textId="77777777">
        <w:trPr>
          <w:trHeight w:val="316"/>
        </w:trPr>
        <w:tc>
          <w:tcPr>
            <w:tcW w:w="3817" w:type="dxa"/>
          </w:tcPr>
          <w:p w14:paraId="29FBB07C" w14:textId="77777777" w:rsidR="00AE08C4" w:rsidRDefault="00AE08C4">
            <w:pPr>
              <w:pStyle w:val="TableParagraph"/>
              <w:ind w:left="0"/>
            </w:pPr>
          </w:p>
        </w:tc>
        <w:tc>
          <w:tcPr>
            <w:tcW w:w="2141" w:type="dxa"/>
          </w:tcPr>
          <w:p w14:paraId="37AE470F" w14:textId="77777777" w:rsidR="00AE08C4" w:rsidRDefault="00AE08C4">
            <w:pPr>
              <w:pStyle w:val="TableParagraph"/>
              <w:ind w:left="0"/>
            </w:pPr>
          </w:p>
        </w:tc>
        <w:tc>
          <w:tcPr>
            <w:tcW w:w="2662" w:type="dxa"/>
          </w:tcPr>
          <w:p w14:paraId="33E8E543" w14:textId="77777777" w:rsidR="00AE08C4" w:rsidRDefault="00AE08C4">
            <w:pPr>
              <w:pStyle w:val="TableParagraph"/>
              <w:ind w:left="0"/>
            </w:pPr>
          </w:p>
        </w:tc>
      </w:tr>
    </w:tbl>
    <w:p w14:paraId="6703CD8D" w14:textId="77777777" w:rsidR="00AE08C4" w:rsidRDefault="00AE08C4">
      <w:pPr>
        <w:sectPr w:rsidR="00AE08C4">
          <w:footerReference w:type="default" r:id="rId8"/>
          <w:pgSz w:w="12240" w:h="15840"/>
          <w:pgMar w:top="1500" w:right="1220" w:bottom="1160" w:left="1220" w:header="0" w:footer="976" w:gutter="0"/>
          <w:cols w:space="720"/>
        </w:sectPr>
      </w:pPr>
    </w:p>
    <w:p w14:paraId="17F193AF" w14:textId="77777777" w:rsidR="00AE08C4" w:rsidRDefault="002067E5">
      <w:pPr>
        <w:spacing w:before="72"/>
        <w:ind w:left="896" w:right="896"/>
        <w:jc w:val="center"/>
        <w:rPr>
          <w:i/>
          <w:sz w:val="24"/>
        </w:rPr>
      </w:pPr>
      <w:r>
        <w:rPr>
          <w:i/>
          <w:sz w:val="24"/>
        </w:rPr>
        <w:lastRenderedPageBreak/>
        <w:t>This page intentionally left blank for double-sided printing.</w:t>
      </w:r>
    </w:p>
    <w:p w14:paraId="29BB64E9" w14:textId="77777777" w:rsidR="00AE08C4" w:rsidRDefault="00AE08C4">
      <w:pPr>
        <w:pStyle w:val="BodyText"/>
        <w:rPr>
          <w:i/>
          <w:sz w:val="20"/>
        </w:rPr>
      </w:pPr>
    </w:p>
    <w:p w14:paraId="151B0B4D" w14:textId="77777777" w:rsidR="00AE08C4" w:rsidRDefault="00AE08C4">
      <w:pPr>
        <w:pStyle w:val="BodyText"/>
        <w:rPr>
          <w:i/>
          <w:sz w:val="20"/>
        </w:rPr>
      </w:pPr>
    </w:p>
    <w:p w14:paraId="498D357B" w14:textId="77777777" w:rsidR="00AE08C4" w:rsidRDefault="00AE08C4">
      <w:pPr>
        <w:pStyle w:val="BodyText"/>
        <w:rPr>
          <w:i/>
          <w:sz w:val="20"/>
        </w:rPr>
      </w:pPr>
    </w:p>
    <w:p w14:paraId="4949857A" w14:textId="77777777" w:rsidR="00AE08C4" w:rsidRDefault="00AE08C4">
      <w:pPr>
        <w:pStyle w:val="BodyText"/>
        <w:rPr>
          <w:i/>
          <w:sz w:val="20"/>
        </w:rPr>
      </w:pPr>
    </w:p>
    <w:p w14:paraId="24927256" w14:textId="77777777" w:rsidR="00AE08C4" w:rsidRDefault="00AE08C4">
      <w:pPr>
        <w:pStyle w:val="BodyText"/>
        <w:rPr>
          <w:i/>
          <w:sz w:val="20"/>
        </w:rPr>
      </w:pPr>
    </w:p>
    <w:p w14:paraId="21391EFE" w14:textId="77777777" w:rsidR="00AE08C4" w:rsidRDefault="00AE08C4">
      <w:pPr>
        <w:pStyle w:val="BodyText"/>
        <w:rPr>
          <w:i/>
          <w:sz w:val="20"/>
        </w:rPr>
      </w:pPr>
    </w:p>
    <w:p w14:paraId="2766B045" w14:textId="77777777" w:rsidR="00AE08C4" w:rsidRDefault="00AE08C4">
      <w:pPr>
        <w:pStyle w:val="BodyText"/>
        <w:rPr>
          <w:i/>
          <w:sz w:val="20"/>
        </w:rPr>
      </w:pPr>
    </w:p>
    <w:p w14:paraId="2985112C" w14:textId="77777777" w:rsidR="00AE08C4" w:rsidRDefault="00AE08C4">
      <w:pPr>
        <w:pStyle w:val="BodyText"/>
        <w:rPr>
          <w:i/>
          <w:sz w:val="20"/>
        </w:rPr>
      </w:pPr>
    </w:p>
    <w:p w14:paraId="70F0911C" w14:textId="77777777" w:rsidR="00AE08C4" w:rsidRDefault="00AE08C4">
      <w:pPr>
        <w:pStyle w:val="BodyText"/>
        <w:rPr>
          <w:i/>
          <w:sz w:val="20"/>
        </w:rPr>
      </w:pPr>
    </w:p>
    <w:p w14:paraId="57FBCDFD" w14:textId="77777777" w:rsidR="00AE08C4" w:rsidRDefault="00AE08C4">
      <w:pPr>
        <w:pStyle w:val="BodyText"/>
        <w:rPr>
          <w:i/>
          <w:sz w:val="20"/>
        </w:rPr>
      </w:pPr>
    </w:p>
    <w:p w14:paraId="721A559F" w14:textId="77777777" w:rsidR="00AE08C4" w:rsidRDefault="00AE08C4">
      <w:pPr>
        <w:pStyle w:val="BodyText"/>
        <w:rPr>
          <w:i/>
          <w:sz w:val="20"/>
        </w:rPr>
      </w:pPr>
    </w:p>
    <w:p w14:paraId="7753B87C" w14:textId="77777777" w:rsidR="00AE08C4" w:rsidRDefault="00AE08C4">
      <w:pPr>
        <w:pStyle w:val="BodyText"/>
        <w:rPr>
          <w:i/>
          <w:sz w:val="20"/>
        </w:rPr>
      </w:pPr>
    </w:p>
    <w:p w14:paraId="61D95379" w14:textId="77777777" w:rsidR="00AE08C4" w:rsidRDefault="00AE08C4">
      <w:pPr>
        <w:pStyle w:val="BodyText"/>
        <w:rPr>
          <w:i/>
          <w:sz w:val="20"/>
        </w:rPr>
      </w:pPr>
    </w:p>
    <w:p w14:paraId="69642E7C" w14:textId="77777777" w:rsidR="00AE08C4" w:rsidRDefault="00AE08C4">
      <w:pPr>
        <w:pStyle w:val="BodyText"/>
        <w:rPr>
          <w:i/>
          <w:sz w:val="20"/>
        </w:rPr>
      </w:pPr>
    </w:p>
    <w:p w14:paraId="4358299B" w14:textId="77777777" w:rsidR="00AE08C4" w:rsidRDefault="00AE08C4">
      <w:pPr>
        <w:pStyle w:val="BodyText"/>
        <w:rPr>
          <w:i/>
          <w:sz w:val="20"/>
        </w:rPr>
      </w:pPr>
    </w:p>
    <w:p w14:paraId="284101FE" w14:textId="77777777" w:rsidR="00AE08C4" w:rsidRDefault="00AE08C4">
      <w:pPr>
        <w:pStyle w:val="BodyText"/>
        <w:rPr>
          <w:i/>
          <w:sz w:val="20"/>
        </w:rPr>
      </w:pPr>
    </w:p>
    <w:p w14:paraId="60F62937" w14:textId="77777777" w:rsidR="00AE08C4" w:rsidRDefault="00AE08C4">
      <w:pPr>
        <w:pStyle w:val="BodyText"/>
        <w:rPr>
          <w:i/>
          <w:sz w:val="20"/>
        </w:rPr>
      </w:pPr>
    </w:p>
    <w:p w14:paraId="5E9808CE" w14:textId="77777777" w:rsidR="00AE08C4" w:rsidRDefault="00AE08C4">
      <w:pPr>
        <w:pStyle w:val="BodyText"/>
        <w:rPr>
          <w:i/>
          <w:sz w:val="20"/>
        </w:rPr>
      </w:pPr>
    </w:p>
    <w:p w14:paraId="0996C146" w14:textId="77777777" w:rsidR="00AE08C4" w:rsidRDefault="00AE08C4">
      <w:pPr>
        <w:pStyle w:val="BodyText"/>
        <w:rPr>
          <w:i/>
          <w:sz w:val="20"/>
        </w:rPr>
      </w:pPr>
    </w:p>
    <w:p w14:paraId="77814642" w14:textId="77777777" w:rsidR="00AE08C4" w:rsidRDefault="00AE08C4">
      <w:pPr>
        <w:pStyle w:val="BodyText"/>
        <w:rPr>
          <w:i/>
          <w:sz w:val="20"/>
        </w:rPr>
      </w:pPr>
    </w:p>
    <w:p w14:paraId="35715C25" w14:textId="77777777" w:rsidR="00AE08C4" w:rsidRDefault="00AE08C4">
      <w:pPr>
        <w:pStyle w:val="BodyText"/>
        <w:rPr>
          <w:i/>
          <w:sz w:val="20"/>
        </w:rPr>
      </w:pPr>
    </w:p>
    <w:p w14:paraId="58E8CF2E" w14:textId="77777777" w:rsidR="00AE08C4" w:rsidRDefault="00AE08C4">
      <w:pPr>
        <w:pStyle w:val="BodyText"/>
        <w:rPr>
          <w:i/>
          <w:sz w:val="20"/>
        </w:rPr>
      </w:pPr>
    </w:p>
    <w:p w14:paraId="76610C72" w14:textId="77777777" w:rsidR="00AE08C4" w:rsidRDefault="00AE08C4">
      <w:pPr>
        <w:pStyle w:val="BodyText"/>
        <w:rPr>
          <w:i/>
          <w:sz w:val="20"/>
        </w:rPr>
      </w:pPr>
    </w:p>
    <w:p w14:paraId="04277178" w14:textId="77777777" w:rsidR="00AE08C4" w:rsidRDefault="00AE08C4">
      <w:pPr>
        <w:pStyle w:val="BodyText"/>
        <w:rPr>
          <w:i/>
          <w:sz w:val="20"/>
        </w:rPr>
      </w:pPr>
    </w:p>
    <w:p w14:paraId="7838CC67" w14:textId="77777777" w:rsidR="00AE08C4" w:rsidRDefault="00AE08C4">
      <w:pPr>
        <w:pStyle w:val="BodyText"/>
        <w:rPr>
          <w:i/>
          <w:sz w:val="20"/>
        </w:rPr>
      </w:pPr>
    </w:p>
    <w:p w14:paraId="36067405" w14:textId="77777777" w:rsidR="00AE08C4" w:rsidRDefault="00AE08C4">
      <w:pPr>
        <w:pStyle w:val="BodyText"/>
        <w:rPr>
          <w:i/>
          <w:sz w:val="20"/>
        </w:rPr>
      </w:pPr>
    </w:p>
    <w:p w14:paraId="309DAD2C" w14:textId="77777777" w:rsidR="00AE08C4" w:rsidRDefault="00AE08C4">
      <w:pPr>
        <w:pStyle w:val="BodyText"/>
        <w:rPr>
          <w:i/>
          <w:sz w:val="20"/>
        </w:rPr>
      </w:pPr>
    </w:p>
    <w:p w14:paraId="2C094428" w14:textId="77777777" w:rsidR="00AE08C4" w:rsidRDefault="00AE08C4">
      <w:pPr>
        <w:pStyle w:val="BodyText"/>
        <w:rPr>
          <w:i/>
          <w:sz w:val="20"/>
        </w:rPr>
      </w:pPr>
    </w:p>
    <w:p w14:paraId="7A887DD5" w14:textId="77777777" w:rsidR="00AE08C4" w:rsidRDefault="00AE08C4">
      <w:pPr>
        <w:pStyle w:val="BodyText"/>
        <w:rPr>
          <w:i/>
          <w:sz w:val="20"/>
        </w:rPr>
      </w:pPr>
    </w:p>
    <w:p w14:paraId="61504345" w14:textId="77777777" w:rsidR="00AE08C4" w:rsidRDefault="00AE08C4">
      <w:pPr>
        <w:pStyle w:val="BodyText"/>
        <w:rPr>
          <w:i/>
          <w:sz w:val="20"/>
        </w:rPr>
      </w:pPr>
    </w:p>
    <w:p w14:paraId="5F31A7AC" w14:textId="77777777" w:rsidR="00AE08C4" w:rsidRDefault="00AE08C4">
      <w:pPr>
        <w:pStyle w:val="BodyText"/>
        <w:rPr>
          <w:i/>
          <w:sz w:val="20"/>
        </w:rPr>
      </w:pPr>
    </w:p>
    <w:p w14:paraId="0EFA6A1F" w14:textId="77777777" w:rsidR="00AE08C4" w:rsidRDefault="00AE08C4">
      <w:pPr>
        <w:pStyle w:val="BodyText"/>
        <w:rPr>
          <w:i/>
          <w:sz w:val="20"/>
        </w:rPr>
      </w:pPr>
    </w:p>
    <w:p w14:paraId="37C5EBAC" w14:textId="77777777" w:rsidR="00AE08C4" w:rsidRDefault="00AE08C4">
      <w:pPr>
        <w:pStyle w:val="BodyText"/>
        <w:rPr>
          <w:i/>
          <w:sz w:val="20"/>
        </w:rPr>
      </w:pPr>
    </w:p>
    <w:p w14:paraId="3EEEF91B" w14:textId="77777777" w:rsidR="00AE08C4" w:rsidRDefault="00AE08C4">
      <w:pPr>
        <w:pStyle w:val="BodyText"/>
        <w:rPr>
          <w:i/>
          <w:sz w:val="20"/>
        </w:rPr>
      </w:pPr>
    </w:p>
    <w:p w14:paraId="70D74F8E" w14:textId="77777777" w:rsidR="00AE08C4" w:rsidRDefault="00AE08C4">
      <w:pPr>
        <w:pStyle w:val="BodyText"/>
        <w:rPr>
          <w:i/>
          <w:sz w:val="20"/>
        </w:rPr>
      </w:pPr>
    </w:p>
    <w:p w14:paraId="0F13F71F" w14:textId="77777777" w:rsidR="00AE08C4" w:rsidRDefault="00AE08C4">
      <w:pPr>
        <w:pStyle w:val="BodyText"/>
        <w:rPr>
          <w:i/>
          <w:sz w:val="20"/>
        </w:rPr>
      </w:pPr>
    </w:p>
    <w:p w14:paraId="0BFC0F8C" w14:textId="77777777" w:rsidR="00AE08C4" w:rsidRDefault="00AE08C4">
      <w:pPr>
        <w:pStyle w:val="BodyText"/>
        <w:rPr>
          <w:i/>
          <w:sz w:val="20"/>
        </w:rPr>
      </w:pPr>
    </w:p>
    <w:p w14:paraId="5FED1293" w14:textId="77777777" w:rsidR="00AE08C4" w:rsidRDefault="00AE08C4">
      <w:pPr>
        <w:pStyle w:val="BodyText"/>
        <w:rPr>
          <w:i/>
          <w:sz w:val="20"/>
        </w:rPr>
      </w:pPr>
    </w:p>
    <w:p w14:paraId="24EE6B65" w14:textId="77777777" w:rsidR="00AE08C4" w:rsidRDefault="00AE08C4">
      <w:pPr>
        <w:pStyle w:val="BodyText"/>
        <w:rPr>
          <w:i/>
          <w:sz w:val="20"/>
        </w:rPr>
      </w:pPr>
    </w:p>
    <w:p w14:paraId="699ABAEF" w14:textId="77777777" w:rsidR="00AE08C4" w:rsidRDefault="00AE08C4">
      <w:pPr>
        <w:pStyle w:val="BodyText"/>
        <w:rPr>
          <w:i/>
          <w:sz w:val="20"/>
        </w:rPr>
      </w:pPr>
    </w:p>
    <w:p w14:paraId="70025A55" w14:textId="77777777" w:rsidR="00AE08C4" w:rsidRDefault="00AE08C4">
      <w:pPr>
        <w:pStyle w:val="BodyText"/>
        <w:rPr>
          <w:i/>
          <w:sz w:val="20"/>
        </w:rPr>
      </w:pPr>
    </w:p>
    <w:p w14:paraId="25506438" w14:textId="77777777" w:rsidR="00AE08C4" w:rsidRDefault="00AE08C4">
      <w:pPr>
        <w:pStyle w:val="BodyText"/>
        <w:rPr>
          <w:i/>
          <w:sz w:val="20"/>
        </w:rPr>
      </w:pPr>
    </w:p>
    <w:p w14:paraId="18217D35" w14:textId="77777777" w:rsidR="00AE08C4" w:rsidRDefault="00AE08C4">
      <w:pPr>
        <w:pStyle w:val="BodyText"/>
        <w:rPr>
          <w:i/>
          <w:sz w:val="20"/>
        </w:rPr>
      </w:pPr>
    </w:p>
    <w:p w14:paraId="57CD0AF5" w14:textId="77777777" w:rsidR="00AE08C4" w:rsidRDefault="00AE08C4">
      <w:pPr>
        <w:pStyle w:val="BodyText"/>
        <w:rPr>
          <w:i/>
          <w:sz w:val="20"/>
        </w:rPr>
      </w:pPr>
    </w:p>
    <w:p w14:paraId="702A3563" w14:textId="77777777" w:rsidR="00AE08C4" w:rsidRDefault="00AE08C4">
      <w:pPr>
        <w:pStyle w:val="BodyText"/>
        <w:rPr>
          <w:i/>
          <w:sz w:val="20"/>
        </w:rPr>
      </w:pPr>
    </w:p>
    <w:p w14:paraId="1E4F15BF" w14:textId="77777777" w:rsidR="00AE08C4" w:rsidRDefault="00AE08C4">
      <w:pPr>
        <w:pStyle w:val="BodyText"/>
        <w:rPr>
          <w:i/>
          <w:sz w:val="20"/>
        </w:rPr>
      </w:pPr>
    </w:p>
    <w:p w14:paraId="5B0200C0" w14:textId="77777777" w:rsidR="00AE08C4" w:rsidRDefault="00AE08C4">
      <w:pPr>
        <w:pStyle w:val="BodyText"/>
        <w:rPr>
          <w:i/>
          <w:sz w:val="20"/>
        </w:rPr>
      </w:pPr>
    </w:p>
    <w:p w14:paraId="76E3A0B6" w14:textId="77777777" w:rsidR="00AE08C4" w:rsidRDefault="00AE08C4">
      <w:pPr>
        <w:pStyle w:val="BodyText"/>
        <w:rPr>
          <w:i/>
          <w:sz w:val="20"/>
        </w:rPr>
      </w:pPr>
    </w:p>
    <w:p w14:paraId="15995397" w14:textId="77777777" w:rsidR="00AE08C4" w:rsidRDefault="00AE08C4">
      <w:pPr>
        <w:pStyle w:val="BodyText"/>
        <w:rPr>
          <w:i/>
          <w:sz w:val="20"/>
        </w:rPr>
      </w:pPr>
    </w:p>
    <w:p w14:paraId="362889DE" w14:textId="77777777" w:rsidR="00AE08C4" w:rsidRDefault="00AE08C4">
      <w:pPr>
        <w:pStyle w:val="BodyText"/>
        <w:rPr>
          <w:i/>
          <w:sz w:val="20"/>
        </w:rPr>
      </w:pPr>
    </w:p>
    <w:p w14:paraId="4C3DE476" w14:textId="77777777" w:rsidR="00AE08C4" w:rsidRDefault="00AE08C4">
      <w:pPr>
        <w:pStyle w:val="BodyText"/>
        <w:rPr>
          <w:i/>
          <w:sz w:val="20"/>
        </w:rPr>
      </w:pPr>
    </w:p>
    <w:p w14:paraId="7D726266" w14:textId="77777777" w:rsidR="00AE08C4" w:rsidRDefault="00AE08C4">
      <w:pPr>
        <w:pStyle w:val="BodyText"/>
        <w:rPr>
          <w:i/>
          <w:sz w:val="20"/>
        </w:rPr>
      </w:pPr>
    </w:p>
    <w:p w14:paraId="2835D399" w14:textId="77777777" w:rsidR="00AE08C4" w:rsidRDefault="00AE08C4">
      <w:pPr>
        <w:pStyle w:val="BodyText"/>
        <w:rPr>
          <w:i/>
          <w:sz w:val="20"/>
        </w:rPr>
      </w:pPr>
    </w:p>
    <w:p w14:paraId="340367D4" w14:textId="77777777" w:rsidR="00AE08C4" w:rsidRDefault="00AE08C4">
      <w:pPr>
        <w:pStyle w:val="BodyText"/>
        <w:rPr>
          <w:i/>
          <w:sz w:val="20"/>
        </w:rPr>
      </w:pPr>
    </w:p>
    <w:p w14:paraId="01B3024B" w14:textId="77777777" w:rsidR="00AE08C4" w:rsidRDefault="00AE08C4">
      <w:pPr>
        <w:pStyle w:val="BodyText"/>
        <w:rPr>
          <w:i/>
          <w:sz w:val="20"/>
        </w:rPr>
      </w:pPr>
    </w:p>
    <w:p w14:paraId="4B6B954B" w14:textId="77777777" w:rsidR="00AE08C4" w:rsidRDefault="00AE08C4">
      <w:pPr>
        <w:pStyle w:val="BodyText"/>
        <w:spacing w:before="11"/>
        <w:rPr>
          <w:i/>
          <w:sz w:val="17"/>
        </w:rPr>
      </w:pPr>
    </w:p>
    <w:p w14:paraId="794B31DE" w14:textId="77777777" w:rsidR="00AE08C4" w:rsidRDefault="002067E5">
      <w:pPr>
        <w:tabs>
          <w:tab w:val="left" w:pos="2868"/>
          <w:tab w:val="left" w:pos="7690"/>
        </w:tabs>
        <w:spacing w:before="91"/>
        <w:ind w:left="3753" w:right="934" w:hanging="3534"/>
        <w:rPr>
          <w:sz w:val="20"/>
        </w:rPr>
      </w:pPr>
      <w:r>
        <w:rPr>
          <w:sz w:val="20"/>
        </w:rPr>
        <w:t>ii</w:t>
      </w:r>
      <w:r>
        <w:rPr>
          <w:sz w:val="20"/>
        </w:rPr>
        <w:tab/>
        <w:t>Clinical Procedures (CP) V2.0</w:t>
      </w:r>
      <w:r>
        <w:rPr>
          <w:spacing w:val="-12"/>
          <w:sz w:val="20"/>
        </w:rPr>
        <w:t xml:space="preserve"> </w:t>
      </w:r>
      <w:r>
        <w:rPr>
          <w:sz w:val="20"/>
        </w:rPr>
        <w:t>Flowsheets</w:t>
      </w:r>
      <w:r>
        <w:rPr>
          <w:spacing w:val="-3"/>
          <w:sz w:val="20"/>
        </w:rPr>
        <w:t xml:space="preserve"> </w:t>
      </w:r>
      <w:r>
        <w:rPr>
          <w:sz w:val="20"/>
        </w:rPr>
        <w:t>Module</w:t>
      </w:r>
      <w:r>
        <w:rPr>
          <w:sz w:val="20"/>
        </w:rPr>
        <w:tab/>
        <w:t xml:space="preserve">February </w:t>
      </w:r>
      <w:r>
        <w:rPr>
          <w:spacing w:val="-4"/>
          <w:sz w:val="20"/>
        </w:rPr>
        <w:t xml:space="preserve">2012 </w:t>
      </w:r>
      <w:r>
        <w:rPr>
          <w:sz w:val="20"/>
        </w:rPr>
        <w:t>(MD*1.0*23) Release</w:t>
      </w:r>
      <w:r>
        <w:rPr>
          <w:spacing w:val="1"/>
          <w:sz w:val="20"/>
        </w:rPr>
        <w:t xml:space="preserve"> </w:t>
      </w:r>
      <w:r>
        <w:rPr>
          <w:sz w:val="20"/>
        </w:rPr>
        <w:t>Notes</w:t>
      </w:r>
    </w:p>
    <w:p w14:paraId="54C4F766" w14:textId="77777777" w:rsidR="00AE08C4" w:rsidRDefault="00AE08C4">
      <w:pPr>
        <w:rPr>
          <w:sz w:val="20"/>
        </w:rPr>
        <w:sectPr w:rsidR="00AE08C4">
          <w:footerReference w:type="default" r:id="rId9"/>
          <w:pgSz w:w="12240" w:h="15840"/>
          <w:pgMar w:top="1360" w:right="1220" w:bottom="280" w:left="1220" w:header="0" w:footer="0" w:gutter="0"/>
          <w:cols w:space="720"/>
        </w:sectPr>
      </w:pPr>
    </w:p>
    <w:p w14:paraId="2353F7AC" w14:textId="77777777" w:rsidR="00AE08C4" w:rsidRDefault="00AE08C4">
      <w:pPr>
        <w:pStyle w:val="BodyText"/>
        <w:rPr>
          <w:sz w:val="20"/>
        </w:rPr>
      </w:pPr>
    </w:p>
    <w:p w14:paraId="67513F60" w14:textId="77777777" w:rsidR="00AE08C4" w:rsidRDefault="002067E5">
      <w:pPr>
        <w:spacing w:before="220"/>
        <w:ind w:left="220"/>
        <w:rPr>
          <w:rFonts w:ascii="Arial"/>
          <w:b/>
          <w:sz w:val="36"/>
        </w:rPr>
      </w:pPr>
      <w:r>
        <w:rPr>
          <w:rFonts w:ascii="Arial"/>
          <w:b/>
          <w:sz w:val="36"/>
        </w:rPr>
        <w:t>Table of Contents</w:t>
      </w:r>
    </w:p>
    <w:sdt>
      <w:sdtPr>
        <w:rPr>
          <w:sz w:val="22"/>
          <w:szCs w:val="22"/>
        </w:rPr>
        <w:id w:val="-2052528997"/>
        <w:docPartObj>
          <w:docPartGallery w:val="Table of Contents"/>
          <w:docPartUnique/>
        </w:docPartObj>
      </w:sdtPr>
      <w:sdtEndPr/>
      <w:sdtContent>
        <w:p w14:paraId="32F92110" w14:textId="77777777" w:rsidR="00AE08C4" w:rsidRDefault="002067E5">
          <w:pPr>
            <w:pStyle w:val="TOC1"/>
            <w:tabs>
              <w:tab w:val="right" w:leader="dot" w:pos="9572"/>
            </w:tabs>
            <w:spacing w:before="237"/>
          </w:pPr>
          <w:r>
            <w:fldChar w:fldCharType="begin"/>
          </w:r>
          <w:r>
            <w:instrText xml:space="preserve">TOC \o "1-2" \h \z \u </w:instrText>
          </w:r>
          <w:r>
            <w:fldChar w:fldCharType="separate"/>
          </w:r>
          <w:hyperlink w:anchor="_bookmark0" w:history="1">
            <w:r>
              <w:t>Release Notes for</w:t>
            </w:r>
            <w:r>
              <w:rPr>
                <w:spacing w:val="-2"/>
              </w:rPr>
              <w:t xml:space="preserve"> </w:t>
            </w:r>
            <w:r>
              <w:t>Patch</w:t>
            </w:r>
            <w:r>
              <w:rPr>
                <w:spacing w:val="1"/>
              </w:rPr>
              <w:t xml:space="preserve"> </w:t>
            </w:r>
            <w:r>
              <w:t>MD*1.0*23</w:t>
            </w:r>
            <w:r>
              <w:tab/>
              <w:t>1</w:t>
            </w:r>
          </w:hyperlink>
        </w:p>
        <w:p w14:paraId="1A763ED4" w14:textId="77777777" w:rsidR="00AE08C4" w:rsidRDefault="00BB6953">
          <w:pPr>
            <w:pStyle w:val="TOC2"/>
            <w:tabs>
              <w:tab w:val="right" w:leader="dot" w:pos="9572"/>
            </w:tabs>
            <w:spacing w:before="7" w:line="250" w:lineRule="exact"/>
          </w:pPr>
          <w:hyperlink w:anchor="_bookmark1" w:history="1">
            <w:r w:rsidR="002067E5">
              <w:t>Overview</w:t>
            </w:r>
            <w:r w:rsidR="002067E5">
              <w:tab/>
              <w:t>1</w:t>
            </w:r>
          </w:hyperlink>
        </w:p>
        <w:p w14:paraId="45550097" w14:textId="77777777" w:rsidR="00AE08C4" w:rsidRDefault="00BB6953">
          <w:pPr>
            <w:pStyle w:val="TOC1"/>
            <w:tabs>
              <w:tab w:val="right" w:leader="dot" w:pos="9572"/>
            </w:tabs>
            <w:spacing w:line="273" w:lineRule="exact"/>
          </w:pPr>
          <w:hyperlink w:anchor="_bookmark2" w:history="1">
            <w:r w:rsidR="002067E5">
              <w:t>Patch</w:t>
            </w:r>
            <w:r w:rsidR="002067E5">
              <w:rPr>
                <w:spacing w:val="-1"/>
              </w:rPr>
              <w:t xml:space="preserve"> </w:t>
            </w:r>
            <w:r w:rsidR="002067E5">
              <w:t>MD*1.0*23 Features</w:t>
            </w:r>
            <w:r w:rsidR="002067E5">
              <w:tab/>
              <w:t>1</w:t>
            </w:r>
          </w:hyperlink>
        </w:p>
        <w:p w14:paraId="690475D2" w14:textId="77777777" w:rsidR="00AE08C4" w:rsidRDefault="00BB6953">
          <w:pPr>
            <w:pStyle w:val="TOC1"/>
            <w:tabs>
              <w:tab w:val="right" w:leader="dot" w:pos="9572"/>
            </w:tabs>
          </w:pPr>
          <w:hyperlink w:anchor="_bookmark3" w:history="1">
            <w:r w:rsidR="002067E5">
              <w:t>Implementation</w:t>
            </w:r>
            <w:r w:rsidR="002067E5">
              <w:rPr>
                <w:spacing w:val="-1"/>
              </w:rPr>
              <w:t xml:space="preserve"> </w:t>
            </w:r>
            <w:r w:rsidR="002067E5">
              <w:t>Considerations</w:t>
            </w:r>
            <w:r w:rsidR="002067E5">
              <w:tab/>
              <w:t>3</w:t>
            </w:r>
          </w:hyperlink>
        </w:p>
        <w:p w14:paraId="6B28F8BD" w14:textId="77777777" w:rsidR="00AE08C4" w:rsidRDefault="00BB6953">
          <w:pPr>
            <w:pStyle w:val="TOC2"/>
            <w:tabs>
              <w:tab w:val="right" w:leader="dot" w:pos="9572"/>
            </w:tabs>
            <w:spacing w:before="6"/>
          </w:pPr>
          <w:hyperlink w:anchor="_bookmark4" w:history="1">
            <w:r w:rsidR="002067E5">
              <w:t>Installation</w:t>
            </w:r>
            <w:r w:rsidR="002067E5">
              <w:tab/>
              <w:t>3</w:t>
            </w:r>
          </w:hyperlink>
        </w:p>
        <w:p w14:paraId="1DDB69BE" w14:textId="77777777" w:rsidR="00AE08C4" w:rsidRDefault="00BB6953">
          <w:pPr>
            <w:pStyle w:val="TOC2"/>
            <w:tabs>
              <w:tab w:val="right" w:leader="dot" w:pos="9572"/>
            </w:tabs>
          </w:pPr>
          <w:hyperlink w:anchor="_bookmark5" w:history="1">
            <w:r w:rsidR="002067E5">
              <w:t>Validated Patient</w:t>
            </w:r>
            <w:r w:rsidR="002067E5">
              <w:rPr>
                <w:spacing w:val="-5"/>
              </w:rPr>
              <w:t xml:space="preserve"> </w:t>
            </w:r>
            <w:r w:rsidR="002067E5">
              <w:t>Monitoring Devices</w:t>
            </w:r>
            <w:r w:rsidR="002067E5">
              <w:tab/>
              <w:t>4</w:t>
            </w:r>
          </w:hyperlink>
        </w:p>
        <w:p w14:paraId="057453E7" w14:textId="77777777" w:rsidR="00AE08C4" w:rsidRDefault="00BB6953">
          <w:pPr>
            <w:pStyle w:val="TOC2"/>
            <w:tabs>
              <w:tab w:val="right" w:leader="dot" w:pos="9572"/>
            </w:tabs>
            <w:spacing w:before="2" w:line="240" w:lineRule="auto"/>
          </w:pPr>
          <w:hyperlink w:anchor="_bookmark6" w:history="1">
            <w:r w:rsidR="002067E5">
              <w:t>Additional Medical</w:t>
            </w:r>
            <w:r w:rsidR="002067E5">
              <w:rPr>
                <w:spacing w:val="-2"/>
              </w:rPr>
              <w:t xml:space="preserve"> </w:t>
            </w:r>
            <w:r w:rsidR="002067E5">
              <w:t>Monitoring Devices</w:t>
            </w:r>
            <w:r w:rsidR="002067E5">
              <w:tab/>
              <w:t>5</w:t>
            </w:r>
          </w:hyperlink>
        </w:p>
        <w:p w14:paraId="5AC36908" w14:textId="77777777" w:rsidR="00AE08C4" w:rsidRDefault="002067E5">
          <w:r>
            <w:fldChar w:fldCharType="end"/>
          </w:r>
        </w:p>
      </w:sdtContent>
    </w:sdt>
    <w:p w14:paraId="15A146E1" w14:textId="77777777" w:rsidR="00AE08C4" w:rsidRDefault="00AE08C4">
      <w:pPr>
        <w:sectPr w:rsidR="00AE08C4">
          <w:footerReference w:type="default" r:id="rId10"/>
          <w:pgSz w:w="12240" w:h="15840"/>
          <w:pgMar w:top="1500" w:right="1220" w:bottom="1160" w:left="1220" w:header="0" w:footer="976" w:gutter="0"/>
          <w:cols w:space="720"/>
        </w:sectPr>
      </w:pPr>
    </w:p>
    <w:p w14:paraId="6728D996" w14:textId="77777777" w:rsidR="00AE08C4" w:rsidRDefault="002067E5">
      <w:pPr>
        <w:spacing w:before="208"/>
        <w:ind w:left="896" w:right="896"/>
        <w:jc w:val="center"/>
        <w:rPr>
          <w:i/>
          <w:sz w:val="24"/>
        </w:rPr>
      </w:pPr>
      <w:r>
        <w:rPr>
          <w:i/>
          <w:sz w:val="24"/>
        </w:rPr>
        <w:lastRenderedPageBreak/>
        <w:t>This page intentionally left blank for double-sided printing.</w:t>
      </w:r>
    </w:p>
    <w:p w14:paraId="25304402" w14:textId="77777777" w:rsidR="00AE08C4" w:rsidRDefault="00AE08C4">
      <w:pPr>
        <w:jc w:val="center"/>
        <w:rPr>
          <w:sz w:val="24"/>
        </w:rPr>
        <w:sectPr w:rsidR="00AE08C4">
          <w:footerReference w:type="default" r:id="rId11"/>
          <w:pgSz w:w="12240" w:h="15840"/>
          <w:pgMar w:top="1500" w:right="1220" w:bottom="1160" w:left="1220" w:header="0" w:footer="976" w:gutter="0"/>
          <w:cols w:space="720"/>
        </w:sectPr>
      </w:pPr>
    </w:p>
    <w:p w14:paraId="47ADC583" w14:textId="77777777" w:rsidR="00AE08C4" w:rsidRDefault="00AE08C4">
      <w:pPr>
        <w:pStyle w:val="BodyText"/>
        <w:spacing w:before="1"/>
        <w:rPr>
          <w:i/>
          <w:sz w:val="39"/>
        </w:rPr>
      </w:pPr>
    </w:p>
    <w:p w14:paraId="707F02B0" w14:textId="77777777" w:rsidR="00AE08C4" w:rsidRDefault="002067E5">
      <w:pPr>
        <w:pStyle w:val="Heading1"/>
      </w:pPr>
      <w:bookmarkStart w:id="0" w:name="_bookmark0"/>
      <w:bookmarkEnd w:id="0"/>
      <w:r>
        <w:t>Release Notes for Patch MD*1.0*23</w:t>
      </w:r>
    </w:p>
    <w:p w14:paraId="5396FA72" w14:textId="77777777" w:rsidR="00AE08C4" w:rsidRDefault="002067E5">
      <w:pPr>
        <w:pStyle w:val="BodyText"/>
        <w:spacing w:before="237"/>
        <w:ind w:left="220" w:right="427"/>
      </w:pPr>
      <w:r>
        <w:t>Patch MD*1.0*23 releases fixes and updates to the CP Flowsheet and CP Console applications that were initially released as part of MD*1.0*16.</w:t>
      </w:r>
    </w:p>
    <w:p w14:paraId="6212BF74" w14:textId="77777777" w:rsidR="00AE08C4" w:rsidRDefault="00AE08C4">
      <w:pPr>
        <w:pStyle w:val="BodyText"/>
        <w:spacing w:before="2"/>
        <w:rPr>
          <w:sz w:val="21"/>
        </w:rPr>
      </w:pPr>
    </w:p>
    <w:p w14:paraId="0447AF65" w14:textId="77777777" w:rsidR="00AE08C4" w:rsidRDefault="002067E5">
      <w:pPr>
        <w:pStyle w:val="Heading2"/>
      </w:pPr>
      <w:bookmarkStart w:id="1" w:name="_bookmark1"/>
      <w:bookmarkEnd w:id="1"/>
      <w:r>
        <w:t>Overview</w:t>
      </w:r>
    </w:p>
    <w:p w14:paraId="4D205888" w14:textId="77777777" w:rsidR="00AE08C4" w:rsidRDefault="002067E5">
      <w:pPr>
        <w:pStyle w:val="BodyText"/>
        <w:spacing w:before="239"/>
        <w:ind w:left="220" w:right="761"/>
      </w:pPr>
      <w:r>
        <w:t>MD*1.0*23 releases fixes and updates to CP Flowsheets and CP Console. See below for an individual list of fixes released.</w:t>
      </w:r>
    </w:p>
    <w:p w14:paraId="6CF14500" w14:textId="77777777" w:rsidR="00AE08C4" w:rsidRDefault="00AE08C4">
      <w:pPr>
        <w:pStyle w:val="BodyText"/>
        <w:rPr>
          <w:sz w:val="21"/>
        </w:rPr>
      </w:pPr>
    </w:p>
    <w:p w14:paraId="7EF10AE8" w14:textId="77777777" w:rsidR="00AE08C4" w:rsidRDefault="002067E5">
      <w:pPr>
        <w:pStyle w:val="Heading1"/>
      </w:pPr>
      <w:bookmarkStart w:id="2" w:name="_bookmark2"/>
      <w:bookmarkEnd w:id="2"/>
      <w:r>
        <w:t>Patch MD*1.0*23 Features</w:t>
      </w:r>
    </w:p>
    <w:p w14:paraId="003C5481" w14:textId="77777777" w:rsidR="00AE08C4" w:rsidRDefault="00AE08C4">
      <w:pPr>
        <w:pStyle w:val="BodyText"/>
        <w:spacing w:before="4"/>
        <w:rPr>
          <w:rFonts w:ascii="Arial"/>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1"/>
        <w:gridCol w:w="3963"/>
        <w:gridCol w:w="4143"/>
      </w:tblGrid>
      <w:tr w:rsidR="00AE08C4" w14:paraId="1B0A2CBF" w14:textId="77777777">
        <w:trPr>
          <w:trHeight w:val="275"/>
        </w:trPr>
        <w:tc>
          <w:tcPr>
            <w:tcW w:w="1471" w:type="dxa"/>
          </w:tcPr>
          <w:p w14:paraId="258293D5" w14:textId="77777777" w:rsidR="00AE08C4" w:rsidRDefault="002067E5">
            <w:pPr>
              <w:pStyle w:val="TableParagraph"/>
              <w:spacing w:line="256" w:lineRule="exact"/>
              <w:rPr>
                <w:b/>
                <w:sz w:val="24"/>
              </w:rPr>
            </w:pPr>
            <w:r>
              <w:rPr>
                <w:b/>
                <w:sz w:val="24"/>
              </w:rPr>
              <w:t>Identifier</w:t>
            </w:r>
          </w:p>
        </w:tc>
        <w:tc>
          <w:tcPr>
            <w:tcW w:w="3963" w:type="dxa"/>
          </w:tcPr>
          <w:p w14:paraId="1D6E2A59" w14:textId="77777777" w:rsidR="00AE08C4" w:rsidRDefault="002067E5">
            <w:pPr>
              <w:pStyle w:val="TableParagraph"/>
              <w:spacing w:line="256" w:lineRule="exact"/>
              <w:rPr>
                <w:b/>
                <w:sz w:val="24"/>
              </w:rPr>
            </w:pPr>
            <w:r>
              <w:rPr>
                <w:b/>
                <w:sz w:val="24"/>
              </w:rPr>
              <w:t>Description</w:t>
            </w:r>
          </w:p>
        </w:tc>
        <w:tc>
          <w:tcPr>
            <w:tcW w:w="4143" w:type="dxa"/>
          </w:tcPr>
          <w:p w14:paraId="265B63A3" w14:textId="77777777" w:rsidR="00AE08C4" w:rsidRDefault="002067E5">
            <w:pPr>
              <w:pStyle w:val="TableParagraph"/>
              <w:spacing w:line="256" w:lineRule="exact"/>
              <w:ind w:left="108"/>
              <w:rPr>
                <w:b/>
                <w:sz w:val="24"/>
              </w:rPr>
            </w:pPr>
            <w:r>
              <w:rPr>
                <w:b/>
                <w:sz w:val="24"/>
              </w:rPr>
              <w:t>Fix</w:t>
            </w:r>
          </w:p>
        </w:tc>
      </w:tr>
      <w:tr w:rsidR="00AE08C4" w14:paraId="520D1BED" w14:textId="77777777">
        <w:trPr>
          <w:trHeight w:val="8004"/>
        </w:trPr>
        <w:tc>
          <w:tcPr>
            <w:tcW w:w="1471" w:type="dxa"/>
          </w:tcPr>
          <w:p w14:paraId="70636EA1" w14:textId="77777777" w:rsidR="00AE08C4" w:rsidRDefault="002067E5">
            <w:pPr>
              <w:pStyle w:val="TableParagraph"/>
              <w:spacing w:line="270" w:lineRule="exact"/>
              <w:rPr>
                <w:sz w:val="24"/>
              </w:rPr>
            </w:pPr>
            <w:r>
              <w:rPr>
                <w:sz w:val="24"/>
              </w:rPr>
              <w:t>CQ680</w:t>
            </w:r>
          </w:p>
        </w:tc>
        <w:tc>
          <w:tcPr>
            <w:tcW w:w="3963" w:type="dxa"/>
          </w:tcPr>
          <w:p w14:paraId="31980F20" w14:textId="77777777" w:rsidR="00AE08C4" w:rsidRDefault="002067E5">
            <w:pPr>
              <w:pStyle w:val="TableParagraph"/>
              <w:ind w:right="100"/>
              <w:rPr>
                <w:sz w:val="24"/>
              </w:rPr>
            </w:pPr>
            <w:r>
              <w:rPr>
                <w:sz w:val="24"/>
              </w:rPr>
              <w:t>General changes to permissions/access privileges</w:t>
            </w:r>
          </w:p>
        </w:tc>
        <w:tc>
          <w:tcPr>
            <w:tcW w:w="4143" w:type="dxa"/>
          </w:tcPr>
          <w:p w14:paraId="31890330" w14:textId="77777777" w:rsidR="00AE08C4" w:rsidRDefault="002067E5">
            <w:pPr>
              <w:pStyle w:val="TableParagraph"/>
              <w:numPr>
                <w:ilvl w:val="0"/>
                <w:numId w:val="1"/>
              </w:numPr>
              <w:tabs>
                <w:tab w:val="left" w:pos="370"/>
              </w:tabs>
              <w:ind w:right="151" w:firstLine="0"/>
              <w:rPr>
                <w:sz w:val="24"/>
              </w:rPr>
            </w:pPr>
            <w:r>
              <w:rPr>
                <w:sz w:val="24"/>
              </w:rPr>
              <w:t xml:space="preserve">Instead of hiding the HL7 Tab in Flowsheets if the user does not have the CP HL7 MANAGER Key, the HL7 tab will be visible on an ongoing basis. However, the buttons to match a message to either a device or a patient will be disabled unless the user has </w:t>
            </w:r>
            <w:r>
              <w:rPr>
                <w:spacing w:val="-6"/>
                <w:sz w:val="24"/>
              </w:rPr>
              <w:t xml:space="preserve">HL7 </w:t>
            </w:r>
            <w:r>
              <w:rPr>
                <w:sz w:val="24"/>
              </w:rPr>
              <w:t>MANAGER</w:t>
            </w:r>
            <w:r>
              <w:rPr>
                <w:spacing w:val="-1"/>
                <w:sz w:val="24"/>
              </w:rPr>
              <w:t xml:space="preserve"> </w:t>
            </w:r>
            <w:r>
              <w:rPr>
                <w:sz w:val="24"/>
              </w:rPr>
              <w:t>Key.</w:t>
            </w:r>
          </w:p>
          <w:p w14:paraId="704C03A1" w14:textId="77777777" w:rsidR="00AE08C4" w:rsidRDefault="002067E5">
            <w:pPr>
              <w:pStyle w:val="TableParagraph"/>
              <w:numPr>
                <w:ilvl w:val="0"/>
                <w:numId w:val="1"/>
              </w:numPr>
              <w:tabs>
                <w:tab w:val="left" w:pos="370"/>
              </w:tabs>
              <w:ind w:right="393" w:firstLine="0"/>
              <w:rPr>
                <w:sz w:val="24"/>
              </w:rPr>
            </w:pPr>
            <w:r>
              <w:rPr>
                <w:sz w:val="24"/>
              </w:rPr>
              <w:t xml:space="preserve">In CP Console, user will need permission (via Vista’s XPAR EDIT PARAMETER - utility) for folder’s visibility. So, user can have access </w:t>
            </w:r>
            <w:r>
              <w:rPr>
                <w:spacing w:val="-6"/>
                <w:sz w:val="24"/>
              </w:rPr>
              <w:t xml:space="preserve">to </w:t>
            </w:r>
            <w:r>
              <w:rPr>
                <w:sz w:val="24"/>
              </w:rPr>
              <w:t>various folders (VIEW, FS, SHIFT, TOTALS</w:t>
            </w:r>
            <w:r>
              <w:rPr>
                <w:spacing w:val="1"/>
                <w:sz w:val="24"/>
              </w:rPr>
              <w:t xml:space="preserve"> </w:t>
            </w:r>
            <w:r>
              <w:rPr>
                <w:sz w:val="24"/>
              </w:rPr>
              <w:t>folders).</w:t>
            </w:r>
          </w:p>
          <w:p w14:paraId="2F34245C" w14:textId="77777777" w:rsidR="00AE08C4" w:rsidRDefault="002067E5">
            <w:pPr>
              <w:pStyle w:val="TableParagraph"/>
              <w:numPr>
                <w:ilvl w:val="0"/>
                <w:numId w:val="1"/>
              </w:numPr>
              <w:tabs>
                <w:tab w:val="left" w:pos="370"/>
              </w:tabs>
              <w:ind w:right="240" w:firstLine="0"/>
              <w:rPr>
                <w:sz w:val="24"/>
              </w:rPr>
            </w:pPr>
            <w:r>
              <w:rPr>
                <w:sz w:val="24"/>
              </w:rPr>
              <w:t xml:space="preserve">Locking the Import/Export functionality. We will be locking Import/Export of Views, Procedures, and Instruments to be based on </w:t>
            </w:r>
            <w:r>
              <w:rPr>
                <w:spacing w:val="-3"/>
                <w:sz w:val="24"/>
              </w:rPr>
              <w:t xml:space="preserve">folder’s </w:t>
            </w:r>
            <w:r>
              <w:rPr>
                <w:sz w:val="24"/>
              </w:rPr>
              <w:t>permission that is controlled by XPar. So, you will have ONLY access to Import/Export folders you have permission to. Example, if you have only access to Views and Procedures, you won’t be able to import/export Instruments.</w:t>
            </w:r>
          </w:p>
          <w:p w14:paraId="7E63B469" w14:textId="77777777" w:rsidR="00AE08C4" w:rsidRDefault="002067E5">
            <w:pPr>
              <w:pStyle w:val="TableParagraph"/>
              <w:numPr>
                <w:ilvl w:val="0"/>
                <w:numId w:val="1"/>
              </w:numPr>
              <w:tabs>
                <w:tab w:val="left" w:pos="368"/>
              </w:tabs>
              <w:spacing w:line="270" w:lineRule="atLeast"/>
              <w:ind w:right="165" w:firstLine="0"/>
              <w:rPr>
                <w:sz w:val="24"/>
              </w:rPr>
            </w:pPr>
            <w:r>
              <w:rPr>
                <w:sz w:val="24"/>
              </w:rPr>
              <w:t xml:space="preserve">MD ADMIN access will remain as </w:t>
            </w:r>
            <w:r>
              <w:rPr>
                <w:spacing w:val="-6"/>
                <w:sz w:val="24"/>
              </w:rPr>
              <w:t xml:space="preserve">in </w:t>
            </w:r>
            <w:r>
              <w:rPr>
                <w:sz w:val="24"/>
              </w:rPr>
              <w:t>V1, where s/he will have access to all functionality (ex import/exports), and ability to see edit folders,</w:t>
            </w:r>
            <w:r>
              <w:rPr>
                <w:spacing w:val="-8"/>
                <w:sz w:val="24"/>
              </w:rPr>
              <w:t xml:space="preserve"> </w:t>
            </w:r>
            <w:r>
              <w:rPr>
                <w:sz w:val="24"/>
              </w:rPr>
              <w:t>views….</w:t>
            </w:r>
          </w:p>
        </w:tc>
      </w:tr>
      <w:tr w:rsidR="00AE08C4" w14:paraId="5D30D7EB" w14:textId="77777777">
        <w:trPr>
          <w:trHeight w:val="553"/>
        </w:trPr>
        <w:tc>
          <w:tcPr>
            <w:tcW w:w="1471" w:type="dxa"/>
          </w:tcPr>
          <w:p w14:paraId="5BF52FA2" w14:textId="77777777" w:rsidR="00AE08C4" w:rsidRDefault="002067E5">
            <w:pPr>
              <w:pStyle w:val="TableParagraph"/>
              <w:spacing w:line="268" w:lineRule="exact"/>
              <w:rPr>
                <w:sz w:val="24"/>
              </w:rPr>
            </w:pPr>
            <w:r>
              <w:rPr>
                <w:sz w:val="24"/>
              </w:rPr>
              <w:t>CQ720</w:t>
            </w:r>
          </w:p>
        </w:tc>
        <w:tc>
          <w:tcPr>
            <w:tcW w:w="3963" w:type="dxa"/>
          </w:tcPr>
          <w:p w14:paraId="68314034" w14:textId="77777777" w:rsidR="00AE08C4" w:rsidRDefault="002067E5">
            <w:pPr>
              <w:pStyle w:val="TableParagraph"/>
              <w:spacing w:line="268" w:lineRule="exact"/>
              <w:rPr>
                <w:sz w:val="24"/>
              </w:rPr>
            </w:pPr>
            <w:r>
              <w:rPr>
                <w:sz w:val="24"/>
              </w:rPr>
              <w:t>Easier way to spot inactive terms</w:t>
            </w:r>
          </w:p>
        </w:tc>
        <w:tc>
          <w:tcPr>
            <w:tcW w:w="4143" w:type="dxa"/>
          </w:tcPr>
          <w:p w14:paraId="4478E960" w14:textId="77777777" w:rsidR="00AE08C4" w:rsidRDefault="002067E5">
            <w:pPr>
              <w:pStyle w:val="TableParagraph"/>
              <w:spacing w:line="268" w:lineRule="exact"/>
              <w:ind w:left="108"/>
              <w:rPr>
                <w:sz w:val="24"/>
              </w:rPr>
            </w:pPr>
            <w:r>
              <w:rPr>
                <w:sz w:val="24"/>
              </w:rPr>
              <w:t>All inactive terms now have a *</w:t>
            </w:r>
          </w:p>
          <w:p w14:paraId="6D9DE396" w14:textId="77777777" w:rsidR="00AE08C4" w:rsidRDefault="002067E5">
            <w:pPr>
              <w:pStyle w:val="TableParagraph"/>
              <w:spacing w:line="266" w:lineRule="exact"/>
              <w:ind w:left="108"/>
              <w:rPr>
                <w:sz w:val="24"/>
              </w:rPr>
            </w:pPr>
            <w:r>
              <w:rPr>
                <w:sz w:val="24"/>
              </w:rPr>
              <w:t>postpended to the term name in CP</w:t>
            </w:r>
          </w:p>
        </w:tc>
      </w:tr>
    </w:tbl>
    <w:p w14:paraId="35D837E6" w14:textId="77777777" w:rsidR="00AE08C4" w:rsidRDefault="00AE08C4">
      <w:pPr>
        <w:spacing w:line="266" w:lineRule="exact"/>
        <w:rPr>
          <w:sz w:val="24"/>
        </w:rPr>
        <w:sectPr w:rsidR="00AE08C4">
          <w:footerReference w:type="default" r:id="rId12"/>
          <w:pgSz w:w="12240" w:h="15840"/>
          <w:pgMar w:top="1500" w:right="1220" w:bottom="1160" w:left="1220" w:header="0" w:footer="97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1"/>
        <w:gridCol w:w="3963"/>
        <w:gridCol w:w="4143"/>
      </w:tblGrid>
      <w:tr w:rsidR="00AE08C4" w14:paraId="4B5D5E59" w14:textId="77777777">
        <w:trPr>
          <w:trHeight w:val="273"/>
        </w:trPr>
        <w:tc>
          <w:tcPr>
            <w:tcW w:w="1471" w:type="dxa"/>
            <w:tcBorders>
              <w:bottom w:val="single" w:sz="6" w:space="0" w:color="000000"/>
            </w:tcBorders>
          </w:tcPr>
          <w:p w14:paraId="42E5511D" w14:textId="77777777" w:rsidR="00AE08C4" w:rsidRDefault="002067E5">
            <w:pPr>
              <w:pStyle w:val="TableParagraph"/>
              <w:spacing w:line="253" w:lineRule="exact"/>
              <w:rPr>
                <w:b/>
                <w:sz w:val="24"/>
              </w:rPr>
            </w:pPr>
            <w:r>
              <w:rPr>
                <w:b/>
                <w:sz w:val="24"/>
              </w:rPr>
              <w:lastRenderedPageBreak/>
              <w:t>Identifier</w:t>
            </w:r>
          </w:p>
        </w:tc>
        <w:tc>
          <w:tcPr>
            <w:tcW w:w="3963" w:type="dxa"/>
            <w:tcBorders>
              <w:bottom w:val="single" w:sz="6" w:space="0" w:color="000000"/>
            </w:tcBorders>
          </w:tcPr>
          <w:p w14:paraId="7265A837" w14:textId="77777777" w:rsidR="00AE08C4" w:rsidRDefault="002067E5">
            <w:pPr>
              <w:pStyle w:val="TableParagraph"/>
              <w:spacing w:line="253" w:lineRule="exact"/>
              <w:rPr>
                <w:b/>
                <w:sz w:val="24"/>
              </w:rPr>
            </w:pPr>
            <w:r>
              <w:rPr>
                <w:b/>
                <w:sz w:val="24"/>
              </w:rPr>
              <w:t>Description</w:t>
            </w:r>
          </w:p>
        </w:tc>
        <w:tc>
          <w:tcPr>
            <w:tcW w:w="4143" w:type="dxa"/>
            <w:tcBorders>
              <w:bottom w:val="single" w:sz="6" w:space="0" w:color="000000"/>
            </w:tcBorders>
          </w:tcPr>
          <w:p w14:paraId="40F32849" w14:textId="77777777" w:rsidR="00AE08C4" w:rsidRDefault="002067E5">
            <w:pPr>
              <w:pStyle w:val="TableParagraph"/>
              <w:spacing w:line="253" w:lineRule="exact"/>
              <w:ind w:left="108"/>
              <w:rPr>
                <w:b/>
                <w:sz w:val="24"/>
              </w:rPr>
            </w:pPr>
            <w:r>
              <w:rPr>
                <w:b/>
                <w:sz w:val="24"/>
              </w:rPr>
              <w:t>Fix</w:t>
            </w:r>
          </w:p>
        </w:tc>
      </w:tr>
      <w:tr w:rsidR="00AE08C4" w14:paraId="71AE2AD8" w14:textId="77777777">
        <w:trPr>
          <w:trHeight w:val="273"/>
        </w:trPr>
        <w:tc>
          <w:tcPr>
            <w:tcW w:w="1471" w:type="dxa"/>
            <w:tcBorders>
              <w:top w:val="single" w:sz="6" w:space="0" w:color="000000"/>
            </w:tcBorders>
          </w:tcPr>
          <w:p w14:paraId="57F95067" w14:textId="77777777" w:rsidR="00AE08C4" w:rsidRDefault="00AE08C4">
            <w:pPr>
              <w:pStyle w:val="TableParagraph"/>
              <w:ind w:left="0"/>
              <w:rPr>
                <w:sz w:val="20"/>
              </w:rPr>
            </w:pPr>
          </w:p>
        </w:tc>
        <w:tc>
          <w:tcPr>
            <w:tcW w:w="3963" w:type="dxa"/>
            <w:tcBorders>
              <w:top w:val="single" w:sz="6" w:space="0" w:color="000000"/>
            </w:tcBorders>
          </w:tcPr>
          <w:p w14:paraId="128E519E" w14:textId="77777777" w:rsidR="00AE08C4" w:rsidRDefault="00AE08C4">
            <w:pPr>
              <w:pStyle w:val="TableParagraph"/>
              <w:ind w:left="0"/>
              <w:rPr>
                <w:sz w:val="20"/>
              </w:rPr>
            </w:pPr>
          </w:p>
        </w:tc>
        <w:tc>
          <w:tcPr>
            <w:tcW w:w="4143" w:type="dxa"/>
            <w:tcBorders>
              <w:top w:val="single" w:sz="6" w:space="0" w:color="000000"/>
            </w:tcBorders>
          </w:tcPr>
          <w:p w14:paraId="78DDD7D6" w14:textId="77777777" w:rsidR="00AE08C4" w:rsidRDefault="002067E5">
            <w:pPr>
              <w:pStyle w:val="TableParagraph"/>
              <w:spacing w:line="253" w:lineRule="exact"/>
              <w:ind w:left="108"/>
              <w:rPr>
                <w:sz w:val="24"/>
              </w:rPr>
            </w:pPr>
            <w:r>
              <w:rPr>
                <w:sz w:val="24"/>
              </w:rPr>
              <w:t>Console</w:t>
            </w:r>
          </w:p>
        </w:tc>
      </w:tr>
      <w:tr w:rsidR="00AE08C4" w14:paraId="21D71F3D" w14:textId="77777777">
        <w:trPr>
          <w:trHeight w:val="827"/>
        </w:trPr>
        <w:tc>
          <w:tcPr>
            <w:tcW w:w="1471" w:type="dxa"/>
          </w:tcPr>
          <w:p w14:paraId="41AE9548" w14:textId="77777777" w:rsidR="00AE08C4" w:rsidRDefault="002067E5">
            <w:pPr>
              <w:pStyle w:val="TableParagraph"/>
              <w:spacing w:line="268" w:lineRule="exact"/>
              <w:rPr>
                <w:sz w:val="24"/>
              </w:rPr>
            </w:pPr>
            <w:r>
              <w:rPr>
                <w:sz w:val="24"/>
              </w:rPr>
              <w:t>DM19.12</w:t>
            </w:r>
          </w:p>
        </w:tc>
        <w:tc>
          <w:tcPr>
            <w:tcW w:w="3963" w:type="dxa"/>
          </w:tcPr>
          <w:p w14:paraId="61A1CBE3" w14:textId="77777777" w:rsidR="00AE08C4" w:rsidRDefault="002067E5">
            <w:pPr>
              <w:pStyle w:val="TableParagraph"/>
              <w:ind w:right="220"/>
              <w:rPr>
                <w:sz w:val="24"/>
              </w:rPr>
            </w:pPr>
            <w:r>
              <w:rPr>
                <w:sz w:val="24"/>
              </w:rPr>
              <w:t>When starting a supplemental view, have it default to that view upon final</w:t>
            </w:r>
          </w:p>
          <w:p w14:paraId="1717B06A" w14:textId="77777777" w:rsidR="00AE08C4" w:rsidRDefault="002067E5">
            <w:pPr>
              <w:pStyle w:val="TableParagraph"/>
              <w:spacing w:line="264" w:lineRule="exact"/>
              <w:rPr>
                <w:sz w:val="24"/>
              </w:rPr>
            </w:pPr>
            <w:r>
              <w:rPr>
                <w:sz w:val="24"/>
              </w:rPr>
              <w:t>steps of opening process</w:t>
            </w:r>
          </w:p>
        </w:tc>
        <w:tc>
          <w:tcPr>
            <w:tcW w:w="4143" w:type="dxa"/>
          </w:tcPr>
          <w:p w14:paraId="02D78A09" w14:textId="77777777" w:rsidR="00AE08C4" w:rsidRDefault="002067E5">
            <w:pPr>
              <w:pStyle w:val="TableParagraph"/>
              <w:spacing w:line="268" w:lineRule="exact"/>
              <w:ind w:left="108"/>
              <w:rPr>
                <w:sz w:val="24"/>
              </w:rPr>
            </w:pPr>
            <w:r>
              <w:rPr>
                <w:sz w:val="24"/>
              </w:rPr>
              <w:t>Fixed as described.</w:t>
            </w:r>
          </w:p>
        </w:tc>
      </w:tr>
      <w:tr w:rsidR="00AE08C4" w14:paraId="11484205" w14:textId="77777777">
        <w:trPr>
          <w:trHeight w:val="2486"/>
        </w:trPr>
        <w:tc>
          <w:tcPr>
            <w:tcW w:w="1471" w:type="dxa"/>
          </w:tcPr>
          <w:p w14:paraId="54D621D5" w14:textId="77777777" w:rsidR="00AE08C4" w:rsidRDefault="002067E5">
            <w:pPr>
              <w:pStyle w:val="TableParagraph"/>
              <w:spacing w:line="270" w:lineRule="exact"/>
              <w:rPr>
                <w:sz w:val="24"/>
              </w:rPr>
            </w:pPr>
            <w:r>
              <w:rPr>
                <w:sz w:val="24"/>
              </w:rPr>
              <w:t>ADT</w:t>
            </w:r>
          </w:p>
          <w:p w14:paraId="35DCBB7A" w14:textId="77777777" w:rsidR="00AE08C4" w:rsidRDefault="002067E5">
            <w:pPr>
              <w:pStyle w:val="TableParagraph"/>
              <w:rPr>
                <w:sz w:val="24"/>
              </w:rPr>
            </w:pPr>
            <w:r>
              <w:rPr>
                <w:sz w:val="24"/>
              </w:rPr>
              <w:t>Retransmit</w:t>
            </w:r>
          </w:p>
        </w:tc>
        <w:tc>
          <w:tcPr>
            <w:tcW w:w="3963" w:type="dxa"/>
          </w:tcPr>
          <w:p w14:paraId="7010FBA7" w14:textId="77777777" w:rsidR="00AE08C4" w:rsidRDefault="002067E5">
            <w:pPr>
              <w:pStyle w:val="TableParagraph"/>
              <w:ind w:right="380"/>
              <w:rPr>
                <w:sz w:val="24"/>
              </w:rPr>
            </w:pPr>
            <w:r>
              <w:rPr>
                <w:sz w:val="24"/>
              </w:rPr>
              <w:t>Ability for clinicians to re-transmit ADT feed (A08) to medical devices (inpatient or outpatient settings) without having to manually enter patient info on the device.</w:t>
            </w:r>
          </w:p>
        </w:tc>
        <w:tc>
          <w:tcPr>
            <w:tcW w:w="4143" w:type="dxa"/>
          </w:tcPr>
          <w:p w14:paraId="569328AF" w14:textId="77777777" w:rsidR="00AE08C4" w:rsidRDefault="002067E5">
            <w:pPr>
              <w:pStyle w:val="TableParagraph"/>
              <w:ind w:left="108" w:right="232"/>
              <w:jc w:val="both"/>
              <w:rPr>
                <w:sz w:val="24"/>
              </w:rPr>
            </w:pPr>
            <w:r>
              <w:rPr>
                <w:sz w:val="24"/>
              </w:rPr>
              <w:t>Modified CP Flowsheets. If the patient is an inpatient, a new menu option will appear in the CP Flowsheets “File”</w:t>
            </w:r>
          </w:p>
          <w:p w14:paraId="668C9485" w14:textId="77777777" w:rsidR="00AE08C4" w:rsidRDefault="002067E5">
            <w:pPr>
              <w:pStyle w:val="TableParagraph"/>
              <w:ind w:left="108"/>
              <w:rPr>
                <w:sz w:val="24"/>
              </w:rPr>
            </w:pPr>
            <w:r>
              <w:rPr>
                <w:sz w:val="24"/>
              </w:rPr>
              <w:t>menu: “Resend Last Message to</w:t>
            </w:r>
          </w:p>
          <w:p w14:paraId="3A2A8F14" w14:textId="77777777" w:rsidR="00AE08C4" w:rsidRDefault="002067E5">
            <w:pPr>
              <w:pStyle w:val="TableParagraph"/>
              <w:ind w:left="108" w:right="85"/>
              <w:rPr>
                <w:sz w:val="24"/>
              </w:rPr>
            </w:pPr>
            <w:r>
              <w:rPr>
                <w:sz w:val="24"/>
              </w:rPr>
              <w:t>Monitor”. If the Patient is an outpatient, a new menu option will appear in the CP Flowsheets “File” menu: “Send PII to Monitor”, along with a list of monitors</w:t>
            </w:r>
          </w:p>
          <w:p w14:paraId="0DBFC72A" w14:textId="77777777" w:rsidR="00AE08C4" w:rsidRDefault="002067E5">
            <w:pPr>
              <w:pStyle w:val="TableParagraph"/>
              <w:spacing w:line="264" w:lineRule="exact"/>
              <w:ind w:left="108"/>
              <w:rPr>
                <w:sz w:val="24"/>
              </w:rPr>
            </w:pPr>
            <w:r>
              <w:rPr>
                <w:sz w:val="24"/>
              </w:rPr>
              <w:t>that support A08 messages.</w:t>
            </w:r>
          </w:p>
        </w:tc>
      </w:tr>
      <w:tr w:rsidR="00AE08C4" w14:paraId="5CCC7E2D" w14:textId="77777777">
        <w:trPr>
          <w:trHeight w:val="1024"/>
        </w:trPr>
        <w:tc>
          <w:tcPr>
            <w:tcW w:w="1471" w:type="dxa"/>
          </w:tcPr>
          <w:p w14:paraId="1C19704B" w14:textId="77777777" w:rsidR="00AE08C4" w:rsidRDefault="002067E5">
            <w:pPr>
              <w:pStyle w:val="TableParagraph"/>
              <w:spacing w:line="268" w:lineRule="exact"/>
              <w:rPr>
                <w:sz w:val="24"/>
              </w:rPr>
            </w:pPr>
            <w:r>
              <w:rPr>
                <w:sz w:val="24"/>
              </w:rPr>
              <w:t>CQ580</w:t>
            </w:r>
          </w:p>
        </w:tc>
        <w:tc>
          <w:tcPr>
            <w:tcW w:w="3963" w:type="dxa"/>
          </w:tcPr>
          <w:p w14:paraId="16F5A2BF" w14:textId="77777777" w:rsidR="00AE08C4" w:rsidRDefault="002067E5">
            <w:pPr>
              <w:pStyle w:val="TableParagraph"/>
              <w:ind w:right="706"/>
              <w:rPr>
                <w:sz w:val="24"/>
              </w:rPr>
            </w:pPr>
            <w:r>
              <w:rPr>
                <w:sz w:val="24"/>
              </w:rPr>
              <w:t>General Comment not shown on screens or reports</w:t>
            </w:r>
          </w:p>
        </w:tc>
        <w:tc>
          <w:tcPr>
            <w:tcW w:w="4143" w:type="dxa"/>
          </w:tcPr>
          <w:p w14:paraId="68714763" w14:textId="77777777" w:rsidR="00AE08C4" w:rsidRDefault="002067E5">
            <w:pPr>
              <w:pStyle w:val="TableParagraph"/>
              <w:ind w:left="108" w:right="359"/>
              <w:jc w:val="both"/>
              <w:rPr>
                <w:sz w:val="24"/>
              </w:rPr>
            </w:pPr>
            <w:r>
              <w:rPr>
                <w:sz w:val="24"/>
              </w:rPr>
              <w:t>Per SME agreement, we are removing this field in P23 and have tabled it for more analysis.</w:t>
            </w:r>
          </w:p>
        </w:tc>
      </w:tr>
      <w:tr w:rsidR="00AE08C4" w14:paraId="63B34E7B" w14:textId="77777777">
        <w:trPr>
          <w:trHeight w:val="275"/>
        </w:trPr>
        <w:tc>
          <w:tcPr>
            <w:tcW w:w="1471" w:type="dxa"/>
          </w:tcPr>
          <w:p w14:paraId="2C115CB1" w14:textId="77777777" w:rsidR="00AE08C4" w:rsidRDefault="002067E5">
            <w:pPr>
              <w:pStyle w:val="TableParagraph"/>
              <w:spacing w:line="256" w:lineRule="exact"/>
              <w:rPr>
                <w:sz w:val="24"/>
              </w:rPr>
            </w:pPr>
            <w:r>
              <w:rPr>
                <w:sz w:val="24"/>
              </w:rPr>
              <w:t>CQ681</w:t>
            </w:r>
          </w:p>
        </w:tc>
        <w:tc>
          <w:tcPr>
            <w:tcW w:w="3963" w:type="dxa"/>
          </w:tcPr>
          <w:p w14:paraId="311DABB2" w14:textId="77777777" w:rsidR="00AE08C4" w:rsidRDefault="002067E5">
            <w:pPr>
              <w:pStyle w:val="TableParagraph"/>
              <w:spacing w:line="256" w:lineRule="exact"/>
              <w:rPr>
                <w:sz w:val="24"/>
              </w:rPr>
            </w:pPr>
            <w:r>
              <w:rPr>
                <w:sz w:val="24"/>
              </w:rPr>
              <w:t>Auto-Refresh was non-functional</w:t>
            </w:r>
          </w:p>
        </w:tc>
        <w:tc>
          <w:tcPr>
            <w:tcW w:w="4143" w:type="dxa"/>
          </w:tcPr>
          <w:p w14:paraId="5A50AABF" w14:textId="77777777" w:rsidR="00AE08C4" w:rsidRDefault="002067E5">
            <w:pPr>
              <w:pStyle w:val="TableParagraph"/>
              <w:spacing w:line="256" w:lineRule="exact"/>
              <w:ind w:left="108"/>
              <w:rPr>
                <w:sz w:val="24"/>
              </w:rPr>
            </w:pPr>
            <w:r>
              <w:rPr>
                <w:sz w:val="24"/>
              </w:rPr>
              <w:t>Fixed and enabled auto-refresh.</w:t>
            </w:r>
          </w:p>
        </w:tc>
      </w:tr>
      <w:tr w:rsidR="00AE08C4" w14:paraId="506D404E" w14:textId="77777777">
        <w:trPr>
          <w:trHeight w:val="827"/>
        </w:trPr>
        <w:tc>
          <w:tcPr>
            <w:tcW w:w="1471" w:type="dxa"/>
          </w:tcPr>
          <w:p w14:paraId="70D6B081" w14:textId="77777777" w:rsidR="00AE08C4" w:rsidRDefault="002067E5">
            <w:pPr>
              <w:pStyle w:val="TableParagraph"/>
              <w:spacing w:line="268" w:lineRule="exact"/>
              <w:rPr>
                <w:sz w:val="24"/>
              </w:rPr>
            </w:pPr>
            <w:r>
              <w:rPr>
                <w:sz w:val="24"/>
              </w:rPr>
              <w:t>CQ705</w:t>
            </w:r>
          </w:p>
        </w:tc>
        <w:tc>
          <w:tcPr>
            <w:tcW w:w="3963" w:type="dxa"/>
          </w:tcPr>
          <w:p w14:paraId="773E2D4F" w14:textId="77777777" w:rsidR="00AE08C4" w:rsidRDefault="002067E5">
            <w:pPr>
              <w:pStyle w:val="TableParagraph"/>
              <w:ind w:right="147"/>
              <w:rPr>
                <w:sz w:val="24"/>
              </w:rPr>
            </w:pPr>
            <w:r>
              <w:rPr>
                <w:sz w:val="24"/>
              </w:rPr>
              <w:t>The column headings in the data entry screen were not lining up with the</w:t>
            </w:r>
          </w:p>
          <w:p w14:paraId="275D37FF" w14:textId="77777777" w:rsidR="00AE08C4" w:rsidRDefault="002067E5">
            <w:pPr>
              <w:pStyle w:val="TableParagraph"/>
              <w:spacing w:line="264" w:lineRule="exact"/>
              <w:rPr>
                <w:sz w:val="24"/>
              </w:rPr>
            </w:pPr>
            <w:r>
              <w:rPr>
                <w:sz w:val="24"/>
              </w:rPr>
              <w:t>columns beneath</w:t>
            </w:r>
          </w:p>
        </w:tc>
        <w:tc>
          <w:tcPr>
            <w:tcW w:w="4143" w:type="dxa"/>
          </w:tcPr>
          <w:p w14:paraId="3E39F4B3" w14:textId="77777777" w:rsidR="00AE08C4" w:rsidRDefault="002067E5">
            <w:pPr>
              <w:pStyle w:val="TableParagraph"/>
              <w:spacing w:line="268" w:lineRule="exact"/>
              <w:ind w:left="108"/>
              <w:rPr>
                <w:sz w:val="24"/>
              </w:rPr>
            </w:pPr>
            <w:r>
              <w:rPr>
                <w:sz w:val="24"/>
              </w:rPr>
              <w:t>Realigned column headings.</w:t>
            </w:r>
          </w:p>
        </w:tc>
      </w:tr>
      <w:tr w:rsidR="00AE08C4" w14:paraId="6E8F1834" w14:textId="77777777">
        <w:trPr>
          <w:trHeight w:val="2484"/>
        </w:trPr>
        <w:tc>
          <w:tcPr>
            <w:tcW w:w="1471" w:type="dxa"/>
          </w:tcPr>
          <w:p w14:paraId="0A48E2E8" w14:textId="77777777" w:rsidR="00AE08C4" w:rsidRDefault="002067E5">
            <w:pPr>
              <w:pStyle w:val="TableParagraph"/>
              <w:ind w:right="96"/>
              <w:rPr>
                <w:sz w:val="24"/>
              </w:rPr>
            </w:pPr>
            <w:r>
              <w:rPr>
                <w:sz w:val="24"/>
              </w:rPr>
              <w:t>Terminology Update – Remedy ticket 496628</w:t>
            </w:r>
          </w:p>
        </w:tc>
        <w:tc>
          <w:tcPr>
            <w:tcW w:w="3963" w:type="dxa"/>
          </w:tcPr>
          <w:p w14:paraId="29358758" w14:textId="77777777" w:rsidR="00AE08C4" w:rsidRDefault="002067E5">
            <w:pPr>
              <w:pStyle w:val="TableParagraph"/>
              <w:ind w:right="413"/>
              <w:rPr>
                <w:sz w:val="24"/>
              </w:rPr>
            </w:pPr>
            <w:r>
              <w:rPr>
                <w:sz w:val="24"/>
              </w:rPr>
              <w:t>Improve the interoperability of the terminology conversion for units of measure</w:t>
            </w:r>
          </w:p>
        </w:tc>
        <w:tc>
          <w:tcPr>
            <w:tcW w:w="4143" w:type="dxa"/>
          </w:tcPr>
          <w:p w14:paraId="05960321" w14:textId="77777777" w:rsidR="00AE08C4" w:rsidRDefault="002067E5">
            <w:pPr>
              <w:pStyle w:val="TableParagraph"/>
              <w:ind w:left="108" w:right="98"/>
              <w:rPr>
                <w:sz w:val="24"/>
              </w:rPr>
            </w:pPr>
            <w:r>
              <w:rPr>
                <w:sz w:val="24"/>
              </w:rPr>
              <w:t xml:space="preserve">The unit conversion for some observations do not convert equally due to a </w:t>
            </w:r>
            <w:proofErr w:type="gramStart"/>
            <w:r>
              <w:rPr>
                <w:sz w:val="24"/>
              </w:rPr>
              <w:t>none existent</w:t>
            </w:r>
            <w:proofErr w:type="gramEnd"/>
            <w:r>
              <w:rPr>
                <w:sz w:val="24"/>
              </w:rPr>
              <w:t xml:space="preserve"> measurement that is needed for the conversion. This causes an error in the Flowsheets reporting mechanism. This patch shall remove the unit from the observation. As a result, this will improve the interoperability of</w:t>
            </w:r>
          </w:p>
          <w:p w14:paraId="6702B964" w14:textId="77777777" w:rsidR="00AE08C4" w:rsidRDefault="002067E5">
            <w:pPr>
              <w:pStyle w:val="TableParagraph"/>
              <w:spacing w:line="264" w:lineRule="exact"/>
              <w:ind w:left="108"/>
              <w:rPr>
                <w:sz w:val="24"/>
              </w:rPr>
            </w:pPr>
            <w:r>
              <w:rPr>
                <w:sz w:val="24"/>
              </w:rPr>
              <w:t>the terminology conversion.</w:t>
            </w:r>
          </w:p>
        </w:tc>
      </w:tr>
      <w:tr w:rsidR="00AE08C4" w14:paraId="28C0A6D5" w14:textId="77777777">
        <w:trPr>
          <w:trHeight w:val="551"/>
        </w:trPr>
        <w:tc>
          <w:tcPr>
            <w:tcW w:w="1471" w:type="dxa"/>
          </w:tcPr>
          <w:p w14:paraId="02A06BCB" w14:textId="77777777" w:rsidR="00AE08C4" w:rsidRDefault="002067E5">
            <w:pPr>
              <w:pStyle w:val="TableParagraph"/>
              <w:spacing w:line="268" w:lineRule="exact"/>
              <w:rPr>
                <w:sz w:val="24"/>
              </w:rPr>
            </w:pPr>
            <w:r>
              <w:rPr>
                <w:sz w:val="24"/>
              </w:rPr>
              <w:t>NK</w:t>
            </w:r>
          </w:p>
        </w:tc>
        <w:tc>
          <w:tcPr>
            <w:tcW w:w="3963" w:type="dxa"/>
          </w:tcPr>
          <w:p w14:paraId="5F54099C" w14:textId="77777777" w:rsidR="00AE08C4" w:rsidRDefault="002067E5">
            <w:pPr>
              <w:pStyle w:val="TableParagraph"/>
              <w:spacing w:line="268" w:lineRule="exact"/>
              <w:rPr>
                <w:sz w:val="24"/>
              </w:rPr>
            </w:pPr>
            <w:r>
              <w:rPr>
                <w:sz w:val="24"/>
              </w:rPr>
              <w:t>Enable official support for Nihon-</w:t>
            </w:r>
          </w:p>
          <w:p w14:paraId="36018EBA" w14:textId="77777777" w:rsidR="00AE08C4" w:rsidRDefault="002067E5">
            <w:pPr>
              <w:pStyle w:val="TableParagraph"/>
              <w:spacing w:line="264" w:lineRule="exact"/>
              <w:rPr>
                <w:sz w:val="24"/>
              </w:rPr>
            </w:pPr>
            <w:r>
              <w:rPr>
                <w:sz w:val="24"/>
              </w:rPr>
              <w:t>Koden devices</w:t>
            </w:r>
          </w:p>
        </w:tc>
        <w:tc>
          <w:tcPr>
            <w:tcW w:w="4143" w:type="dxa"/>
          </w:tcPr>
          <w:p w14:paraId="74CD3302" w14:textId="77777777" w:rsidR="00AE08C4" w:rsidRDefault="002067E5">
            <w:pPr>
              <w:pStyle w:val="TableParagraph"/>
              <w:spacing w:line="268" w:lineRule="exact"/>
              <w:ind w:left="108"/>
              <w:rPr>
                <w:sz w:val="24"/>
              </w:rPr>
            </w:pPr>
            <w:r>
              <w:rPr>
                <w:sz w:val="24"/>
              </w:rPr>
              <w:t>Nihon-Koden devices are now officially</w:t>
            </w:r>
          </w:p>
          <w:p w14:paraId="7F2AD1D4" w14:textId="77777777" w:rsidR="00AE08C4" w:rsidRDefault="002067E5">
            <w:pPr>
              <w:pStyle w:val="TableParagraph"/>
              <w:spacing w:line="264" w:lineRule="exact"/>
              <w:ind w:left="108"/>
              <w:rPr>
                <w:sz w:val="24"/>
              </w:rPr>
            </w:pPr>
            <w:r>
              <w:rPr>
                <w:sz w:val="24"/>
              </w:rPr>
              <w:t>supported.</w:t>
            </w:r>
          </w:p>
        </w:tc>
      </w:tr>
      <w:tr w:rsidR="00AE08C4" w14:paraId="610F1793" w14:textId="77777777">
        <w:trPr>
          <w:trHeight w:val="551"/>
        </w:trPr>
        <w:tc>
          <w:tcPr>
            <w:tcW w:w="1471" w:type="dxa"/>
          </w:tcPr>
          <w:p w14:paraId="01CCF3C1" w14:textId="77777777" w:rsidR="00AE08C4" w:rsidRDefault="002067E5">
            <w:pPr>
              <w:pStyle w:val="TableParagraph"/>
              <w:spacing w:line="268" w:lineRule="exact"/>
              <w:rPr>
                <w:sz w:val="24"/>
              </w:rPr>
            </w:pPr>
            <w:r>
              <w:rPr>
                <w:sz w:val="24"/>
              </w:rPr>
              <w:t>CQ711</w:t>
            </w:r>
          </w:p>
        </w:tc>
        <w:tc>
          <w:tcPr>
            <w:tcW w:w="3963" w:type="dxa"/>
          </w:tcPr>
          <w:p w14:paraId="2EAFD355" w14:textId="77777777" w:rsidR="00AE08C4" w:rsidRDefault="002067E5">
            <w:pPr>
              <w:pStyle w:val="TableParagraph"/>
              <w:spacing w:line="268" w:lineRule="exact"/>
              <w:rPr>
                <w:sz w:val="24"/>
              </w:rPr>
            </w:pPr>
            <w:r>
              <w:rPr>
                <w:sz w:val="24"/>
              </w:rPr>
              <w:t>Ability to Save changes to TIU Note</w:t>
            </w:r>
          </w:p>
          <w:p w14:paraId="2A4B41C5" w14:textId="77777777" w:rsidR="00AE08C4" w:rsidRDefault="002067E5">
            <w:pPr>
              <w:pStyle w:val="TableParagraph"/>
              <w:spacing w:line="264" w:lineRule="exact"/>
              <w:rPr>
                <w:sz w:val="24"/>
              </w:rPr>
            </w:pPr>
            <w:r>
              <w:rPr>
                <w:sz w:val="24"/>
              </w:rPr>
              <w:t>in CPConsole</w:t>
            </w:r>
          </w:p>
        </w:tc>
        <w:tc>
          <w:tcPr>
            <w:tcW w:w="4143" w:type="dxa"/>
          </w:tcPr>
          <w:p w14:paraId="2426DD89" w14:textId="77777777" w:rsidR="00AE08C4" w:rsidRDefault="002067E5">
            <w:pPr>
              <w:pStyle w:val="TableParagraph"/>
              <w:spacing w:line="268" w:lineRule="exact"/>
              <w:ind w:left="108"/>
              <w:rPr>
                <w:sz w:val="24"/>
              </w:rPr>
            </w:pPr>
            <w:r>
              <w:rPr>
                <w:sz w:val="24"/>
              </w:rPr>
              <w:t>Fixed TIU note selection to ensure note</w:t>
            </w:r>
          </w:p>
          <w:p w14:paraId="020DA8BD" w14:textId="77777777" w:rsidR="00AE08C4" w:rsidRDefault="002067E5">
            <w:pPr>
              <w:pStyle w:val="TableParagraph"/>
              <w:spacing w:line="264" w:lineRule="exact"/>
              <w:ind w:left="108"/>
              <w:rPr>
                <w:sz w:val="24"/>
              </w:rPr>
            </w:pPr>
            <w:r>
              <w:rPr>
                <w:sz w:val="24"/>
              </w:rPr>
              <w:t>changes are saved.</w:t>
            </w:r>
          </w:p>
        </w:tc>
      </w:tr>
      <w:tr w:rsidR="00AE08C4" w14:paraId="5C50DBDE" w14:textId="77777777">
        <w:trPr>
          <w:trHeight w:val="554"/>
        </w:trPr>
        <w:tc>
          <w:tcPr>
            <w:tcW w:w="1471" w:type="dxa"/>
          </w:tcPr>
          <w:p w14:paraId="1B085619" w14:textId="77777777" w:rsidR="00AE08C4" w:rsidRDefault="002067E5">
            <w:pPr>
              <w:pStyle w:val="TableParagraph"/>
              <w:spacing w:line="270" w:lineRule="exact"/>
              <w:rPr>
                <w:sz w:val="24"/>
              </w:rPr>
            </w:pPr>
            <w:r>
              <w:rPr>
                <w:sz w:val="24"/>
              </w:rPr>
              <w:t>CQ695</w:t>
            </w:r>
          </w:p>
        </w:tc>
        <w:tc>
          <w:tcPr>
            <w:tcW w:w="3963" w:type="dxa"/>
          </w:tcPr>
          <w:p w14:paraId="29DBB295" w14:textId="77777777" w:rsidR="00AE08C4" w:rsidRDefault="002067E5">
            <w:pPr>
              <w:pStyle w:val="TableParagraph"/>
              <w:spacing w:line="270" w:lineRule="exact"/>
              <w:rPr>
                <w:sz w:val="24"/>
              </w:rPr>
            </w:pPr>
            <w:r>
              <w:rPr>
                <w:sz w:val="24"/>
              </w:rPr>
              <w:t>Space needed between title and date in</w:t>
            </w:r>
          </w:p>
          <w:p w14:paraId="6C5ECC20" w14:textId="77777777" w:rsidR="00AE08C4" w:rsidRDefault="002067E5">
            <w:pPr>
              <w:pStyle w:val="TableParagraph"/>
              <w:spacing w:line="264" w:lineRule="exact"/>
              <w:rPr>
                <w:sz w:val="24"/>
              </w:rPr>
            </w:pPr>
            <w:r>
              <w:rPr>
                <w:sz w:val="24"/>
              </w:rPr>
              <w:t>Report/TIU note</w:t>
            </w:r>
          </w:p>
        </w:tc>
        <w:tc>
          <w:tcPr>
            <w:tcW w:w="4143" w:type="dxa"/>
          </w:tcPr>
          <w:p w14:paraId="0BC9EB34" w14:textId="77777777" w:rsidR="00AE08C4" w:rsidRDefault="002067E5">
            <w:pPr>
              <w:pStyle w:val="TableParagraph"/>
              <w:spacing w:line="270" w:lineRule="exact"/>
              <w:ind w:left="108"/>
              <w:rPr>
                <w:sz w:val="24"/>
              </w:rPr>
            </w:pPr>
            <w:r>
              <w:rPr>
                <w:sz w:val="24"/>
              </w:rPr>
              <w:t>Added space.</w:t>
            </w:r>
          </w:p>
        </w:tc>
      </w:tr>
      <w:tr w:rsidR="00AE08C4" w14:paraId="2EEF3F8C" w14:textId="77777777">
        <w:trPr>
          <w:trHeight w:val="1104"/>
        </w:trPr>
        <w:tc>
          <w:tcPr>
            <w:tcW w:w="1471" w:type="dxa"/>
          </w:tcPr>
          <w:p w14:paraId="250FB369" w14:textId="77777777" w:rsidR="00AE08C4" w:rsidRDefault="002067E5">
            <w:pPr>
              <w:pStyle w:val="TableParagraph"/>
              <w:spacing w:line="268" w:lineRule="exact"/>
              <w:rPr>
                <w:sz w:val="24"/>
              </w:rPr>
            </w:pPr>
            <w:r>
              <w:rPr>
                <w:sz w:val="24"/>
              </w:rPr>
              <w:t>CQ708 –</w:t>
            </w:r>
          </w:p>
          <w:p w14:paraId="66627BDD" w14:textId="77777777" w:rsidR="00AE08C4" w:rsidRDefault="002067E5">
            <w:pPr>
              <w:pStyle w:val="TableParagraph"/>
              <w:spacing w:line="270" w:lineRule="atLeast"/>
              <w:ind w:right="534"/>
              <w:rPr>
                <w:sz w:val="24"/>
              </w:rPr>
            </w:pPr>
            <w:r>
              <w:rPr>
                <w:sz w:val="24"/>
              </w:rPr>
              <w:t>Remedy ticket 525716</w:t>
            </w:r>
          </w:p>
        </w:tc>
        <w:tc>
          <w:tcPr>
            <w:tcW w:w="3963" w:type="dxa"/>
          </w:tcPr>
          <w:p w14:paraId="6B36BA61" w14:textId="77777777" w:rsidR="00AE08C4" w:rsidRDefault="002067E5">
            <w:pPr>
              <w:pStyle w:val="TableParagraph"/>
              <w:rPr>
                <w:sz w:val="24"/>
              </w:rPr>
            </w:pPr>
            <w:r>
              <w:rPr>
                <w:sz w:val="24"/>
              </w:rPr>
              <w:t>Ability to see data entered in a Supplemental Page if the page</w:t>
            </w:r>
          </w:p>
          <w:p w14:paraId="2D990710" w14:textId="77777777" w:rsidR="00AE08C4" w:rsidRDefault="002067E5">
            <w:pPr>
              <w:pStyle w:val="TableParagraph"/>
              <w:spacing w:line="270" w:lineRule="atLeast"/>
              <w:ind w:right="419"/>
              <w:rPr>
                <w:sz w:val="24"/>
              </w:rPr>
            </w:pPr>
            <w:r>
              <w:rPr>
                <w:sz w:val="24"/>
              </w:rPr>
              <w:t>definition is changed to Optional in Flowsheet definition</w:t>
            </w:r>
          </w:p>
        </w:tc>
        <w:tc>
          <w:tcPr>
            <w:tcW w:w="4143" w:type="dxa"/>
          </w:tcPr>
          <w:p w14:paraId="62B0B2F9" w14:textId="77777777" w:rsidR="00AE08C4" w:rsidRDefault="002067E5">
            <w:pPr>
              <w:pStyle w:val="TableParagraph"/>
              <w:ind w:left="108"/>
              <w:rPr>
                <w:sz w:val="24"/>
              </w:rPr>
            </w:pPr>
            <w:r>
              <w:rPr>
                <w:sz w:val="24"/>
              </w:rPr>
              <w:t>Modified Flowsheets to display the data. Note that changing view definitions</w:t>
            </w:r>
          </w:p>
          <w:p w14:paraId="2FCEE335" w14:textId="77777777" w:rsidR="00AE08C4" w:rsidRDefault="002067E5">
            <w:pPr>
              <w:pStyle w:val="TableParagraph"/>
              <w:spacing w:line="270" w:lineRule="atLeast"/>
              <w:ind w:left="108" w:right="371"/>
              <w:rPr>
                <w:sz w:val="24"/>
              </w:rPr>
            </w:pPr>
            <w:r>
              <w:rPr>
                <w:sz w:val="24"/>
              </w:rPr>
              <w:t>from Supplemental to Optional is still strongly discouraged.</w:t>
            </w:r>
          </w:p>
        </w:tc>
      </w:tr>
      <w:tr w:rsidR="00AE08C4" w14:paraId="6C26A225" w14:textId="77777777">
        <w:trPr>
          <w:trHeight w:val="1379"/>
        </w:trPr>
        <w:tc>
          <w:tcPr>
            <w:tcW w:w="1471" w:type="dxa"/>
          </w:tcPr>
          <w:p w14:paraId="2B65A8CA" w14:textId="77777777" w:rsidR="00AE08C4" w:rsidRDefault="002067E5">
            <w:pPr>
              <w:pStyle w:val="TableParagraph"/>
              <w:spacing w:line="268" w:lineRule="exact"/>
              <w:rPr>
                <w:sz w:val="24"/>
              </w:rPr>
            </w:pPr>
            <w:r>
              <w:rPr>
                <w:sz w:val="24"/>
              </w:rPr>
              <w:t>CQ579</w:t>
            </w:r>
          </w:p>
        </w:tc>
        <w:tc>
          <w:tcPr>
            <w:tcW w:w="3963" w:type="dxa"/>
          </w:tcPr>
          <w:p w14:paraId="7609196F" w14:textId="77777777" w:rsidR="00AE08C4" w:rsidRDefault="002067E5">
            <w:pPr>
              <w:pStyle w:val="TableParagraph"/>
              <w:ind w:right="293"/>
              <w:rPr>
                <w:sz w:val="24"/>
              </w:rPr>
            </w:pPr>
            <w:r>
              <w:rPr>
                <w:sz w:val="24"/>
              </w:rPr>
              <w:t>Remove location selection from TIU note, as location selected was not shown in TIU.</w:t>
            </w:r>
          </w:p>
        </w:tc>
        <w:tc>
          <w:tcPr>
            <w:tcW w:w="4143" w:type="dxa"/>
          </w:tcPr>
          <w:p w14:paraId="56219F2C" w14:textId="77777777" w:rsidR="00AE08C4" w:rsidRDefault="002067E5">
            <w:pPr>
              <w:pStyle w:val="TableParagraph"/>
              <w:ind w:left="108" w:right="139"/>
              <w:rPr>
                <w:sz w:val="24"/>
              </w:rPr>
            </w:pPr>
            <w:r>
              <w:rPr>
                <w:sz w:val="24"/>
              </w:rPr>
              <w:t>Due to TIU business rules, sending a location has no effect unless/until a visit is created for the location prior to the note being generated. Adding visits to</w:t>
            </w:r>
          </w:p>
          <w:p w14:paraId="62E451E5" w14:textId="77777777" w:rsidR="00AE08C4" w:rsidRDefault="002067E5">
            <w:pPr>
              <w:pStyle w:val="TableParagraph"/>
              <w:spacing w:line="264" w:lineRule="exact"/>
              <w:ind w:left="108"/>
              <w:rPr>
                <w:sz w:val="24"/>
              </w:rPr>
            </w:pPr>
            <w:r>
              <w:rPr>
                <w:sz w:val="24"/>
              </w:rPr>
              <w:t>TIU was beyond the scope of the patch,</w:t>
            </w:r>
          </w:p>
        </w:tc>
      </w:tr>
    </w:tbl>
    <w:p w14:paraId="21274B1F" w14:textId="77777777" w:rsidR="00AE08C4" w:rsidRDefault="00AE08C4">
      <w:pPr>
        <w:spacing w:line="264" w:lineRule="exact"/>
        <w:rPr>
          <w:sz w:val="24"/>
        </w:rPr>
        <w:sectPr w:rsidR="00AE08C4">
          <w:footerReference w:type="default" r:id="rId13"/>
          <w:pgSz w:w="12240" w:h="15840"/>
          <w:pgMar w:top="1440" w:right="122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1"/>
        <w:gridCol w:w="3963"/>
        <w:gridCol w:w="4143"/>
      </w:tblGrid>
      <w:tr w:rsidR="00AE08C4" w14:paraId="63662CFB" w14:textId="77777777">
        <w:trPr>
          <w:trHeight w:val="273"/>
        </w:trPr>
        <w:tc>
          <w:tcPr>
            <w:tcW w:w="1471" w:type="dxa"/>
            <w:tcBorders>
              <w:bottom w:val="single" w:sz="6" w:space="0" w:color="000000"/>
            </w:tcBorders>
          </w:tcPr>
          <w:p w14:paraId="7B79AA77" w14:textId="77777777" w:rsidR="00AE08C4" w:rsidRDefault="002067E5">
            <w:pPr>
              <w:pStyle w:val="TableParagraph"/>
              <w:spacing w:line="253" w:lineRule="exact"/>
              <w:rPr>
                <w:b/>
                <w:sz w:val="24"/>
              </w:rPr>
            </w:pPr>
            <w:r>
              <w:rPr>
                <w:b/>
                <w:sz w:val="24"/>
              </w:rPr>
              <w:lastRenderedPageBreak/>
              <w:t>Identifier</w:t>
            </w:r>
          </w:p>
        </w:tc>
        <w:tc>
          <w:tcPr>
            <w:tcW w:w="3963" w:type="dxa"/>
            <w:tcBorders>
              <w:bottom w:val="single" w:sz="6" w:space="0" w:color="000000"/>
            </w:tcBorders>
          </w:tcPr>
          <w:p w14:paraId="058D9F01" w14:textId="77777777" w:rsidR="00AE08C4" w:rsidRDefault="002067E5">
            <w:pPr>
              <w:pStyle w:val="TableParagraph"/>
              <w:spacing w:line="253" w:lineRule="exact"/>
              <w:rPr>
                <w:b/>
                <w:sz w:val="24"/>
              </w:rPr>
            </w:pPr>
            <w:r>
              <w:rPr>
                <w:b/>
                <w:sz w:val="24"/>
              </w:rPr>
              <w:t>Description</w:t>
            </w:r>
          </w:p>
        </w:tc>
        <w:tc>
          <w:tcPr>
            <w:tcW w:w="4143" w:type="dxa"/>
            <w:tcBorders>
              <w:bottom w:val="single" w:sz="6" w:space="0" w:color="000000"/>
            </w:tcBorders>
          </w:tcPr>
          <w:p w14:paraId="2519A1F0" w14:textId="77777777" w:rsidR="00AE08C4" w:rsidRDefault="002067E5">
            <w:pPr>
              <w:pStyle w:val="TableParagraph"/>
              <w:spacing w:line="253" w:lineRule="exact"/>
              <w:ind w:left="108"/>
              <w:rPr>
                <w:b/>
                <w:sz w:val="24"/>
              </w:rPr>
            </w:pPr>
            <w:r>
              <w:rPr>
                <w:b/>
                <w:sz w:val="24"/>
              </w:rPr>
              <w:t>Fix</w:t>
            </w:r>
          </w:p>
        </w:tc>
      </w:tr>
      <w:tr w:rsidR="00AE08C4" w14:paraId="1BF813BF" w14:textId="77777777">
        <w:trPr>
          <w:trHeight w:val="549"/>
        </w:trPr>
        <w:tc>
          <w:tcPr>
            <w:tcW w:w="1471" w:type="dxa"/>
            <w:tcBorders>
              <w:top w:val="single" w:sz="6" w:space="0" w:color="000000"/>
            </w:tcBorders>
          </w:tcPr>
          <w:p w14:paraId="61D88D3F" w14:textId="77777777" w:rsidR="00AE08C4" w:rsidRDefault="00AE08C4">
            <w:pPr>
              <w:pStyle w:val="TableParagraph"/>
              <w:ind w:left="0"/>
              <w:rPr>
                <w:sz w:val="24"/>
              </w:rPr>
            </w:pPr>
          </w:p>
        </w:tc>
        <w:tc>
          <w:tcPr>
            <w:tcW w:w="3963" w:type="dxa"/>
            <w:tcBorders>
              <w:top w:val="single" w:sz="6" w:space="0" w:color="000000"/>
            </w:tcBorders>
          </w:tcPr>
          <w:p w14:paraId="4BAF9196" w14:textId="77777777" w:rsidR="00AE08C4" w:rsidRDefault="00AE08C4">
            <w:pPr>
              <w:pStyle w:val="TableParagraph"/>
              <w:ind w:left="0"/>
              <w:rPr>
                <w:sz w:val="24"/>
              </w:rPr>
            </w:pPr>
          </w:p>
        </w:tc>
        <w:tc>
          <w:tcPr>
            <w:tcW w:w="4143" w:type="dxa"/>
            <w:tcBorders>
              <w:top w:val="single" w:sz="6" w:space="0" w:color="000000"/>
            </w:tcBorders>
          </w:tcPr>
          <w:p w14:paraId="29711052" w14:textId="77777777" w:rsidR="00AE08C4" w:rsidRDefault="002067E5">
            <w:pPr>
              <w:pStyle w:val="TableParagraph"/>
              <w:spacing w:line="265" w:lineRule="exact"/>
              <w:ind w:left="108"/>
              <w:rPr>
                <w:sz w:val="24"/>
              </w:rPr>
            </w:pPr>
            <w:proofErr w:type="gramStart"/>
            <w:r>
              <w:rPr>
                <w:sz w:val="24"/>
              </w:rPr>
              <w:t>so</w:t>
            </w:r>
            <w:proofErr w:type="gramEnd"/>
            <w:r>
              <w:rPr>
                <w:sz w:val="24"/>
              </w:rPr>
              <w:t xml:space="preserve"> ability to select a location was</w:t>
            </w:r>
          </w:p>
          <w:p w14:paraId="718BD1AF" w14:textId="77777777" w:rsidR="00AE08C4" w:rsidRDefault="002067E5">
            <w:pPr>
              <w:pStyle w:val="TableParagraph"/>
              <w:spacing w:line="264" w:lineRule="exact"/>
              <w:ind w:left="108"/>
              <w:rPr>
                <w:sz w:val="24"/>
              </w:rPr>
            </w:pPr>
            <w:r>
              <w:rPr>
                <w:sz w:val="24"/>
              </w:rPr>
              <w:t>removed.</w:t>
            </w:r>
          </w:p>
        </w:tc>
      </w:tr>
      <w:tr w:rsidR="00AE08C4" w14:paraId="11FE745F" w14:textId="77777777">
        <w:trPr>
          <w:trHeight w:val="1103"/>
        </w:trPr>
        <w:tc>
          <w:tcPr>
            <w:tcW w:w="1471" w:type="dxa"/>
          </w:tcPr>
          <w:p w14:paraId="171A52E4" w14:textId="77777777" w:rsidR="00AE08C4" w:rsidRDefault="002067E5">
            <w:pPr>
              <w:pStyle w:val="TableParagraph"/>
              <w:spacing w:line="268" w:lineRule="exact"/>
              <w:rPr>
                <w:sz w:val="24"/>
              </w:rPr>
            </w:pPr>
            <w:r>
              <w:rPr>
                <w:sz w:val="24"/>
              </w:rPr>
              <w:t>CQ715 –</w:t>
            </w:r>
          </w:p>
          <w:p w14:paraId="67EAB9C3" w14:textId="77777777" w:rsidR="00AE08C4" w:rsidRDefault="002067E5">
            <w:pPr>
              <w:pStyle w:val="TableParagraph"/>
              <w:spacing w:line="270" w:lineRule="atLeast"/>
              <w:ind w:right="534"/>
              <w:rPr>
                <w:sz w:val="24"/>
              </w:rPr>
            </w:pPr>
            <w:r>
              <w:rPr>
                <w:sz w:val="24"/>
              </w:rPr>
              <w:t>Remedy Ticket 525716</w:t>
            </w:r>
          </w:p>
        </w:tc>
        <w:tc>
          <w:tcPr>
            <w:tcW w:w="3963" w:type="dxa"/>
          </w:tcPr>
          <w:p w14:paraId="32E54BE0" w14:textId="77777777" w:rsidR="00AE08C4" w:rsidRDefault="002067E5">
            <w:pPr>
              <w:pStyle w:val="TableParagraph"/>
              <w:ind w:right="139"/>
              <w:rPr>
                <w:sz w:val="24"/>
              </w:rPr>
            </w:pPr>
            <w:r>
              <w:rPr>
                <w:sz w:val="24"/>
              </w:rPr>
              <w:t>The report tab in CP Flowsheets is not correctly filtering observations that were entered in a supplemental view.</w:t>
            </w:r>
          </w:p>
        </w:tc>
        <w:tc>
          <w:tcPr>
            <w:tcW w:w="4143" w:type="dxa"/>
          </w:tcPr>
          <w:p w14:paraId="219CA8A5" w14:textId="77777777" w:rsidR="00AE08C4" w:rsidRDefault="002067E5">
            <w:pPr>
              <w:pStyle w:val="TableParagraph"/>
              <w:ind w:left="108" w:right="253"/>
              <w:rPr>
                <w:sz w:val="24"/>
              </w:rPr>
            </w:pPr>
            <w:r>
              <w:rPr>
                <w:sz w:val="24"/>
              </w:rPr>
              <w:t>Filtering was enhanced to ensure that totals for each supplemental view were accurate.</w:t>
            </w:r>
          </w:p>
        </w:tc>
      </w:tr>
      <w:tr w:rsidR="00AE08C4" w14:paraId="6851541D" w14:textId="77777777">
        <w:trPr>
          <w:trHeight w:val="1934"/>
        </w:trPr>
        <w:tc>
          <w:tcPr>
            <w:tcW w:w="1471" w:type="dxa"/>
          </w:tcPr>
          <w:p w14:paraId="69C31D5A" w14:textId="77777777" w:rsidR="00AE08C4" w:rsidRDefault="002067E5">
            <w:pPr>
              <w:pStyle w:val="TableParagraph"/>
              <w:spacing w:line="270" w:lineRule="exact"/>
              <w:rPr>
                <w:sz w:val="24"/>
              </w:rPr>
            </w:pPr>
            <w:r>
              <w:rPr>
                <w:sz w:val="24"/>
              </w:rPr>
              <w:t>CQ638</w:t>
            </w:r>
          </w:p>
        </w:tc>
        <w:tc>
          <w:tcPr>
            <w:tcW w:w="3963" w:type="dxa"/>
          </w:tcPr>
          <w:p w14:paraId="7D49F26A" w14:textId="77777777" w:rsidR="00AE08C4" w:rsidRDefault="002067E5">
            <w:pPr>
              <w:pStyle w:val="TableParagraph"/>
              <w:ind w:right="253"/>
              <w:rPr>
                <w:sz w:val="24"/>
              </w:rPr>
            </w:pPr>
            <w:r>
              <w:rPr>
                <w:sz w:val="24"/>
              </w:rPr>
              <w:t>Add ability to show comments for an observation as a hint</w:t>
            </w:r>
          </w:p>
        </w:tc>
        <w:tc>
          <w:tcPr>
            <w:tcW w:w="4143" w:type="dxa"/>
          </w:tcPr>
          <w:p w14:paraId="18E5BBDB" w14:textId="19C7E9E0" w:rsidR="00AE08C4" w:rsidRDefault="002067E5">
            <w:pPr>
              <w:pStyle w:val="TableParagraph"/>
              <w:ind w:left="108" w:right="146"/>
              <w:rPr>
                <w:sz w:val="24"/>
              </w:rPr>
            </w:pPr>
            <w:r>
              <w:rPr>
                <w:sz w:val="24"/>
              </w:rPr>
              <w:t>Due to Windows restrictions, adding a hint was not feasible. Instead, a status bar was added in each view between the title bar and the view grid which will show observation information and comments when an observation is</w:t>
            </w:r>
          </w:p>
          <w:p w14:paraId="4064710A" w14:textId="77777777" w:rsidR="00AE08C4" w:rsidRDefault="002067E5">
            <w:pPr>
              <w:pStyle w:val="TableParagraph"/>
              <w:spacing w:line="264" w:lineRule="exact"/>
              <w:ind w:left="108"/>
              <w:rPr>
                <w:sz w:val="24"/>
              </w:rPr>
            </w:pPr>
            <w:r>
              <w:rPr>
                <w:sz w:val="24"/>
              </w:rPr>
              <w:t>hovered over.</w:t>
            </w:r>
          </w:p>
        </w:tc>
      </w:tr>
      <w:tr w:rsidR="00AE08C4" w14:paraId="4D58A718" w14:textId="77777777">
        <w:trPr>
          <w:trHeight w:val="1103"/>
        </w:trPr>
        <w:tc>
          <w:tcPr>
            <w:tcW w:w="1471" w:type="dxa"/>
          </w:tcPr>
          <w:p w14:paraId="1314C151" w14:textId="77777777" w:rsidR="00AE08C4" w:rsidRDefault="002067E5">
            <w:pPr>
              <w:pStyle w:val="TableParagraph"/>
              <w:spacing w:line="268" w:lineRule="exact"/>
              <w:rPr>
                <w:sz w:val="24"/>
              </w:rPr>
            </w:pPr>
            <w:r>
              <w:rPr>
                <w:sz w:val="24"/>
              </w:rPr>
              <w:t>CQ712</w:t>
            </w:r>
          </w:p>
        </w:tc>
        <w:tc>
          <w:tcPr>
            <w:tcW w:w="3963" w:type="dxa"/>
          </w:tcPr>
          <w:p w14:paraId="1E48FFAB" w14:textId="77777777" w:rsidR="00AE08C4" w:rsidRDefault="002067E5">
            <w:pPr>
              <w:pStyle w:val="TableParagraph"/>
              <w:ind w:right="220"/>
              <w:rPr>
                <w:sz w:val="24"/>
              </w:rPr>
            </w:pPr>
            <w:r>
              <w:rPr>
                <w:sz w:val="24"/>
              </w:rPr>
              <w:t>Spell out qualifiers for Juice and Water. Currently, only the first letter (“J” or “W” show up in flowsheets or</w:t>
            </w:r>
          </w:p>
          <w:p w14:paraId="71850248" w14:textId="77777777" w:rsidR="00AE08C4" w:rsidRDefault="002067E5">
            <w:pPr>
              <w:pStyle w:val="TableParagraph"/>
              <w:spacing w:line="264" w:lineRule="exact"/>
              <w:rPr>
                <w:sz w:val="24"/>
              </w:rPr>
            </w:pPr>
            <w:r>
              <w:rPr>
                <w:sz w:val="24"/>
              </w:rPr>
              <w:t>TIU note)</w:t>
            </w:r>
          </w:p>
        </w:tc>
        <w:tc>
          <w:tcPr>
            <w:tcW w:w="4143" w:type="dxa"/>
          </w:tcPr>
          <w:p w14:paraId="16B58915" w14:textId="77777777" w:rsidR="00AE08C4" w:rsidRDefault="002067E5">
            <w:pPr>
              <w:pStyle w:val="TableParagraph"/>
              <w:ind w:left="108" w:right="519"/>
              <w:rPr>
                <w:sz w:val="24"/>
              </w:rPr>
            </w:pPr>
            <w:r>
              <w:rPr>
                <w:sz w:val="24"/>
              </w:rPr>
              <w:t>Corrected as part of the terminology update.</w:t>
            </w:r>
          </w:p>
        </w:tc>
      </w:tr>
      <w:tr w:rsidR="00AE08C4" w14:paraId="4DCB84C6" w14:textId="77777777">
        <w:trPr>
          <w:trHeight w:val="551"/>
        </w:trPr>
        <w:tc>
          <w:tcPr>
            <w:tcW w:w="1471" w:type="dxa"/>
          </w:tcPr>
          <w:p w14:paraId="5D0F33F6" w14:textId="77777777" w:rsidR="00AE08C4" w:rsidRDefault="002067E5">
            <w:pPr>
              <w:pStyle w:val="TableParagraph"/>
              <w:spacing w:line="268" w:lineRule="exact"/>
              <w:rPr>
                <w:sz w:val="24"/>
              </w:rPr>
            </w:pPr>
            <w:r>
              <w:rPr>
                <w:sz w:val="24"/>
              </w:rPr>
              <w:t>CQ713</w:t>
            </w:r>
          </w:p>
        </w:tc>
        <w:tc>
          <w:tcPr>
            <w:tcW w:w="3963" w:type="dxa"/>
          </w:tcPr>
          <w:p w14:paraId="2B4941F4" w14:textId="77777777" w:rsidR="00AE08C4" w:rsidRDefault="002067E5">
            <w:pPr>
              <w:pStyle w:val="TableParagraph"/>
              <w:spacing w:line="268" w:lineRule="exact"/>
              <w:rPr>
                <w:sz w:val="24"/>
              </w:rPr>
            </w:pPr>
            <w:r>
              <w:rPr>
                <w:sz w:val="24"/>
              </w:rPr>
              <w:t>Take out date/time as part of TIU Note</w:t>
            </w:r>
          </w:p>
          <w:p w14:paraId="34740276" w14:textId="77777777" w:rsidR="00AE08C4" w:rsidRDefault="002067E5">
            <w:pPr>
              <w:pStyle w:val="TableParagraph"/>
              <w:spacing w:line="264" w:lineRule="exact"/>
              <w:rPr>
                <w:sz w:val="24"/>
              </w:rPr>
            </w:pPr>
            <w:r>
              <w:rPr>
                <w:sz w:val="24"/>
              </w:rPr>
              <w:t>entry</w:t>
            </w:r>
          </w:p>
        </w:tc>
        <w:tc>
          <w:tcPr>
            <w:tcW w:w="4143" w:type="dxa"/>
          </w:tcPr>
          <w:p w14:paraId="618F3405" w14:textId="77777777" w:rsidR="00AE08C4" w:rsidRDefault="002067E5">
            <w:pPr>
              <w:pStyle w:val="TableParagraph"/>
              <w:spacing w:line="268" w:lineRule="exact"/>
              <w:ind w:left="108"/>
              <w:rPr>
                <w:sz w:val="24"/>
              </w:rPr>
            </w:pPr>
            <w:r>
              <w:rPr>
                <w:sz w:val="24"/>
              </w:rPr>
              <w:t>See fix for CQ579</w:t>
            </w:r>
          </w:p>
        </w:tc>
      </w:tr>
      <w:tr w:rsidR="00AE08C4" w14:paraId="41297DA6" w14:textId="77777777">
        <w:trPr>
          <w:trHeight w:val="551"/>
        </w:trPr>
        <w:tc>
          <w:tcPr>
            <w:tcW w:w="1471" w:type="dxa"/>
          </w:tcPr>
          <w:p w14:paraId="13B17B6C" w14:textId="77777777" w:rsidR="00AE08C4" w:rsidRDefault="002067E5">
            <w:pPr>
              <w:pStyle w:val="TableParagraph"/>
              <w:spacing w:line="268" w:lineRule="exact"/>
              <w:rPr>
                <w:sz w:val="24"/>
              </w:rPr>
            </w:pPr>
            <w:r>
              <w:rPr>
                <w:sz w:val="24"/>
              </w:rPr>
              <w:t>CQ714</w:t>
            </w:r>
          </w:p>
        </w:tc>
        <w:tc>
          <w:tcPr>
            <w:tcW w:w="3963" w:type="dxa"/>
          </w:tcPr>
          <w:p w14:paraId="1AD88965" w14:textId="77777777" w:rsidR="00AE08C4" w:rsidRDefault="002067E5">
            <w:pPr>
              <w:pStyle w:val="TableParagraph"/>
              <w:spacing w:line="268" w:lineRule="exact"/>
              <w:rPr>
                <w:sz w:val="24"/>
              </w:rPr>
            </w:pPr>
            <w:r>
              <w:rPr>
                <w:sz w:val="24"/>
              </w:rPr>
              <w:t>Allow copy of procedures and</w:t>
            </w:r>
          </w:p>
          <w:p w14:paraId="001BB326" w14:textId="77777777" w:rsidR="00AE08C4" w:rsidRDefault="002067E5">
            <w:pPr>
              <w:pStyle w:val="TableParagraph"/>
              <w:spacing w:line="264" w:lineRule="exact"/>
              <w:rPr>
                <w:sz w:val="24"/>
              </w:rPr>
            </w:pPr>
            <w:r>
              <w:rPr>
                <w:sz w:val="24"/>
              </w:rPr>
              <w:t>instruments in CP Console</w:t>
            </w:r>
          </w:p>
        </w:tc>
        <w:tc>
          <w:tcPr>
            <w:tcW w:w="4143" w:type="dxa"/>
          </w:tcPr>
          <w:p w14:paraId="41B468E9" w14:textId="77777777" w:rsidR="00AE08C4" w:rsidRDefault="002067E5">
            <w:pPr>
              <w:pStyle w:val="TableParagraph"/>
              <w:spacing w:line="268" w:lineRule="exact"/>
              <w:ind w:left="108"/>
              <w:rPr>
                <w:sz w:val="24"/>
              </w:rPr>
            </w:pPr>
            <w:r>
              <w:rPr>
                <w:sz w:val="24"/>
              </w:rPr>
              <w:t>Fixed as described.</w:t>
            </w:r>
          </w:p>
        </w:tc>
      </w:tr>
      <w:tr w:rsidR="00AE08C4" w14:paraId="14164511" w14:textId="77777777">
        <w:trPr>
          <w:trHeight w:val="2208"/>
        </w:trPr>
        <w:tc>
          <w:tcPr>
            <w:tcW w:w="1471" w:type="dxa"/>
          </w:tcPr>
          <w:p w14:paraId="6FC62AB5" w14:textId="77777777" w:rsidR="00AE08C4" w:rsidRDefault="002067E5">
            <w:pPr>
              <w:pStyle w:val="TableParagraph"/>
              <w:ind w:right="534"/>
              <w:rPr>
                <w:sz w:val="24"/>
              </w:rPr>
            </w:pPr>
            <w:r>
              <w:rPr>
                <w:sz w:val="24"/>
              </w:rPr>
              <w:t>Remedy Ticket 554645</w:t>
            </w:r>
          </w:p>
        </w:tc>
        <w:tc>
          <w:tcPr>
            <w:tcW w:w="3963" w:type="dxa"/>
          </w:tcPr>
          <w:p w14:paraId="2061670E" w14:textId="77777777" w:rsidR="00AE08C4" w:rsidRDefault="002067E5">
            <w:pPr>
              <w:pStyle w:val="TableParagraph"/>
              <w:ind w:right="160"/>
              <w:jc w:val="both"/>
              <w:rPr>
                <w:sz w:val="24"/>
              </w:rPr>
            </w:pPr>
            <w:r>
              <w:rPr>
                <w:sz w:val="24"/>
              </w:rPr>
              <w:t xml:space="preserve">PSI – Location, Position, Method, and Product not being shown in </w:t>
            </w:r>
            <w:r>
              <w:rPr>
                <w:spacing w:val="-3"/>
                <w:sz w:val="24"/>
              </w:rPr>
              <w:t xml:space="preserve">Flowsheet </w:t>
            </w:r>
            <w:r>
              <w:rPr>
                <w:sz w:val="24"/>
              </w:rPr>
              <w:t>view title bar</w:t>
            </w:r>
          </w:p>
        </w:tc>
        <w:tc>
          <w:tcPr>
            <w:tcW w:w="4143" w:type="dxa"/>
          </w:tcPr>
          <w:p w14:paraId="53BB3CF5" w14:textId="77777777" w:rsidR="00AE08C4" w:rsidRDefault="002067E5">
            <w:pPr>
              <w:pStyle w:val="TableParagraph"/>
              <w:ind w:left="108" w:right="126"/>
              <w:rPr>
                <w:sz w:val="24"/>
              </w:rPr>
            </w:pPr>
            <w:r>
              <w:rPr>
                <w:sz w:val="24"/>
              </w:rPr>
              <w:t xml:space="preserve">Added Location, Position, Method, and Product to bottom left of title bar for supplemental views, as well as to the end of the title description (to ensure visibility to JAWS). REMOVED Location, Position, Method, and </w:t>
            </w:r>
            <w:r>
              <w:rPr>
                <w:spacing w:val="-3"/>
                <w:sz w:val="24"/>
              </w:rPr>
              <w:t xml:space="preserve">Product </w:t>
            </w:r>
            <w:r>
              <w:rPr>
                <w:sz w:val="24"/>
              </w:rPr>
              <w:t>from Optional views, as their presence</w:t>
            </w:r>
          </w:p>
          <w:p w14:paraId="511E57AC" w14:textId="77777777" w:rsidR="00AE08C4" w:rsidRDefault="002067E5">
            <w:pPr>
              <w:pStyle w:val="TableParagraph"/>
              <w:spacing w:line="264" w:lineRule="exact"/>
              <w:ind w:left="108"/>
              <w:rPr>
                <w:sz w:val="24"/>
              </w:rPr>
            </w:pPr>
            <w:r>
              <w:rPr>
                <w:sz w:val="24"/>
              </w:rPr>
              <w:t>can be misleading and confusing.</w:t>
            </w:r>
          </w:p>
        </w:tc>
      </w:tr>
    </w:tbl>
    <w:p w14:paraId="35646003" w14:textId="77777777" w:rsidR="00AE08C4" w:rsidRDefault="00AE08C4">
      <w:pPr>
        <w:pStyle w:val="BodyText"/>
        <w:rPr>
          <w:rFonts w:ascii="Arial"/>
          <w:b/>
          <w:sz w:val="20"/>
        </w:rPr>
      </w:pPr>
    </w:p>
    <w:p w14:paraId="66C42DD3" w14:textId="77777777" w:rsidR="00AE08C4" w:rsidRDefault="00AE08C4">
      <w:pPr>
        <w:pStyle w:val="BodyText"/>
        <w:spacing w:before="7"/>
        <w:rPr>
          <w:rFonts w:ascii="Arial"/>
          <w:b/>
          <w:sz w:val="16"/>
        </w:rPr>
      </w:pPr>
    </w:p>
    <w:p w14:paraId="0F1EF696" w14:textId="77777777" w:rsidR="00AE08C4" w:rsidRDefault="002067E5">
      <w:pPr>
        <w:pStyle w:val="Heading1"/>
        <w:spacing w:before="88"/>
      </w:pPr>
      <w:bookmarkStart w:id="3" w:name="_bookmark3"/>
      <w:bookmarkEnd w:id="3"/>
      <w:r>
        <w:t>Implementation Considerations</w:t>
      </w:r>
    </w:p>
    <w:p w14:paraId="31E6806E" w14:textId="77777777" w:rsidR="00AE08C4" w:rsidRDefault="002067E5">
      <w:pPr>
        <w:pStyle w:val="Heading2"/>
        <w:spacing w:before="243"/>
      </w:pPr>
      <w:bookmarkStart w:id="4" w:name="_bookmark4"/>
      <w:bookmarkEnd w:id="4"/>
      <w:r>
        <w:t>Installation</w:t>
      </w:r>
    </w:p>
    <w:p w14:paraId="72D9CEAE" w14:textId="77777777" w:rsidR="00AE08C4" w:rsidRDefault="002067E5">
      <w:pPr>
        <w:spacing w:before="236"/>
        <w:ind w:left="220" w:right="774"/>
        <w:rPr>
          <w:sz w:val="24"/>
        </w:rPr>
      </w:pPr>
      <w:r>
        <w:rPr>
          <w:sz w:val="24"/>
        </w:rPr>
        <w:t xml:space="preserve">To install patch MD*1.0*23, follow the </w:t>
      </w:r>
      <w:r>
        <w:rPr>
          <w:i/>
          <w:sz w:val="24"/>
        </w:rPr>
        <w:t xml:space="preserve">Clinical Procedures (CP) V1.0 Flowsheets Module Installation Guide </w:t>
      </w:r>
      <w:r>
        <w:rPr>
          <w:sz w:val="24"/>
        </w:rPr>
        <w:t>(distributed with patch MD*1.0*26) carefully. Although part of CP, CP Flowsheets is independent of CP User, CP Manager, CP Gateway, and CP Hemodialysis.</w:t>
      </w:r>
    </w:p>
    <w:p w14:paraId="28DAD76F" w14:textId="77777777" w:rsidR="00AE08C4" w:rsidRDefault="002067E5">
      <w:pPr>
        <w:pStyle w:val="BodyText"/>
        <w:spacing w:before="66" w:line="237" w:lineRule="auto"/>
        <w:ind w:left="940" w:right="102" w:hanging="360"/>
      </w:pPr>
      <w:r>
        <w:rPr>
          <w:noProof/>
          <w:position w:val="-5"/>
        </w:rPr>
        <w:drawing>
          <wp:inline distT="0" distB="0" distL="0" distR="0" wp14:anchorId="7CBE6028" wp14:editId="2E7BC842">
            <wp:extent cx="140207" cy="1874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Vitals patches GMRV*5.0*22, GMRV*5.0*23, MD*1.0*21, MD*1.0*16, MD*1.0*26, and MD*1.0*12 must be installed prior to the installation of the MD*1.0*23 software. A test version of MD*1.0*12 is available from the same download site from which you received</w:t>
      </w:r>
      <w:r>
        <w:rPr>
          <w:spacing w:val="-1"/>
        </w:rPr>
        <w:t xml:space="preserve"> </w:t>
      </w:r>
      <w:r>
        <w:t>MD*1.0*23.</w:t>
      </w:r>
    </w:p>
    <w:p w14:paraId="6E87784A" w14:textId="77777777" w:rsidR="00AE08C4" w:rsidRDefault="002067E5">
      <w:pPr>
        <w:pStyle w:val="BodyText"/>
        <w:spacing w:before="72" w:line="235" w:lineRule="auto"/>
        <w:ind w:left="940" w:right="435" w:hanging="360"/>
      </w:pPr>
      <w:r>
        <w:rPr>
          <w:noProof/>
          <w:position w:val="-5"/>
        </w:rPr>
        <w:drawing>
          <wp:inline distT="0" distB="0" distL="0" distR="0" wp14:anchorId="5DBE4AD7" wp14:editId="684A0327">
            <wp:extent cx="140207" cy="18745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140207" cy="187452"/>
                    </a:xfrm>
                    <a:prstGeom prst="rect">
                      <a:avLst/>
                    </a:prstGeom>
                  </pic:spPr>
                </pic:pic>
              </a:graphicData>
            </a:graphic>
          </wp:inline>
        </w:drawing>
      </w:r>
      <w:r>
        <w:rPr>
          <w:sz w:val="20"/>
        </w:rPr>
        <w:t xml:space="preserve">  </w:t>
      </w:r>
      <w:r>
        <w:rPr>
          <w:spacing w:val="-11"/>
          <w:sz w:val="20"/>
        </w:rPr>
        <w:t xml:space="preserve"> </w:t>
      </w:r>
      <w:r>
        <w:t>It is suggested that the output of the KIDS installation process be saved to a text file for distribution to CACs/Flowsheet administrators at the local site for review. The</w:t>
      </w:r>
      <w:r>
        <w:rPr>
          <w:spacing w:val="-8"/>
        </w:rPr>
        <w:t xml:space="preserve"> </w:t>
      </w:r>
      <w:r>
        <w:t>post</w:t>
      </w:r>
    </w:p>
    <w:p w14:paraId="5E1EAD36" w14:textId="77777777" w:rsidR="00AE08C4" w:rsidRDefault="00AE08C4">
      <w:pPr>
        <w:spacing w:line="235" w:lineRule="auto"/>
        <w:sectPr w:rsidR="00AE08C4">
          <w:footerReference w:type="default" r:id="rId15"/>
          <w:pgSz w:w="12240" w:h="15840"/>
          <w:pgMar w:top="1440" w:right="1220" w:bottom="1080" w:left="1220" w:header="0" w:footer="896" w:gutter="0"/>
          <w:cols w:space="720"/>
        </w:sectPr>
      </w:pPr>
    </w:p>
    <w:p w14:paraId="59E7D40C" w14:textId="77777777" w:rsidR="00AE08C4" w:rsidRDefault="002067E5">
      <w:pPr>
        <w:pStyle w:val="BodyText"/>
        <w:spacing w:before="72"/>
        <w:ind w:left="940" w:right="102"/>
      </w:pPr>
      <w:r>
        <w:lastRenderedPageBreak/>
        <w:t>install process will display a report of terms that were deactivated that are still being used in a flowsheet, allowing local staff to modify those views and flowsheets.</w:t>
      </w:r>
    </w:p>
    <w:p w14:paraId="2DBEABA0" w14:textId="77777777" w:rsidR="00AE08C4" w:rsidRDefault="002067E5">
      <w:pPr>
        <w:spacing w:before="63" w:line="292" w:lineRule="exact"/>
        <w:ind w:left="580"/>
        <w:rPr>
          <w:sz w:val="24"/>
        </w:rPr>
      </w:pPr>
      <w:r>
        <w:rPr>
          <w:noProof/>
          <w:position w:val="-5"/>
        </w:rPr>
        <w:drawing>
          <wp:inline distT="0" distB="0" distL="0" distR="0" wp14:anchorId="7A67E254" wp14:editId="7E62B7AF">
            <wp:extent cx="140207" cy="187451"/>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4"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rPr>
          <w:sz w:val="24"/>
        </w:rPr>
        <w:t xml:space="preserve">MD*1.0*23 includes </w:t>
      </w:r>
      <w:r>
        <w:rPr>
          <w:i/>
          <w:sz w:val="24"/>
        </w:rPr>
        <w:t xml:space="preserve">pre-install </w:t>
      </w:r>
      <w:r>
        <w:rPr>
          <w:sz w:val="24"/>
        </w:rPr>
        <w:t xml:space="preserve">routine MDPRE23 and </w:t>
      </w:r>
      <w:r>
        <w:rPr>
          <w:i/>
          <w:sz w:val="24"/>
        </w:rPr>
        <w:t xml:space="preserve">post-install </w:t>
      </w:r>
      <w:r>
        <w:rPr>
          <w:sz w:val="24"/>
        </w:rPr>
        <w:t>routine</w:t>
      </w:r>
      <w:r>
        <w:rPr>
          <w:spacing w:val="-4"/>
          <w:sz w:val="24"/>
        </w:rPr>
        <w:t xml:space="preserve"> </w:t>
      </w:r>
      <w:r>
        <w:rPr>
          <w:sz w:val="24"/>
        </w:rPr>
        <w:t>MDPOST23.</w:t>
      </w:r>
    </w:p>
    <w:p w14:paraId="06CAD5BF" w14:textId="77777777" w:rsidR="00AE08C4" w:rsidRDefault="002067E5">
      <w:pPr>
        <w:pStyle w:val="BodyText"/>
        <w:spacing w:line="273" w:lineRule="exact"/>
        <w:ind w:left="940"/>
      </w:pPr>
      <w:r>
        <w:t>Verify that these routines are complete before attempting to use CP Flowsheets.</w:t>
      </w:r>
    </w:p>
    <w:p w14:paraId="2E76B1D7" w14:textId="77777777" w:rsidR="00AE08C4" w:rsidRDefault="002067E5">
      <w:pPr>
        <w:pStyle w:val="BodyText"/>
        <w:spacing w:before="66" w:line="237" w:lineRule="auto"/>
        <w:ind w:left="940" w:right="361" w:hanging="360"/>
      </w:pPr>
      <w:r>
        <w:rPr>
          <w:noProof/>
          <w:position w:val="-5"/>
        </w:rPr>
        <w:drawing>
          <wp:inline distT="0" distB="0" distL="0" distR="0" wp14:anchorId="2C2DA87D" wp14:editId="6EA59D3F">
            <wp:extent cx="140207" cy="18745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4"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The IV DOSE Rate observation is deactivated in MD*1.0*23 and replaced with a series of dosage/rate specific observations. Before you install MD*1.0*23, print reports covering the appropriate time span prior to installation if your site uses IV Dose Rate observations. After the patch is installed, please update observations and views based</w:t>
      </w:r>
      <w:r>
        <w:rPr>
          <w:spacing w:val="-13"/>
        </w:rPr>
        <w:t xml:space="preserve"> </w:t>
      </w:r>
      <w:r>
        <w:t>on need.</w:t>
      </w:r>
    </w:p>
    <w:p w14:paraId="1A915A74" w14:textId="77777777" w:rsidR="00AE08C4" w:rsidRDefault="00AE08C4">
      <w:pPr>
        <w:pStyle w:val="BodyText"/>
        <w:spacing w:before="7"/>
        <w:rPr>
          <w:sz w:val="21"/>
        </w:rPr>
      </w:pPr>
    </w:p>
    <w:p w14:paraId="5547C358" w14:textId="77777777" w:rsidR="00AE08C4" w:rsidRDefault="002067E5">
      <w:pPr>
        <w:pStyle w:val="Heading2"/>
        <w:spacing w:before="1"/>
      </w:pPr>
      <w:bookmarkStart w:id="5" w:name="_bookmark5"/>
      <w:bookmarkEnd w:id="5"/>
      <w:r>
        <w:t>Validated Patient Monitoring Devices</w:t>
      </w:r>
    </w:p>
    <w:p w14:paraId="3D1DF171" w14:textId="77777777" w:rsidR="00AE08C4" w:rsidRDefault="002067E5">
      <w:pPr>
        <w:pStyle w:val="BodyText"/>
        <w:spacing w:before="238"/>
        <w:ind w:left="220" w:right="427"/>
      </w:pPr>
      <w:r>
        <w:t>A supported device is one that has its data elements mapped to the standard terminology of the CliO database. The following devices are currently supported:</w:t>
      </w:r>
    </w:p>
    <w:p w14:paraId="40C45A29" w14:textId="77777777" w:rsidR="00AE08C4" w:rsidRDefault="00AE08C4">
      <w:pPr>
        <w:pStyle w:val="BodyText"/>
        <w:spacing w:before="2"/>
        <w:rPr>
          <w:sz w:val="23"/>
        </w:rPr>
      </w:pPr>
    </w:p>
    <w:p w14:paraId="47C3B621" w14:textId="77777777" w:rsidR="00AE08C4" w:rsidRDefault="00BB6953">
      <w:pPr>
        <w:pStyle w:val="BodyText"/>
        <w:spacing w:before="90" w:line="307" w:lineRule="auto"/>
        <w:ind w:left="940" w:right="5626"/>
      </w:pPr>
      <w:r>
        <w:pict w14:anchorId="628E71EC">
          <v:group id="_x0000_s1026" style="position:absolute;left:0;text-align:left;margin-left:90pt;margin-top:3.7pt;width:11.05pt;height:226.7pt;z-index:251658240;mso-position-horizontal-relative:page" coordorigin="1800,74" coordsize="221,4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1800;top:74;width:221;height:296">
              <v:imagedata r:id="rId16" o:title=""/>
            </v:shape>
            <v:shape id="_x0000_s1038" type="#_x0000_t75" style="position:absolute;left:1800;top:426;width:221;height:296">
              <v:imagedata r:id="rId16" o:title=""/>
            </v:shape>
            <v:shape id="_x0000_s1037" type="#_x0000_t75" style="position:absolute;left:1800;top:779;width:221;height:296">
              <v:imagedata r:id="rId16" o:title=""/>
            </v:shape>
            <v:shape id="_x0000_s1036" type="#_x0000_t75" style="position:absolute;left:1800;top:1132;width:221;height:296">
              <v:imagedata r:id="rId16" o:title=""/>
            </v:shape>
            <v:shape id="_x0000_s1035" type="#_x0000_t75" style="position:absolute;left:1800;top:1485;width:221;height:296">
              <v:imagedata r:id="rId16" o:title=""/>
            </v:shape>
            <v:shape id="_x0000_s1034" type="#_x0000_t75" style="position:absolute;left:1800;top:1838;width:221;height:296">
              <v:imagedata r:id="rId16" o:title=""/>
            </v:shape>
            <v:shape id="_x0000_s1033" type="#_x0000_t75" style="position:absolute;left:1800;top:2193;width:221;height:296">
              <v:imagedata r:id="rId16" o:title=""/>
            </v:shape>
            <v:shape id="_x0000_s1032" type="#_x0000_t75" style="position:absolute;left:1800;top:2546;width:221;height:296">
              <v:imagedata r:id="rId16" o:title=""/>
            </v:shape>
            <v:shape id="_x0000_s1031" type="#_x0000_t75" style="position:absolute;left:1800;top:2899;width:221;height:296">
              <v:imagedata r:id="rId16" o:title=""/>
            </v:shape>
            <v:shape id="_x0000_s1030" type="#_x0000_t75" style="position:absolute;left:1800;top:3252;width:221;height:296">
              <v:imagedata r:id="rId16" o:title=""/>
            </v:shape>
            <v:shape id="_x0000_s1029" type="#_x0000_t75" style="position:absolute;left:1800;top:3604;width:221;height:296">
              <v:imagedata r:id="rId16" o:title=""/>
            </v:shape>
            <v:shape id="_x0000_s1028" type="#_x0000_t75" style="position:absolute;left:1800;top:3957;width:221;height:296">
              <v:imagedata r:id="rId16" o:title=""/>
            </v:shape>
            <v:shape id="_x0000_s1027" type="#_x0000_t75" style="position:absolute;left:1800;top:4312;width:221;height:296">
              <v:imagedata r:id="rId16" o:title=""/>
            </v:shape>
            <w10:wrap anchorx="page"/>
          </v:group>
        </w:pict>
      </w:r>
      <w:r w:rsidR="002067E5">
        <w:t>Intesys Clinical Suite</w:t>
      </w:r>
      <w:r w:rsidR="002067E5">
        <w:rPr>
          <w:spacing w:val="-19"/>
        </w:rPr>
        <w:t xml:space="preserve"> </w:t>
      </w:r>
      <w:r w:rsidR="002067E5">
        <w:t>(Spacelabs) PC1</w:t>
      </w:r>
      <w:r w:rsidR="002067E5">
        <w:rPr>
          <w:spacing w:val="-1"/>
        </w:rPr>
        <w:t xml:space="preserve"> </w:t>
      </w:r>
      <w:r w:rsidR="002067E5">
        <w:t>(Spacelabs)</w:t>
      </w:r>
    </w:p>
    <w:p w14:paraId="3A2EE4A8" w14:textId="77777777" w:rsidR="00AE08C4" w:rsidRDefault="002067E5">
      <w:pPr>
        <w:pStyle w:val="BodyText"/>
        <w:spacing w:line="275" w:lineRule="exact"/>
        <w:ind w:left="940"/>
      </w:pPr>
      <w:r>
        <w:t>PC2</w:t>
      </w:r>
      <w:r>
        <w:rPr>
          <w:spacing w:val="-4"/>
        </w:rPr>
        <w:t xml:space="preserve"> </w:t>
      </w:r>
      <w:r>
        <w:t>(Spacelabs)</w:t>
      </w:r>
    </w:p>
    <w:p w14:paraId="3406E49D" w14:textId="77777777" w:rsidR="00AE08C4" w:rsidRDefault="002067E5">
      <w:pPr>
        <w:pStyle w:val="BodyText"/>
        <w:spacing w:before="76"/>
        <w:ind w:left="940"/>
      </w:pPr>
      <w:r>
        <w:t>Ultraview 1050</w:t>
      </w:r>
      <w:r>
        <w:rPr>
          <w:spacing w:val="-5"/>
        </w:rPr>
        <w:t xml:space="preserve"> </w:t>
      </w:r>
      <w:r>
        <w:t>(Spacelabs)</w:t>
      </w:r>
    </w:p>
    <w:p w14:paraId="077D1DE0" w14:textId="77777777" w:rsidR="00AE08C4" w:rsidRDefault="002067E5">
      <w:pPr>
        <w:pStyle w:val="BodyText"/>
        <w:spacing w:before="77"/>
        <w:ind w:left="940"/>
      </w:pPr>
      <w:r>
        <w:t>Ultraview 1600</w:t>
      </w:r>
      <w:r>
        <w:rPr>
          <w:spacing w:val="-5"/>
        </w:rPr>
        <w:t xml:space="preserve"> </w:t>
      </w:r>
      <w:r>
        <w:t>(Spacelabs)</w:t>
      </w:r>
    </w:p>
    <w:p w14:paraId="65EFCEBF" w14:textId="77777777" w:rsidR="00AE08C4" w:rsidRDefault="002067E5">
      <w:pPr>
        <w:pStyle w:val="BodyText"/>
        <w:spacing w:before="77" w:line="307" w:lineRule="auto"/>
        <w:ind w:left="940" w:right="5880"/>
      </w:pPr>
      <w:r>
        <w:t>Ultraview 1700 (Spacelabs) Ultraview SL2200 (Spacelabs) Ultraview SL2400 (Spacelabs) Ultraview SL2600 (Spacelabs) Ultraview SL2700 (Spacelabs) Ultraview SL2800 (Spacelabs) Ultraview SL3800 (Spacelabs) Nihon Koden</w:t>
      </w:r>
    </w:p>
    <w:p w14:paraId="3BDB7451" w14:textId="77777777" w:rsidR="00AE08C4" w:rsidRDefault="00AE08C4">
      <w:pPr>
        <w:spacing w:line="307" w:lineRule="auto"/>
        <w:sectPr w:rsidR="00AE08C4">
          <w:footerReference w:type="default" r:id="rId17"/>
          <w:pgSz w:w="12240" w:h="15840"/>
          <w:pgMar w:top="1360" w:right="1220" w:bottom="1160" w:left="1220" w:header="0" w:footer="976" w:gutter="0"/>
          <w:cols w:space="720"/>
        </w:sectPr>
      </w:pPr>
    </w:p>
    <w:p w14:paraId="6D0A15B9" w14:textId="77777777" w:rsidR="00AE08C4" w:rsidRDefault="002067E5">
      <w:pPr>
        <w:pStyle w:val="Heading2"/>
        <w:spacing w:before="175"/>
      </w:pPr>
      <w:bookmarkStart w:id="6" w:name="_bookmark6"/>
      <w:bookmarkEnd w:id="6"/>
      <w:r>
        <w:lastRenderedPageBreak/>
        <w:t>Additional Medical Monitoring Devices</w:t>
      </w:r>
    </w:p>
    <w:p w14:paraId="36F0534B" w14:textId="77777777" w:rsidR="00AE08C4" w:rsidRDefault="002067E5">
      <w:pPr>
        <w:pStyle w:val="BodyText"/>
        <w:spacing w:before="236"/>
        <w:ind w:left="220" w:right="269"/>
      </w:pPr>
      <w:r>
        <w:t>ICU devices will be added to the list of validated instruments as the devices are certified through the Hines Field Office.</w:t>
      </w:r>
    </w:p>
    <w:p w14:paraId="3CB82C1A" w14:textId="77777777" w:rsidR="00AE08C4" w:rsidRDefault="00AE08C4">
      <w:pPr>
        <w:pStyle w:val="BodyText"/>
      </w:pPr>
    </w:p>
    <w:p w14:paraId="0080C2B5" w14:textId="77777777" w:rsidR="00AE08C4" w:rsidRDefault="002067E5">
      <w:pPr>
        <w:ind w:left="220" w:right="281"/>
        <w:rPr>
          <w:sz w:val="24"/>
        </w:rPr>
      </w:pPr>
      <w:r>
        <w:rPr>
          <w:sz w:val="24"/>
        </w:rPr>
        <w:t xml:space="preserve">For sites that want to implement ICU devices, but do not have Clinical Procedures implemented, refer to the </w:t>
      </w:r>
      <w:r>
        <w:rPr>
          <w:i/>
          <w:sz w:val="24"/>
        </w:rPr>
        <w:t>Clinical Procedures (CP) V1.0 Flowsheets Module Implementation Guide</w:t>
      </w:r>
      <w:r>
        <w:rPr>
          <w:sz w:val="24"/>
        </w:rPr>
        <w:t>. You do not need to implement the legacy Clinical Procedures.</w:t>
      </w:r>
    </w:p>
    <w:p w14:paraId="66BA4463" w14:textId="77777777" w:rsidR="00AE08C4" w:rsidRDefault="00AE08C4">
      <w:pPr>
        <w:pStyle w:val="BodyText"/>
      </w:pPr>
    </w:p>
    <w:p w14:paraId="12DE715F" w14:textId="77777777" w:rsidR="00AE08C4" w:rsidRDefault="002067E5">
      <w:pPr>
        <w:pStyle w:val="BodyText"/>
        <w:ind w:left="220" w:right="555"/>
      </w:pPr>
      <w:r>
        <w:t>For sites that use legacy Clinical Procedures and want to implement the CP Flowsheets patch, continue using the legacy CP modules and use CP Console to configure the ICU devices.</w:t>
      </w:r>
    </w:p>
    <w:p w14:paraId="7AAFFB90" w14:textId="77777777" w:rsidR="00AE08C4" w:rsidRDefault="002067E5">
      <w:pPr>
        <w:pStyle w:val="BodyText"/>
        <w:spacing w:before="120"/>
        <w:ind w:left="1588" w:right="979" w:hanging="648"/>
      </w:pPr>
      <w:r>
        <w:rPr>
          <w:b/>
        </w:rPr>
        <w:t xml:space="preserve">Note: </w:t>
      </w:r>
      <w:r>
        <w:t>The CP Manager application is no longer supported after the installation</w:t>
      </w:r>
      <w:r>
        <w:rPr>
          <w:spacing w:val="-19"/>
        </w:rPr>
        <w:t xml:space="preserve"> </w:t>
      </w:r>
      <w:r>
        <w:t>of MD*1.0*16, which must be installed prior to the installation of MD*1.0*23.  Use CP Console to perform the functions previously provided by CP</w:t>
      </w:r>
      <w:r>
        <w:rPr>
          <w:spacing w:val="-5"/>
        </w:rPr>
        <w:t xml:space="preserve"> </w:t>
      </w:r>
      <w:r>
        <w:t>Manager</w:t>
      </w:r>
    </w:p>
    <w:p w14:paraId="4C52AA0A" w14:textId="77777777" w:rsidR="00AE08C4" w:rsidRDefault="00AE08C4">
      <w:pPr>
        <w:sectPr w:rsidR="00AE08C4">
          <w:footerReference w:type="default" r:id="rId18"/>
          <w:pgSz w:w="12240" w:h="15840"/>
          <w:pgMar w:top="1500" w:right="1220" w:bottom="1160" w:left="1220" w:header="0" w:footer="976" w:gutter="0"/>
          <w:cols w:space="720"/>
        </w:sectPr>
      </w:pPr>
    </w:p>
    <w:p w14:paraId="1A521CAC" w14:textId="77777777" w:rsidR="00AE08C4" w:rsidRDefault="002067E5">
      <w:pPr>
        <w:spacing w:before="72"/>
        <w:ind w:left="896" w:right="896"/>
        <w:jc w:val="center"/>
        <w:rPr>
          <w:i/>
          <w:sz w:val="24"/>
        </w:rPr>
      </w:pPr>
      <w:r>
        <w:rPr>
          <w:i/>
          <w:sz w:val="24"/>
        </w:rPr>
        <w:lastRenderedPageBreak/>
        <w:t>This page intentionally left blank for double-sided printing.</w:t>
      </w:r>
    </w:p>
    <w:p w14:paraId="5B22C08F" w14:textId="77777777" w:rsidR="00AE08C4" w:rsidRDefault="00AE08C4">
      <w:pPr>
        <w:pStyle w:val="BodyText"/>
        <w:rPr>
          <w:i/>
          <w:sz w:val="20"/>
        </w:rPr>
      </w:pPr>
    </w:p>
    <w:p w14:paraId="5F421220" w14:textId="77777777" w:rsidR="00AE08C4" w:rsidRDefault="00AE08C4">
      <w:pPr>
        <w:pStyle w:val="BodyText"/>
        <w:spacing w:before="1"/>
        <w:rPr>
          <w:i/>
          <w:sz w:val="17"/>
        </w:rPr>
      </w:pPr>
    </w:p>
    <w:p w14:paraId="1417E164" w14:textId="256405A7" w:rsidR="00AE08C4" w:rsidRDefault="002067E5" w:rsidP="002067E5">
      <w:pPr>
        <w:pStyle w:val="BodyText"/>
        <w:spacing w:before="90"/>
        <w:ind w:left="940"/>
        <w:sectPr w:rsidR="00AE08C4">
          <w:footerReference w:type="default" r:id="rId19"/>
          <w:pgSz w:w="12240" w:h="15840"/>
          <w:pgMar w:top="1360" w:right="1220" w:bottom="1160" w:left="1220" w:header="0" w:footer="976" w:gutter="0"/>
          <w:cols w:space="720"/>
        </w:sectPr>
      </w:pPr>
      <w:r>
        <w:t>.</w:t>
      </w:r>
    </w:p>
    <w:p w14:paraId="732E6E86" w14:textId="77777777" w:rsidR="00AE08C4" w:rsidRDefault="00AE08C4">
      <w:pPr>
        <w:pStyle w:val="BodyText"/>
        <w:spacing w:before="4"/>
        <w:rPr>
          <w:sz w:val="17"/>
        </w:rPr>
      </w:pPr>
    </w:p>
    <w:sectPr w:rsidR="00AE08C4">
      <w:footerReference w:type="default" r:id="rId20"/>
      <w:pgSz w:w="15840" w:h="12240" w:orient="landscape"/>
      <w:pgMar w:top="1140" w:right="2260" w:bottom="1080" w:left="226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2AD4F" w14:textId="77777777" w:rsidR="00BB6953" w:rsidRDefault="00BB6953">
      <w:r>
        <w:separator/>
      </w:r>
    </w:p>
  </w:endnote>
  <w:endnote w:type="continuationSeparator" w:id="0">
    <w:p w14:paraId="7724B8E7" w14:textId="77777777" w:rsidR="00BB6953" w:rsidRDefault="00BB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9898" w14:textId="77777777" w:rsidR="00AE08C4" w:rsidRDefault="00BB6953">
    <w:pPr>
      <w:pStyle w:val="BodyText"/>
      <w:spacing w:line="14" w:lineRule="auto"/>
      <w:rPr>
        <w:sz w:val="20"/>
      </w:rPr>
    </w:pPr>
    <w:r>
      <w:pict w14:anchorId="2452E8CB">
        <v:shapetype id="_x0000_t202" coordsize="21600,21600" o:spt="202" path="m,l,21600r21600,l21600,xe">
          <v:stroke joinstyle="miter"/>
          <v:path gradientshapeok="t" o:connecttype="rect"/>
        </v:shapetype>
        <v:shape id="_x0000_s2078" type="#_x0000_t202" style="position:absolute;margin-left:71pt;margin-top:732.2pt;width:60.55pt;height:13.05pt;z-index:-252357632;mso-position-horizontal-relative:page;mso-position-vertical-relative:page" filled="f" stroked="f">
          <v:textbox inset="0,0,0,0">
            <w:txbxContent>
              <w:p w14:paraId="5FCB5075" w14:textId="77777777" w:rsidR="00AE08C4" w:rsidRDefault="002067E5">
                <w:pPr>
                  <w:spacing w:before="10"/>
                  <w:ind w:left="20"/>
                  <w:rPr>
                    <w:sz w:val="20"/>
                  </w:rPr>
                </w:pPr>
                <w:r>
                  <w:rPr>
                    <w:sz w:val="20"/>
                  </w:rPr>
                  <w:t>February 2012</w:t>
                </w:r>
              </w:p>
            </w:txbxContent>
          </v:textbox>
          <w10:wrap anchorx="page" anchory="page"/>
        </v:shape>
      </w:pict>
    </w:r>
    <w:r>
      <w:pict w14:anchorId="1BB983B2">
        <v:shape id="_x0000_s2077" type="#_x0000_t202" style="position:absolute;margin-left:185.4pt;margin-top:732.2pt;width:205.15pt;height:24.55pt;z-index:-252356608;mso-position-horizontal-relative:page;mso-position-vertical-relative:page" filled="f" stroked="f">
          <v:textbox inset="0,0,0,0">
            <w:txbxContent>
              <w:p w14:paraId="7C639D78" w14:textId="77777777" w:rsidR="00AE08C4" w:rsidRDefault="002067E5">
                <w:pPr>
                  <w:spacing w:before="10"/>
                  <w:ind w:left="906" w:right="-3" w:hanging="887"/>
                  <w:rPr>
                    <w:sz w:val="20"/>
                  </w:rPr>
                </w:pPr>
                <w:r>
                  <w:rPr>
                    <w:sz w:val="20"/>
                  </w:rPr>
                  <w:t>Clinical Procedures (CP) V2.0 Flowsheets Module (MD*1.0*23) Release Notes</w:t>
                </w:r>
              </w:p>
            </w:txbxContent>
          </v:textbox>
          <w10:wrap anchorx="page" anchory="page"/>
        </v:shape>
      </w:pict>
    </w:r>
    <w:r>
      <w:pict w14:anchorId="36FE163C">
        <v:shape id="_x0000_s2076" type="#_x0000_t202" style="position:absolute;margin-left:500.35pt;margin-top:732.2pt;width:4.8pt;height:13.05pt;z-index:-252355584;mso-position-horizontal-relative:page;mso-position-vertical-relative:page" filled="f" stroked="f">
          <v:textbox inset="0,0,0,0">
            <w:txbxContent>
              <w:p w14:paraId="64BA0FDB" w14:textId="77777777" w:rsidR="00AE08C4" w:rsidRDefault="002067E5">
                <w:pPr>
                  <w:spacing w:before="10"/>
                  <w:ind w:left="20"/>
                  <w:rPr>
                    <w:sz w:val="20"/>
                  </w:rPr>
                </w:pPr>
                <w:r>
                  <w:rPr>
                    <w:w w:val="99"/>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26D6B" w14:textId="77777777" w:rsidR="00AE08C4" w:rsidRDefault="00BB6953">
    <w:pPr>
      <w:pStyle w:val="BodyText"/>
      <w:spacing w:line="14" w:lineRule="auto"/>
      <w:rPr>
        <w:sz w:val="20"/>
      </w:rPr>
    </w:pPr>
    <w:r>
      <w:pict w14:anchorId="561725D0">
        <v:shapetype id="_x0000_t202" coordsize="21600,21600" o:spt="202" path="m,l,21600r21600,l21600,xe">
          <v:stroke joinstyle="miter"/>
          <v:path gradientshapeok="t" o:connecttype="rect"/>
        </v:shapetype>
        <v:shape id="_x0000_s2054" type="#_x0000_t202" style="position:absolute;margin-left:71pt;margin-top:732.2pt;width:7pt;height:13.05pt;z-index:-252333056;mso-position-horizontal-relative:page;mso-position-vertical-relative:page" filled="f" stroked="f">
          <v:textbox inset="0,0,0,0">
            <w:txbxContent>
              <w:p w14:paraId="53C2BC14" w14:textId="77777777" w:rsidR="00AE08C4" w:rsidRDefault="002067E5">
                <w:pPr>
                  <w:spacing w:before="10"/>
                  <w:ind w:left="20"/>
                  <w:rPr>
                    <w:sz w:val="20"/>
                  </w:rPr>
                </w:pPr>
                <w:r>
                  <w:rPr>
                    <w:w w:val="99"/>
                    <w:sz w:val="20"/>
                  </w:rPr>
                  <w:t>6</w:t>
                </w:r>
              </w:p>
            </w:txbxContent>
          </v:textbox>
          <w10:wrap anchorx="page" anchory="page"/>
        </v:shape>
      </w:pict>
    </w:r>
    <w:r>
      <w:pict w14:anchorId="511278B9">
        <v:shape id="_x0000_s2053" type="#_x0000_t202" style="position:absolute;margin-left:203.4pt;margin-top:732.2pt;width:205.1pt;height:24.55pt;z-index:-252332032;mso-position-horizontal-relative:page;mso-position-vertical-relative:page" filled="f" stroked="f">
          <v:textbox inset="0,0,0,0">
            <w:txbxContent>
              <w:p w14:paraId="16D9ED10" w14:textId="77777777" w:rsidR="00AE08C4" w:rsidRDefault="002067E5">
                <w:pPr>
                  <w:spacing w:before="10"/>
                  <w:ind w:left="905" w:right="-4" w:hanging="886"/>
                  <w:rPr>
                    <w:sz w:val="20"/>
                  </w:rPr>
                </w:pPr>
                <w:r>
                  <w:rPr>
                    <w:sz w:val="20"/>
                  </w:rPr>
                  <w:t>Clinical Procedures (CP) V2.0 Flowsheets Module (MD*1.0*23) Release Notes</w:t>
                </w:r>
              </w:p>
            </w:txbxContent>
          </v:textbox>
          <w10:wrap anchorx="page" anchory="page"/>
        </v:shape>
      </w:pict>
    </w:r>
    <w:r>
      <w:pict w14:anchorId="4CAE3B15">
        <v:shape id="_x0000_s2052" type="#_x0000_t202" style="position:absolute;margin-left:444.5pt;margin-top:732.2pt;width:60.65pt;height:13.05pt;z-index:-252331008;mso-position-horizontal-relative:page;mso-position-vertical-relative:page" filled="f" stroked="f">
          <v:textbox inset="0,0,0,0">
            <w:txbxContent>
              <w:p w14:paraId="54445F3A" w14:textId="77777777" w:rsidR="00AE08C4" w:rsidRDefault="002067E5">
                <w:pPr>
                  <w:spacing w:before="10"/>
                  <w:ind w:left="20"/>
                  <w:rPr>
                    <w:sz w:val="20"/>
                  </w:rPr>
                </w:pPr>
                <w:r>
                  <w:rPr>
                    <w:sz w:val="20"/>
                  </w:rPr>
                  <w:t>February 2012</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374D4" w14:textId="77777777" w:rsidR="00AE08C4" w:rsidRDefault="00BB6953">
    <w:pPr>
      <w:pStyle w:val="BodyText"/>
      <w:spacing w:line="14" w:lineRule="auto"/>
      <w:rPr>
        <w:sz w:val="20"/>
      </w:rPr>
    </w:pPr>
    <w:r>
      <w:pict w14:anchorId="531D615B">
        <v:shapetype id="_x0000_t202" coordsize="21600,21600" o:spt="202" path="m,l,21600r21600,l21600,xe">
          <v:stroke joinstyle="miter"/>
          <v:path gradientshapeok="t" o:connecttype="rect"/>
        </v:shapetype>
        <v:shape id="_x0000_s2051" type="#_x0000_t202" style="position:absolute;margin-left:71pt;margin-top:552.2pt;width:60.65pt;height:13.05pt;z-index:-252329984;mso-position-horizontal-relative:page;mso-position-vertical-relative:page" filled="f" stroked="f">
          <v:textbox inset="0,0,0,0">
            <w:txbxContent>
              <w:p w14:paraId="2C47532D" w14:textId="77777777" w:rsidR="00AE08C4" w:rsidRDefault="002067E5">
                <w:pPr>
                  <w:spacing w:before="10"/>
                  <w:ind w:left="20"/>
                  <w:rPr>
                    <w:sz w:val="20"/>
                  </w:rPr>
                </w:pPr>
                <w:r>
                  <w:rPr>
                    <w:sz w:val="20"/>
                  </w:rPr>
                  <w:t>February 2012</w:t>
                </w:r>
              </w:p>
            </w:txbxContent>
          </v:textbox>
          <w10:wrap anchorx="page" anchory="page"/>
        </v:shape>
      </w:pict>
    </w:r>
    <w:r>
      <w:pict w14:anchorId="292CB9E6">
        <v:shape id="_x0000_s2050" type="#_x0000_t202" style="position:absolute;margin-left:305.05pt;margin-top:552.2pt;width:205.1pt;height:24.55pt;z-index:-252328960;mso-position-horizontal-relative:page;mso-position-vertical-relative:page" filled="f" stroked="f">
          <v:textbox inset="0,0,0,0">
            <w:txbxContent>
              <w:p w14:paraId="30E73EAF" w14:textId="77777777" w:rsidR="00AE08C4" w:rsidRDefault="002067E5">
                <w:pPr>
                  <w:spacing w:before="10"/>
                  <w:ind w:left="672" w:right="-4" w:hanging="653"/>
                  <w:rPr>
                    <w:sz w:val="20"/>
                  </w:rPr>
                </w:pPr>
                <w:r>
                  <w:rPr>
                    <w:sz w:val="20"/>
                  </w:rPr>
                  <w:t>Clinical Procedures (CP) V2.0 Flowsheets Module (MD*1.0*23) Release Notes</w:t>
                </w:r>
              </w:p>
            </w:txbxContent>
          </v:textbox>
          <w10:wrap anchorx="page" anchory="page"/>
        </v:shape>
      </w:pict>
    </w:r>
    <w:r>
      <w:pict w14:anchorId="33E47E3A">
        <v:shape id="_x0000_s2049" type="#_x0000_t202" style="position:absolute;margin-left:683.1pt;margin-top:552.2pt;width:7pt;height:13.05pt;z-index:-252327936;mso-position-horizontal-relative:page;mso-position-vertical-relative:page" filled="f" stroked="f">
          <v:textbox inset="0,0,0,0">
            <w:txbxContent>
              <w:p w14:paraId="2200F104" w14:textId="77777777" w:rsidR="00AE08C4" w:rsidRDefault="002067E5">
                <w:pPr>
                  <w:spacing w:before="10"/>
                  <w:ind w:left="20"/>
                  <w:rPr>
                    <w:sz w:val="20"/>
                  </w:rPr>
                </w:pPr>
                <w:r>
                  <w:rPr>
                    <w:w w:val="99"/>
                    <w:sz w:val="20"/>
                  </w:rPr>
                  <w:t>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E3D08" w14:textId="77777777" w:rsidR="00AE08C4" w:rsidRDefault="00AE08C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5A8A3" w14:textId="77777777" w:rsidR="00AE08C4" w:rsidRDefault="00BB6953">
    <w:pPr>
      <w:pStyle w:val="BodyText"/>
      <w:spacing w:line="14" w:lineRule="auto"/>
      <w:rPr>
        <w:sz w:val="20"/>
      </w:rPr>
    </w:pPr>
    <w:r>
      <w:pict w14:anchorId="4CA7DC14">
        <v:shapetype id="_x0000_t202" coordsize="21600,21600" o:spt="202" path="m,l,21600r21600,l21600,xe">
          <v:stroke joinstyle="miter"/>
          <v:path gradientshapeok="t" o:connecttype="rect"/>
        </v:shapetype>
        <v:shape id="_x0000_s2075" type="#_x0000_t202" style="position:absolute;margin-left:71pt;margin-top:732.2pt;width:60.55pt;height:13.05pt;z-index:-252354560;mso-position-horizontal-relative:page;mso-position-vertical-relative:page" filled="f" stroked="f">
          <v:textbox inset="0,0,0,0">
            <w:txbxContent>
              <w:p w14:paraId="678891DA" w14:textId="77777777" w:rsidR="00AE08C4" w:rsidRDefault="002067E5">
                <w:pPr>
                  <w:spacing w:before="10"/>
                  <w:ind w:left="20"/>
                  <w:rPr>
                    <w:sz w:val="20"/>
                  </w:rPr>
                </w:pPr>
                <w:r>
                  <w:rPr>
                    <w:sz w:val="20"/>
                  </w:rPr>
                  <w:t>February 2012</w:t>
                </w:r>
              </w:p>
            </w:txbxContent>
          </v:textbox>
          <w10:wrap anchorx="page" anchory="page"/>
        </v:shape>
      </w:pict>
    </w:r>
    <w:r>
      <w:pict w14:anchorId="5EB2D4C3">
        <v:shape id="_x0000_s2074" type="#_x0000_t202" style="position:absolute;margin-left:185.4pt;margin-top:732.2pt;width:205.15pt;height:24.55pt;z-index:-252353536;mso-position-horizontal-relative:page;mso-position-vertical-relative:page" filled="f" stroked="f">
          <v:textbox inset="0,0,0,0">
            <w:txbxContent>
              <w:p w14:paraId="0C428AEA" w14:textId="77777777" w:rsidR="00AE08C4" w:rsidRDefault="002067E5">
                <w:pPr>
                  <w:spacing w:before="10"/>
                  <w:ind w:left="906" w:right="-3" w:hanging="887"/>
                  <w:rPr>
                    <w:sz w:val="20"/>
                  </w:rPr>
                </w:pPr>
                <w:r>
                  <w:rPr>
                    <w:sz w:val="20"/>
                  </w:rPr>
                  <w:t>Clinical Procedures (CP) V2.0 Flowsheets Module (MD*1.0*23) Release Notes</w:t>
                </w:r>
              </w:p>
            </w:txbxContent>
          </v:textbox>
          <w10:wrap anchorx="page" anchory="page"/>
        </v:shape>
      </w:pict>
    </w:r>
    <w:r>
      <w:pict w14:anchorId="0D993374">
        <v:shape id="_x0000_s2073" type="#_x0000_t202" style="position:absolute;margin-left:494.8pt;margin-top:732.2pt;width:10.3pt;height:13.05pt;z-index:-252352512;mso-position-horizontal-relative:page;mso-position-vertical-relative:page" filled="f" stroked="f">
          <v:textbox inset="0,0,0,0">
            <w:txbxContent>
              <w:p w14:paraId="4924EF8C" w14:textId="77777777" w:rsidR="00AE08C4" w:rsidRDefault="002067E5">
                <w:pPr>
                  <w:spacing w:before="10"/>
                  <w:ind w:left="20"/>
                  <w:rPr>
                    <w:sz w:val="20"/>
                  </w:rPr>
                </w:pPr>
                <w:r>
                  <w:rPr>
                    <w:sz w:val="20"/>
                  </w:rPr>
                  <w:t>iii</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44AC4" w14:textId="77777777" w:rsidR="00AE08C4" w:rsidRDefault="00BB6953">
    <w:pPr>
      <w:pStyle w:val="BodyText"/>
      <w:spacing w:line="14" w:lineRule="auto"/>
      <w:rPr>
        <w:sz w:val="20"/>
      </w:rPr>
    </w:pPr>
    <w:r>
      <w:pict w14:anchorId="4957B139">
        <v:shapetype id="_x0000_t202" coordsize="21600,21600" o:spt="202" path="m,l,21600r21600,l21600,xe">
          <v:stroke joinstyle="miter"/>
          <v:path gradientshapeok="t" o:connecttype="rect"/>
        </v:shapetype>
        <v:shape id="_x0000_s2072" type="#_x0000_t202" style="position:absolute;margin-left:71pt;margin-top:732.2pt;width:9.75pt;height:13.05pt;z-index:-252351488;mso-position-horizontal-relative:page;mso-position-vertical-relative:page" filled="f" stroked="f">
          <v:textbox inset="0,0,0,0">
            <w:txbxContent>
              <w:p w14:paraId="7D9BE3DF" w14:textId="77777777" w:rsidR="00AE08C4" w:rsidRDefault="002067E5">
                <w:pPr>
                  <w:spacing w:before="10"/>
                  <w:ind w:left="20"/>
                  <w:rPr>
                    <w:sz w:val="20"/>
                  </w:rPr>
                </w:pPr>
                <w:r>
                  <w:rPr>
                    <w:sz w:val="20"/>
                  </w:rPr>
                  <w:t>iv</w:t>
                </w:r>
              </w:p>
            </w:txbxContent>
          </v:textbox>
          <w10:wrap anchorx="page" anchory="page"/>
        </v:shape>
      </w:pict>
    </w:r>
    <w:r>
      <w:pict w14:anchorId="4436A781">
        <v:shape id="_x0000_s2071" type="#_x0000_t202" style="position:absolute;margin-left:176.75pt;margin-top:732.2pt;width:205.15pt;height:24.55pt;z-index:-252350464;mso-position-horizontal-relative:page;mso-position-vertical-relative:page" filled="f" stroked="f">
          <v:textbox inset="0,0,0,0">
            <w:txbxContent>
              <w:p w14:paraId="705A7A89" w14:textId="77777777" w:rsidR="00AE08C4" w:rsidRDefault="002067E5">
                <w:pPr>
                  <w:spacing w:before="10"/>
                  <w:ind w:left="1021" w:right="-3" w:hanging="1002"/>
                  <w:rPr>
                    <w:sz w:val="20"/>
                  </w:rPr>
                </w:pPr>
                <w:r>
                  <w:rPr>
                    <w:sz w:val="20"/>
                  </w:rPr>
                  <w:t>Clinical Procedures (CP) V2.0 Flowsheets Module (MD*1.0*23) Release Notes</w:t>
                </w:r>
              </w:p>
            </w:txbxContent>
          </v:textbox>
          <w10:wrap anchorx="page" anchory="page"/>
        </v:shape>
      </w:pict>
    </w:r>
    <w:r>
      <w:pict w14:anchorId="7FC4EADB">
        <v:shape id="_x0000_s2070" type="#_x0000_t202" style="position:absolute;margin-left:444.5pt;margin-top:732.2pt;width:60.65pt;height:13.05pt;z-index:-252349440;mso-position-horizontal-relative:page;mso-position-vertical-relative:page" filled="f" stroked="f">
          <v:textbox inset="0,0,0,0">
            <w:txbxContent>
              <w:p w14:paraId="7A4C4E34" w14:textId="77777777" w:rsidR="00AE08C4" w:rsidRDefault="002067E5">
                <w:pPr>
                  <w:spacing w:before="10"/>
                  <w:ind w:left="20"/>
                  <w:rPr>
                    <w:sz w:val="20"/>
                  </w:rPr>
                </w:pPr>
                <w:r>
                  <w:rPr>
                    <w:sz w:val="20"/>
                  </w:rPr>
                  <w:t>February 2012</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3700D" w14:textId="77777777" w:rsidR="00AE08C4" w:rsidRDefault="00BB6953">
    <w:pPr>
      <w:pStyle w:val="BodyText"/>
      <w:spacing w:line="14" w:lineRule="auto"/>
      <w:rPr>
        <w:sz w:val="20"/>
      </w:rPr>
    </w:pPr>
    <w:r>
      <w:pict w14:anchorId="4072E272">
        <v:shapetype id="_x0000_t202" coordsize="21600,21600" o:spt="202" path="m,l,21600r21600,l21600,xe">
          <v:stroke joinstyle="miter"/>
          <v:path gradientshapeok="t" o:connecttype="rect"/>
        </v:shapetype>
        <v:shape id="_x0000_s2069" type="#_x0000_t202" style="position:absolute;margin-left:71pt;margin-top:732.2pt;width:60.65pt;height:13.05pt;z-index:-252348416;mso-position-horizontal-relative:page;mso-position-vertical-relative:page" filled="f" stroked="f">
          <v:textbox inset="0,0,0,0">
            <w:txbxContent>
              <w:p w14:paraId="12CFA39B" w14:textId="77777777" w:rsidR="00AE08C4" w:rsidRDefault="002067E5">
                <w:pPr>
                  <w:spacing w:before="10"/>
                  <w:ind w:left="20"/>
                  <w:rPr>
                    <w:sz w:val="20"/>
                  </w:rPr>
                </w:pPr>
                <w:r>
                  <w:rPr>
                    <w:sz w:val="20"/>
                  </w:rPr>
                  <w:t>February 2012</w:t>
                </w:r>
              </w:p>
            </w:txbxContent>
          </v:textbox>
          <w10:wrap anchorx="page" anchory="page"/>
        </v:shape>
      </w:pict>
    </w:r>
    <w:r>
      <w:pict w14:anchorId="1266183E">
        <v:shape id="_x0000_s2068" type="#_x0000_t202" style="position:absolute;margin-left:185.4pt;margin-top:732.2pt;width:205.2pt;height:24.55pt;z-index:-252347392;mso-position-horizontal-relative:page;mso-position-vertical-relative:page" filled="f" stroked="f">
          <v:textbox inset="0,0,0,0">
            <w:txbxContent>
              <w:p w14:paraId="7D9278D9" w14:textId="77777777" w:rsidR="00AE08C4" w:rsidRDefault="002067E5">
                <w:pPr>
                  <w:spacing w:before="10"/>
                  <w:ind w:left="906" w:right="-2" w:hanging="887"/>
                  <w:rPr>
                    <w:sz w:val="20"/>
                  </w:rPr>
                </w:pPr>
                <w:r>
                  <w:rPr>
                    <w:sz w:val="20"/>
                  </w:rPr>
                  <w:t>Clinical Procedures (CP) V2.0 Flowsheets Module (MD*1.0*23) Release Notes</w:t>
                </w:r>
              </w:p>
            </w:txbxContent>
          </v:textbox>
          <w10:wrap anchorx="page" anchory="page"/>
        </v:shape>
      </w:pict>
    </w:r>
    <w:r>
      <w:pict w14:anchorId="71BCBA6B">
        <v:shape id="_x0000_s2067" type="#_x0000_t202" style="position:absolute;margin-left:498.05pt;margin-top:732.2pt;width:7pt;height:13.05pt;z-index:-252346368;mso-position-horizontal-relative:page;mso-position-vertical-relative:page" filled="f" stroked="f">
          <v:textbox inset="0,0,0,0">
            <w:txbxContent>
              <w:p w14:paraId="7C783043" w14:textId="77777777" w:rsidR="00AE08C4" w:rsidRDefault="002067E5">
                <w:pPr>
                  <w:spacing w:before="10"/>
                  <w:ind w:left="20"/>
                  <w:rPr>
                    <w:sz w:val="20"/>
                  </w:rPr>
                </w:pPr>
                <w:r>
                  <w:rPr>
                    <w:w w:val="99"/>
                    <w:sz w:val="20"/>
                  </w:rPr>
                  <w:t>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41A02" w14:textId="77777777" w:rsidR="00AE08C4" w:rsidRDefault="00BB6953">
    <w:pPr>
      <w:pStyle w:val="BodyText"/>
      <w:spacing w:line="14" w:lineRule="auto"/>
      <w:rPr>
        <w:sz w:val="20"/>
      </w:rPr>
    </w:pPr>
    <w:r>
      <w:pict w14:anchorId="7048880A">
        <v:shapetype id="_x0000_t202" coordsize="21600,21600" o:spt="202" path="m,l,21600r21600,l21600,xe">
          <v:stroke joinstyle="miter"/>
          <v:path gradientshapeok="t" o:connecttype="rect"/>
        </v:shapetype>
        <v:shape id="_x0000_s2066" type="#_x0000_t202" style="position:absolute;margin-left:71pt;margin-top:732.2pt;width:7pt;height:13.05pt;z-index:-252345344;mso-position-horizontal-relative:page;mso-position-vertical-relative:page" filled="f" stroked="f">
          <v:textbox inset="0,0,0,0">
            <w:txbxContent>
              <w:p w14:paraId="21011851" w14:textId="77777777" w:rsidR="00AE08C4" w:rsidRDefault="002067E5">
                <w:pPr>
                  <w:spacing w:before="10"/>
                  <w:ind w:left="20"/>
                  <w:rPr>
                    <w:sz w:val="20"/>
                  </w:rPr>
                </w:pPr>
                <w:r>
                  <w:rPr>
                    <w:w w:val="99"/>
                    <w:sz w:val="20"/>
                  </w:rPr>
                  <w:t>2</w:t>
                </w:r>
              </w:p>
            </w:txbxContent>
          </v:textbox>
          <w10:wrap anchorx="page" anchory="page"/>
        </v:shape>
      </w:pict>
    </w:r>
    <w:r>
      <w:pict w14:anchorId="2997DA80">
        <v:shape id="_x0000_s2065" type="#_x0000_t202" style="position:absolute;margin-left:203.4pt;margin-top:732.2pt;width:205.1pt;height:24.55pt;z-index:-252344320;mso-position-horizontal-relative:page;mso-position-vertical-relative:page" filled="f" stroked="f">
          <v:textbox inset="0,0,0,0">
            <w:txbxContent>
              <w:p w14:paraId="4835EFEB" w14:textId="77777777" w:rsidR="00AE08C4" w:rsidRDefault="002067E5">
                <w:pPr>
                  <w:spacing w:before="10"/>
                  <w:ind w:left="905" w:right="-4" w:hanging="886"/>
                  <w:rPr>
                    <w:sz w:val="20"/>
                  </w:rPr>
                </w:pPr>
                <w:r>
                  <w:rPr>
                    <w:sz w:val="20"/>
                  </w:rPr>
                  <w:t>Clinical Procedures (CP) V2.0 Flowsheets Module (MD*1.0*23) Release Notes</w:t>
                </w:r>
              </w:p>
            </w:txbxContent>
          </v:textbox>
          <w10:wrap anchorx="page" anchory="page"/>
        </v:shape>
      </w:pict>
    </w:r>
    <w:r>
      <w:pict w14:anchorId="41A62582">
        <v:shape id="_x0000_s2064" type="#_x0000_t202" style="position:absolute;margin-left:444.5pt;margin-top:732.2pt;width:60.65pt;height:13.05pt;z-index:-252343296;mso-position-horizontal-relative:page;mso-position-vertical-relative:page" filled="f" stroked="f">
          <v:textbox inset="0,0,0,0">
            <w:txbxContent>
              <w:p w14:paraId="75358242" w14:textId="77777777" w:rsidR="00AE08C4" w:rsidRDefault="002067E5">
                <w:pPr>
                  <w:spacing w:before="10"/>
                  <w:ind w:left="20"/>
                  <w:rPr>
                    <w:sz w:val="20"/>
                  </w:rPr>
                </w:pPr>
                <w:r>
                  <w:rPr>
                    <w:sz w:val="20"/>
                  </w:rPr>
                  <w:t>February 2012</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EDA04" w14:textId="77777777" w:rsidR="00AE08C4" w:rsidRDefault="00BB6953">
    <w:pPr>
      <w:pStyle w:val="BodyText"/>
      <w:spacing w:line="14" w:lineRule="auto"/>
      <w:rPr>
        <w:sz w:val="20"/>
      </w:rPr>
    </w:pPr>
    <w:r>
      <w:pict w14:anchorId="1DF9D13B">
        <v:shapetype id="_x0000_t202" coordsize="21600,21600" o:spt="202" path="m,l,21600r21600,l21600,xe">
          <v:stroke joinstyle="miter"/>
          <v:path gradientshapeok="t" o:connecttype="rect"/>
        </v:shapetype>
        <v:shape id="_x0000_s2063" type="#_x0000_t202" style="position:absolute;margin-left:71pt;margin-top:732.2pt;width:60.65pt;height:13.05pt;z-index:-252342272;mso-position-horizontal-relative:page;mso-position-vertical-relative:page" filled="f" stroked="f">
          <v:textbox inset="0,0,0,0">
            <w:txbxContent>
              <w:p w14:paraId="5B905B2E" w14:textId="77777777" w:rsidR="00AE08C4" w:rsidRDefault="002067E5">
                <w:pPr>
                  <w:spacing w:before="10"/>
                  <w:ind w:left="20"/>
                  <w:rPr>
                    <w:sz w:val="20"/>
                  </w:rPr>
                </w:pPr>
                <w:r>
                  <w:rPr>
                    <w:sz w:val="20"/>
                  </w:rPr>
                  <w:t>February 2012</w:t>
                </w:r>
              </w:p>
            </w:txbxContent>
          </v:textbox>
          <w10:wrap anchorx="page" anchory="page"/>
        </v:shape>
      </w:pict>
    </w:r>
    <w:r>
      <w:pict w14:anchorId="13DC9895">
        <v:shape id="_x0000_s2062" type="#_x0000_t202" style="position:absolute;margin-left:185.4pt;margin-top:732.2pt;width:205.15pt;height:24.55pt;z-index:-252341248;mso-position-horizontal-relative:page;mso-position-vertical-relative:page" filled="f" stroked="f">
          <v:textbox inset="0,0,0,0">
            <w:txbxContent>
              <w:p w14:paraId="40B15639" w14:textId="77777777" w:rsidR="00AE08C4" w:rsidRDefault="002067E5">
                <w:pPr>
                  <w:spacing w:before="10"/>
                  <w:ind w:left="906" w:right="-3" w:hanging="887"/>
                  <w:rPr>
                    <w:sz w:val="20"/>
                  </w:rPr>
                </w:pPr>
                <w:r>
                  <w:rPr>
                    <w:sz w:val="20"/>
                  </w:rPr>
                  <w:t>Clinical Procedures (CP) V2.0 Flowsheets Module (MD*1.0*23) Release Notes</w:t>
                </w:r>
              </w:p>
            </w:txbxContent>
          </v:textbox>
          <w10:wrap anchorx="page" anchory="page"/>
        </v:shape>
      </w:pict>
    </w:r>
    <w:r>
      <w:pict w14:anchorId="10D63EEF">
        <v:shape id="_x0000_s2061" type="#_x0000_t202" style="position:absolute;margin-left:498.05pt;margin-top:732.2pt;width:7pt;height:13.05pt;z-index:-252340224;mso-position-horizontal-relative:page;mso-position-vertical-relative:page" filled="f" stroked="f">
          <v:textbox inset="0,0,0,0">
            <w:txbxContent>
              <w:p w14:paraId="02D26B82" w14:textId="77777777" w:rsidR="00AE08C4" w:rsidRDefault="002067E5">
                <w:pPr>
                  <w:spacing w:before="10"/>
                  <w:ind w:left="20"/>
                  <w:rPr>
                    <w:sz w:val="20"/>
                  </w:rPr>
                </w:pPr>
                <w:r>
                  <w:rPr>
                    <w:w w:val="99"/>
                    <w:sz w:val="20"/>
                  </w:rPr>
                  <w:t>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C7A49" w14:textId="77777777" w:rsidR="00AE08C4" w:rsidRDefault="00BB6953">
    <w:pPr>
      <w:pStyle w:val="BodyText"/>
      <w:spacing w:line="14" w:lineRule="auto"/>
      <w:rPr>
        <w:sz w:val="20"/>
      </w:rPr>
    </w:pPr>
    <w:r>
      <w:pict w14:anchorId="06391026">
        <v:shapetype id="_x0000_t202" coordsize="21600,21600" o:spt="202" path="m,l,21600r21600,l21600,xe">
          <v:stroke joinstyle="miter"/>
          <v:path gradientshapeok="t" o:connecttype="rect"/>
        </v:shapetype>
        <v:shape id="_x0000_s2060" type="#_x0000_t202" style="position:absolute;margin-left:71pt;margin-top:732.2pt;width:7pt;height:13.05pt;z-index:-252339200;mso-position-horizontal-relative:page;mso-position-vertical-relative:page" filled="f" stroked="f">
          <v:textbox inset="0,0,0,0">
            <w:txbxContent>
              <w:p w14:paraId="1F3B2297" w14:textId="77777777" w:rsidR="00AE08C4" w:rsidRDefault="002067E5">
                <w:pPr>
                  <w:spacing w:before="10"/>
                  <w:ind w:left="20"/>
                  <w:rPr>
                    <w:sz w:val="20"/>
                  </w:rPr>
                </w:pPr>
                <w:r>
                  <w:rPr>
                    <w:w w:val="99"/>
                    <w:sz w:val="20"/>
                  </w:rPr>
                  <w:t>4</w:t>
                </w:r>
              </w:p>
            </w:txbxContent>
          </v:textbox>
          <w10:wrap anchorx="page" anchory="page"/>
        </v:shape>
      </w:pict>
    </w:r>
    <w:r>
      <w:pict w14:anchorId="562D338E">
        <v:shape id="_x0000_s2059" type="#_x0000_t202" style="position:absolute;margin-left:203.4pt;margin-top:732.2pt;width:205.1pt;height:24.55pt;z-index:-252338176;mso-position-horizontal-relative:page;mso-position-vertical-relative:page" filled="f" stroked="f">
          <v:textbox inset="0,0,0,0">
            <w:txbxContent>
              <w:p w14:paraId="4095A88F" w14:textId="77777777" w:rsidR="00AE08C4" w:rsidRDefault="002067E5">
                <w:pPr>
                  <w:spacing w:before="10"/>
                  <w:ind w:left="905" w:right="-4" w:hanging="886"/>
                  <w:rPr>
                    <w:sz w:val="20"/>
                  </w:rPr>
                </w:pPr>
                <w:r>
                  <w:rPr>
                    <w:sz w:val="20"/>
                  </w:rPr>
                  <w:t>Clinical Procedures (CP) V2.0 Flowsheets Module (MD*1.0*23) Release Notes</w:t>
                </w:r>
              </w:p>
            </w:txbxContent>
          </v:textbox>
          <w10:wrap anchorx="page" anchory="page"/>
        </v:shape>
      </w:pict>
    </w:r>
    <w:r>
      <w:pict w14:anchorId="1F1FBFCE">
        <v:shape id="_x0000_s2058" type="#_x0000_t202" style="position:absolute;margin-left:444.5pt;margin-top:732.2pt;width:60.65pt;height:13.05pt;z-index:-252337152;mso-position-horizontal-relative:page;mso-position-vertical-relative:page" filled="f" stroked="f">
          <v:textbox inset="0,0,0,0">
            <w:txbxContent>
              <w:p w14:paraId="198654FA" w14:textId="77777777" w:rsidR="00AE08C4" w:rsidRDefault="002067E5">
                <w:pPr>
                  <w:spacing w:before="10"/>
                  <w:ind w:left="20"/>
                  <w:rPr>
                    <w:sz w:val="20"/>
                  </w:rPr>
                </w:pPr>
                <w:r>
                  <w:rPr>
                    <w:sz w:val="20"/>
                  </w:rPr>
                  <w:t>February 2012</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18F1" w14:textId="77777777" w:rsidR="00AE08C4" w:rsidRDefault="00BB6953">
    <w:pPr>
      <w:pStyle w:val="BodyText"/>
      <w:spacing w:line="14" w:lineRule="auto"/>
      <w:rPr>
        <w:sz w:val="20"/>
      </w:rPr>
    </w:pPr>
    <w:r>
      <w:pict w14:anchorId="200E06EC">
        <v:shapetype id="_x0000_t202" coordsize="21600,21600" o:spt="202" path="m,l,21600r21600,l21600,xe">
          <v:stroke joinstyle="miter"/>
          <v:path gradientshapeok="t" o:connecttype="rect"/>
        </v:shapetype>
        <v:shape id="_x0000_s2057" type="#_x0000_t202" style="position:absolute;margin-left:71pt;margin-top:732.2pt;width:60.65pt;height:13.05pt;z-index:-252336128;mso-position-horizontal-relative:page;mso-position-vertical-relative:page" filled="f" stroked="f">
          <v:textbox inset="0,0,0,0">
            <w:txbxContent>
              <w:p w14:paraId="53C9AB98" w14:textId="77777777" w:rsidR="00AE08C4" w:rsidRDefault="002067E5">
                <w:pPr>
                  <w:spacing w:before="10"/>
                  <w:ind w:left="20"/>
                  <w:rPr>
                    <w:sz w:val="20"/>
                  </w:rPr>
                </w:pPr>
                <w:r>
                  <w:rPr>
                    <w:sz w:val="20"/>
                  </w:rPr>
                  <w:t>February 2012</w:t>
                </w:r>
              </w:p>
            </w:txbxContent>
          </v:textbox>
          <w10:wrap anchorx="page" anchory="page"/>
        </v:shape>
      </w:pict>
    </w:r>
    <w:r>
      <w:pict w14:anchorId="552C5157">
        <v:shape id="_x0000_s2056" type="#_x0000_t202" style="position:absolute;margin-left:185.4pt;margin-top:732.2pt;width:205.15pt;height:24.55pt;z-index:-252335104;mso-position-horizontal-relative:page;mso-position-vertical-relative:page" filled="f" stroked="f">
          <v:textbox inset="0,0,0,0">
            <w:txbxContent>
              <w:p w14:paraId="0656C4C4" w14:textId="77777777" w:rsidR="00AE08C4" w:rsidRDefault="002067E5">
                <w:pPr>
                  <w:spacing w:before="10"/>
                  <w:ind w:left="906" w:right="-3" w:hanging="887"/>
                  <w:rPr>
                    <w:sz w:val="20"/>
                  </w:rPr>
                </w:pPr>
                <w:r>
                  <w:rPr>
                    <w:sz w:val="20"/>
                  </w:rPr>
                  <w:t>Clinical Procedures (CP) V2.0 Flowsheets Module (MD*1.0*23) Release Notes</w:t>
                </w:r>
              </w:p>
            </w:txbxContent>
          </v:textbox>
          <w10:wrap anchorx="page" anchory="page"/>
        </v:shape>
      </w:pict>
    </w:r>
    <w:r>
      <w:pict w14:anchorId="20396CFF">
        <v:shape id="_x0000_s2055" type="#_x0000_t202" style="position:absolute;margin-left:498.05pt;margin-top:732.2pt;width:7pt;height:13.05pt;z-index:-252334080;mso-position-horizontal-relative:page;mso-position-vertical-relative:page" filled="f" stroked="f">
          <v:textbox inset="0,0,0,0">
            <w:txbxContent>
              <w:p w14:paraId="7DC4094F" w14:textId="77777777" w:rsidR="00AE08C4" w:rsidRDefault="002067E5">
                <w:pPr>
                  <w:spacing w:before="10"/>
                  <w:ind w:left="20"/>
                  <w:rPr>
                    <w:sz w:val="20"/>
                  </w:rPr>
                </w:pPr>
                <w:r>
                  <w:rPr>
                    <w:w w:val="99"/>
                    <w:sz w:val="20"/>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35F02" w14:textId="77777777" w:rsidR="00BB6953" w:rsidRDefault="00BB6953">
      <w:r>
        <w:separator/>
      </w:r>
    </w:p>
  </w:footnote>
  <w:footnote w:type="continuationSeparator" w:id="0">
    <w:p w14:paraId="1E7EC0B9" w14:textId="77777777" w:rsidR="00BB6953" w:rsidRDefault="00BB6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C7BDC"/>
    <w:multiLevelType w:val="hybridMultilevel"/>
    <w:tmpl w:val="F7143B4E"/>
    <w:lvl w:ilvl="0" w:tplc="B04AB598">
      <w:start w:val="1"/>
      <w:numFmt w:val="decimal"/>
      <w:lvlText w:val="%1)"/>
      <w:lvlJc w:val="left"/>
      <w:pPr>
        <w:ind w:left="108" w:hanging="262"/>
        <w:jc w:val="left"/>
      </w:pPr>
      <w:rPr>
        <w:rFonts w:ascii="Times New Roman" w:eastAsia="Times New Roman" w:hAnsi="Times New Roman" w:cs="Times New Roman" w:hint="default"/>
        <w:w w:val="99"/>
        <w:sz w:val="24"/>
        <w:szCs w:val="24"/>
        <w:lang w:val="en-US" w:eastAsia="en-US" w:bidi="en-US"/>
      </w:rPr>
    </w:lvl>
    <w:lvl w:ilvl="1" w:tplc="353CB9B6">
      <w:numFmt w:val="bullet"/>
      <w:lvlText w:val="•"/>
      <w:lvlJc w:val="left"/>
      <w:pPr>
        <w:ind w:left="503" w:hanging="262"/>
      </w:pPr>
      <w:rPr>
        <w:rFonts w:hint="default"/>
        <w:lang w:val="en-US" w:eastAsia="en-US" w:bidi="en-US"/>
      </w:rPr>
    </w:lvl>
    <w:lvl w:ilvl="2" w:tplc="32E02B5A">
      <w:numFmt w:val="bullet"/>
      <w:lvlText w:val="•"/>
      <w:lvlJc w:val="left"/>
      <w:pPr>
        <w:ind w:left="906" w:hanging="262"/>
      </w:pPr>
      <w:rPr>
        <w:rFonts w:hint="default"/>
        <w:lang w:val="en-US" w:eastAsia="en-US" w:bidi="en-US"/>
      </w:rPr>
    </w:lvl>
    <w:lvl w:ilvl="3" w:tplc="73C01376">
      <w:numFmt w:val="bullet"/>
      <w:lvlText w:val="•"/>
      <w:lvlJc w:val="left"/>
      <w:pPr>
        <w:ind w:left="1309" w:hanging="262"/>
      </w:pPr>
      <w:rPr>
        <w:rFonts w:hint="default"/>
        <w:lang w:val="en-US" w:eastAsia="en-US" w:bidi="en-US"/>
      </w:rPr>
    </w:lvl>
    <w:lvl w:ilvl="4" w:tplc="D576C8BC">
      <w:numFmt w:val="bullet"/>
      <w:lvlText w:val="•"/>
      <w:lvlJc w:val="left"/>
      <w:pPr>
        <w:ind w:left="1713" w:hanging="262"/>
      </w:pPr>
      <w:rPr>
        <w:rFonts w:hint="default"/>
        <w:lang w:val="en-US" w:eastAsia="en-US" w:bidi="en-US"/>
      </w:rPr>
    </w:lvl>
    <w:lvl w:ilvl="5" w:tplc="4A9A45AA">
      <w:numFmt w:val="bullet"/>
      <w:lvlText w:val="•"/>
      <w:lvlJc w:val="left"/>
      <w:pPr>
        <w:ind w:left="2116" w:hanging="262"/>
      </w:pPr>
      <w:rPr>
        <w:rFonts w:hint="default"/>
        <w:lang w:val="en-US" w:eastAsia="en-US" w:bidi="en-US"/>
      </w:rPr>
    </w:lvl>
    <w:lvl w:ilvl="6" w:tplc="FEC43F8A">
      <w:numFmt w:val="bullet"/>
      <w:lvlText w:val="•"/>
      <w:lvlJc w:val="left"/>
      <w:pPr>
        <w:ind w:left="2519" w:hanging="262"/>
      </w:pPr>
      <w:rPr>
        <w:rFonts w:hint="default"/>
        <w:lang w:val="en-US" w:eastAsia="en-US" w:bidi="en-US"/>
      </w:rPr>
    </w:lvl>
    <w:lvl w:ilvl="7" w:tplc="DFDEC3D8">
      <w:numFmt w:val="bullet"/>
      <w:lvlText w:val="•"/>
      <w:lvlJc w:val="left"/>
      <w:pPr>
        <w:ind w:left="2923" w:hanging="262"/>
      </w:pPr>
      <w:rPr>
        <w:rFonts w:hint="default"/>
        <w:lang w:val="en-US" w:eastAsia="en-US" w:bidi="en-US"/>
      </w:rPr>
    </w:lvl>
    <w:lvl w:ilvl="8" w:tplc="DC8C952A">
      <w:numFmt w:val="bullet"/>
      <w:lvlText w:val="•"/>
      <w:lvlJc w:val="left"/>
      <w:pPr>
        <w:ind w:left="3326" w:hanging="26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E08C4"/>
    <w:rsid w:val="000C1BF9"/>
    <w:rsid w:val="002067E5"/>
    <w:rsid w:val="00A94959"/>
    <w:rsid w:val="00AE08C4"/>
    <w:rsid w:val="00BB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12C354F5"/>
  <w15:docId w15:val="{013BA429-7E7A-4ECC-B3D0-C3049A46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rFonts w:ascii="Arial" w:eastAsia="Arial" w:hAnsi="Arial" w:cs="Arial"/>
      <w:b/>
      <w:bCs/>
      <w:sz w:val="36"/>
      <w:szCs w:val="36"/>
    </w:rPr>
  </w:style>
  <w:style w:type="paragraph" w:styleId="Heading2">
    <w:name w:val="heading 2"/>
    <w:basedOn w:val="Normal"/>
    <w:uiPriority w:val="9"/>
    <w:unhideWhenUsed/>
    <w:qFormat/>
    <w:pPr>
      <w:ind w:left="220"/>
      <w:outlineLvl w:val="1"/>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220"/>
    </w:pPr>
    <w:rPr>
      <w:sz w:val="24"/>
      <w:szCs w:val="24"/>
    </w:rPr>
  </w:style>
  <w:style w:type="paragraph" w:styleId="TOC2">
    <w:name w:val="toc 2"/>
    <w:basedOn w:val="Normal"/>
    <w:uiPriority w:val="1"/>
    <w:qFormat/>
    <w:pPr>
      <w:spacing w:line="252" w:lineRule="exact"/>
      <w:ind w:left="465"/>
    </w:pPr>
    <w:rPr>
      <w:b/>
      <w:bCs/>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Release Notes - Patch MD*1*16</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 Patch MD*1*16</dc:title>
  <dc:subject>Clinical Procedures</dc:subject>
  <dc:creator>Provider Systems</dc:creator>
  <cp:keywords>CP Gateway Service, CP Console, CP Flowsheets</cp:keywords>
  <cp:lastModifiedBy>Dept of Veterans Affairs</cp:lastModifiedBy>
  <cp:revision>3</cp:revision>
  <dcterms:created xsi:type="dcterms:W3CDTF">2020-04-30T20:43:00Z</dcterms:created>
  <dcterms:modified xsi:type="dcterms:W3CDTF">2021-08-19T18:46:00Z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2012-03-06T00:00:00Z</vt:filetime>
  </property>
  <property fmtid="{D5CDD505-2E9C-101B-9397-08002B2CF9AE}" pid="3" name="Creator">
    <vt:lpwstr>Microsoft® Office Word 2007</vt:lpwstr>
  </property>
  <property fmtid="{D5CDD505-2E9C-101B-9397-08002B2CF9AE}" pid="4" name="LastSaved">
    <vt:filetime>2020-04-30T00:00:00Z</vt:filetime>
  </property>
</Properties>
</file>