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DD7C2" w14:textId="77777777" w:rsidR="005C0500" w:rsidRDefault="005C0500">
      <w:pPr>
        <w:pStyle w:val="BodyText"/>
        <w:rPr>
          <w:rFonts w:ascii="Times New Roman"/>
          <w:sz w:val="20"/>
        </w:rPr>
      </w:pPr>
    </w:p>
    <w:p w14:paraId="17DB2C09" w14:textId="77777777" w:rsidR="005C0500" w:rsidRDefault="005C0500">
      <w:pPr>
        <w:pStyle w:val="BodyText"/>
        <w:rPr>
          <w:rFonts w:ascii="Times New Roman"/>
          <w:sz w:val="20"/>
        </w:rPr>
      </w:pPr>
    </w:p>
    <w:p w14:paraId="4E3500CD" w14:textId="77777777" w:rsidR="005C0500" w:rsidRDefault="005C0500">
      <w:pPr>
        <w:pStyle w:val="BodyText"/>
        <w:rPr>
          <w:rFonts w:ascii="Times New Roman"/>
          <w:sz w:val="20"/>
        </w:rPr>
      </w:pPr>
    </w:p>
    <w:p w14:paraId="626CA6C4" w14:textId="77777777" w:rsidR="005C0500" w:rsidRDefault="005C0500">
      <w:pPr>
        <w:pStyle w:val="BodyText"/>
        <w:rPr>
          <w:rFonts w:ascii="Times New Roman"/>
          <w:sz w:val="20"/>
        </w:rPr>
      </w:pPr>
    </w:p>
    <w:p w14:paraId="7D46956D" w14:textId="77777777" w:rsidR="005C0500" w:rsidRDefault="005C0500">
      <w:pPr>
        <w:pStyle w:val="BodyText"/>
        <w:rPr>
          <w:rFonts w:ascii="Times New Roman"/>
          <w:sz w:val="20"/>
        </w:rPr>
      </w:pPr>
    </w:p>
    <w:p w14:paraId="17DF69D7" w14:textId="77777777" w:rsidR="005C0500" w:rsidRDefault="005C0500">
      <w:pPr>
        <w:pStyle w:val="BodyText"/>
        <w:spacing w:before="4"/>
        <w:rPr>
          <w:rFonts w:ascii="Times New Roman"/>
        </w:rPr>
      </w:pPr>
    </w:p>
    <w:p w14:paraId="70EC1EAA" w14:textId="77777777" w:rsidR="005C0500" w:rsidRDefault="00FE2739">
      <w:pPr>
        <w:tabs>
          <w:tab w:val="left" w:pos="3371"/>
          <w:tab w:val="left" w:pos="6640"/>
        </w:tabs>
        <w:ind w:left="116"/>
        <w:rPr>
          <w:rFonts w:ascii="Times New Roman"/>
          <w:sz w:val="20"/>
        </w:rPr>
      </w:pPr>
      <w:r>
        <w:rPr>
          <w:rFonts w:ascii="Times New Roman"/>
          <w:position w:val="122"/>
          <w:sz w:val="20"/>
        </w:rPr>
      </w:r>
      <w:r>
        <w:rPr>
          <w:rFonts w:ascii="Times New Roman"/>
          <w:position w:val="122"/>
          <w:sz w:val="20"/>
        </w:rPr>
        <w:pict w14:anchorId="037548E3">
          <v:group id="_x0000_s1034" style="width:140.75pt;height:.5pt;mso-position-horizontal-relative:char;mso-position-vertical-relative:line" coordsize="2815,10">
            <v:line id="_x0000_s1035" style="position:absolute" from="0,5" to="2815,5" strokeweight=".5pt"/>
            <w10:anchorlock/>
          </v:group>
        </w:pict>
      </w:r>
      <w:r w:rsidR="00A308FE">
        <w:rPr>
          <w:rFonts w:ascii="Times New Roman"/>
          <w:position w:val="122"/>
          <w:sz w:val="20"/>
        </w:rPr>
        <w:tab/>
      </w:r>
      <w:r w:rsidR="00A308FE">
        <w:rPr>
          <w:rFonts w:ascii="Times New Roman"/>
          <w:noProof/>
          <w:sz w:val="20"/>
        </w:rPr>
        <w:drawing>
          <wp:inline distT="0" distB="0" distL="0" distR="0" wp14:anchorId="4579ED6D" wp14:editId="71965AF1">
            <wp:extent cx="1780731"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80731" cy="960120"/>
                    </a:xfrm>
                    <a:prstGeom prst="rect">
                      <a:avLst/>
                    </a:prstGeom>
                  </pic:spPr>
                </pic:pic>
              </a:graphicData>
            </a:graphic>
          </wp:inline>
        </w:drawing>
      </w:r>
      <w:r w:rsidR="00A308FE">
        <w:rPr>
          <w:rFonts w:ascii="Times New Roman"/>
          <w:sz w:val="20"/>
        </w:rPr>
        <w:tab/>
      </w:r>
      <w:r>
        <w:rPr>
          <w:rFonts w:ascii="Times New Roman"/>
          <w:position w:val="122"/>
          <w:sz w:val="20"/>
        </w:rPr>
      </w:r>
      <w:r>
        <w:rPr>
          <w:rFonts w:ascii="Times New Roman"/>
          <w:position w:val="122"/>
          <w:sz w:val="20"/>
        </w:rPr>
        <w:pict w14:anchorId="19CE47E2">
          <v:group id="_x0000_s1032" style="width:140.75pt;height:.5pt;mso-position-horizontal-relative:char;mso-position-vertical-relative:line" coordsize="2815,10">
            <v:line id="_x0000_s1033" style="position:absolute" from="0,5" to="2815,5" strokeweight=".5pt"/>
            <w10:anchorlock/>
          </v:group>
        </w:pict>
      </w:r>
    </w:p>
    <w:p w14:paraId="2D615D7D" w14:textId="77777777" w:rsidR="005C0500" w:rsidRDefault="005C0500">
      <w:pPr>
        <w:pStyle w:val="BodyText"/>
        <w:rPr>
          <w:rFonts w:ascii="Times New Roman"/>
          <w:sz w:val="20"/>
        </w:rPr>
      </w:pPr>
    </w:p>
    <w:p w14:paraId="0B4C5676" w14:textId="77777777" w:rsidR="005C0500" w:rsidRDefault="005C0500">
      <w:pPr>
        <w:pStyle w:val="BodyText"/>
        <w:rPr>
          <w:rFonts w:ascii="Times New Roman"/>
          <w:sz w:val="20"/>
        </w:rPr>
      </w:pPr>
    </w:p>
    <w:p w14:paraId="0A9D9C60" w14:textId="77777777" w:rsidR="005C0500" w:rsidRDefault="005C0500">
      <w:pPr>
        <w:pStyle w:val="BodyText"/>
        <w:rPr>
          <w:rFonts w:ascii="Times New Roman"/>
          <w:sz w:val="20"/>
        </w:rPr>
      </w:pPr>
    </w:p>
    <w:p w14:paraId="5B84C87E" w14:textId="77777777" w:rsidR="005C0500" w:rsidRDefault="005C0500">
      <w:pPr>
        <w:pStyle w:val="BodyText"/>
        <w:rPr>
          <w:rFonts w:ascii="Times New Roman"/>
          <w:sz w:val="20"/>
        </w:rPr>
      </w:pPr>
    </w:p>
    <w:p w14:paraId="100C7DC4" w14:textId="77777777" w:rsidR="005C0500" w:rsidRDefault="005C0500">
      <w:pPr>
        <w:pStyle w:val="BodyText"/>
        <w:rPr>
          <w:rFonts w:ascii="Times New Roman"/>
          <w:sz w:val="20"/>
        </w:rPr>
      </w:pPr>
    </w:p>
    <w:p w14:paraId="4A418292" w14:textId="77777777" w:rsidR="005C0500" w:rsidRDefault="005C0500">
      <w:pPr>
        <w:pStyle w:val="BodyText"/>
        <w:rPr>
          <w:rFonts w:ascii="Times New Roman"/>
          <w:sz w:val="18"/>
        </w:rPr>
      </w:pPr>
    </w:p>
    <w:p w14:paraId="4E3B07FC" w14:textId="77777777" w:rsidR="005C0500" w:rsidRDefault="00A308FE">
      <w:pPr>
        <w:pStyle w:val="Title"/>
      </w:pPr>
      <w:r>
        <w:t>CONSOLIDATED MAIL OUTPATIENT PHARMACY (CMOP)</w:t>
      </w:r>
    </w:p>
    <w:p w14:paraId="49AE2C6F" w14:textId="77777777" w:rsidR="005C0500" w:rsidRDefault="005C0500">
      <w:pPr>
        <w:pStyle w:val="BodyText"/>
        <w:spacing w:before="9"/>
        <w:rPr>
          <w:rFonts w:ascii="Arial"/>
          <w:b/>
          <w:sz w:val="63"/>
        </w:rPr>
      </w:pPr>
    </w:p>
    <w:p w14:paraId="39EB68A7" w14:textId="77777777" w:rsidR="005C0500" w:rsidRDefault="00A308FE">
      <w:pPr>
        <w:ind w:right="217"/>
        <w:jc w:val="center"/>
        <w:rPr>
          <w:rFonts w:ascii="Arial"/>
          <w:b/>
          <w:sz w:val="48"/>
        </w:rPr>
      </w:pPr>
      <w:r>
        <w:rPr>
          <w:rFonts w:ascii="Arial"/>
          <w:b/>
          <w:sz w:val="48"/>
        </w:rPr>
        <w:t>USER MANUAL CHANGE PAGES</w:t>
      </w:r>
    </w:p>
    <w:p w14:paraId="171AAFB4" w14:textId="77777777" w:rsidR="005C0500" w:rsidRDefault="005C0500">
      <w:pPr>
        <w:pStyle w:val="BodyText"/>
        <w:rPr>
          <w:rFonts w:ascii="Arial"/>
          <w:b/>
          <w:sz w:val="48"/>
        </w:rPr>
      </w:pPr>
    </w:p>
    <w:p w14:paraId="75D3487B" w14:textId="77777777" w:rsidR="005C0500" w:rsidRDefault="00A308FE">
      <w:pPr>
        <w:ind w:right="220"/>
        <w:jc w:val="center"/>
        <w:rPr>
          <w:rFonts w:ascii="Arial"/>
          <w:sz w:val="36"/>
        </w:rPr>
      </w:pPr>
      <w:r>
        <w:rPr>
          <w:rFonts w:ascii="Arial"/>
          <w:sz w:val="36"/>
        </w:rPr>
        <w:t>Version 2.0</w:t>
      </w:r>
    </w:p>
    <w:p w14:paraId="45908A73" w14:textId="77777777" w:rsidR="005C0500" w:rsidRDefault="00A308FE">
      <w:pPr>
        <w:spacing w:before="1"/>
        <w:ind w:right="220"/>
        <w:jc w:val="center"/>
        <w:rPr>
          <w:rFonts w:ascii="Arial"/>
          <w:sz w:val="36"/>
        </w:rPr>
      </w:pPr>
      <w:r>
        <w:rPr>
          <w:rFonts w:ascii="Arial"/>
          <w:sz w:val="36"/>
        </w:rPr>
        <w:t>April 1997</w:t>
      </w:r>
    </w:p>
    <w:p w14:paraId="551C29AE" w14:textId="77777777" w:rsidR="005C0500" w:rsidRDefault="005C0500">
      <w:pPr>
        <w:pStyle w:val="BodyText"/>
        <w:rPr>
          <w:rFonts w:ascii="Arial"/>
          <w:sz w:val="36"/>
        </w:rPr>
      </w:pPr>
    </w:p>
    <w:p w14:paraId="3477D220" w14:textId="77777777" w:rsidR="005C0500" w:rsidRDefault="00A308FE">
      <w:pPr>
        <w:pStyle w:val="BodyText"/>
        <w:ind w:right="214"/>
        <w:jc w:val="center"/>
        <w:rPr>
          <w:rFonts w:ascii="Arial"/>
        </w:rPr>
      </w:pPr>
      <w:r>
        <w:rPr>
          <w:rFonts w:ascii="Arial"/>
        </w:rPr>
        <w:t>(Revised July 2009)</w:t>
      </w:r>
    </w:p>
    <w:p w14:paraId="73C4EE43" w14:textId="77777777" w:rsidR="005C0500" w:rsidRDefault="005C0500">
      <w:pPr>
        <w:pStyle w:val="BodyText"/>
        <w:rPr>
          <w:rFonts w:ascii="Arial"/>
          <w:sz w:val="26"/>
        </w:rPr>
      </w:pPr>
    </w:p>
    <w:p w14:paraId="64F57BF8" w14:textId="77777777" w:rsidR="005C0500" w:rsidRDefault="005C0500">
      <w:pPr>
        <w:pStyle w:val="BodyText"/>
        <w:rPr>
          <w:rFonts w:ascii="Arial"/>
          <w:sz w:val="26"/>
        </w:rPr>
      </w:pPr>
    </w:p>
    <w:p w14:paraId="38A1CE35" w14:textId="77777777" w:rsidR="005C0500" w:rsidRDefault="005C0500">
      <w:pPr>
        <w:pStyle w:val="BodyText"/>
        <w:rPr>
          <w:rFonts w:ascii="Arial"/>
          <w:sz w:val="26"/>
        </w:rPr>
      </w:pPr>
    </w:p>
    <w:p w14:paraId="32709D6C" w14:textId="77777777" w:rsidR="005C0500" w:rsidRDefault="005C0500">
      <w:pPr>
        <w:pStyle w:val="BodyText"/>
        <w:rPr>
          <w:rFonts w:ascii="Arial"/>
          <w:sz w:val="26"/>
        </w:rPr>
      </w:pPr>
    </w:p>
    <w:p w14:paraId="25540DBB" w14:textId="77777777" w:rsidR="005C0500" w:rsidRDefault="005C0500">
      <w:pPr>
        <w:pStyle w:val="BodyText"/>
        <w:rPr>
          <w:rFonts w:ascii="Arial"/>
          <w:sz w:val="26"/>
        </w:rPr>
      </w:pPr>
    </w:p>
    <w:p w14:paraId="249F7C14" w14:textId="77777777" w:rsidR="005C0500" w:rsidRDefault="005C0500">
      <w:pPr>
        <w:pStyle w:val="BodyText"/>
        <w:spacing w:before="6"/>
        <w:rPr>
          <w:rFonts w:ascii="Arial"/>
          <w:sz w:val="20"/>
        </w:rPr>
      </w:pPr>
    </w:p>
    <w:p w14:paraId="1567C723" w14:textId="77777777" w:rsidR="005C0500" w:rsidRDefault="00FE2739">
      <w:pPr>
        <w:pStyle w:val="BodyText"/>
        <w:ind w:right="218"/>
        <w:jc w:val="center"/>
        <w:rPr>
          <w:rFonts w:ascii="Arial"/>
        </w:rPr>
      </w:pPr>
      <w:r>
        <w:pict w14:anchorId="19A867BF">
          <v:line id="_x0000_s1031" style="position:absolute;left:0;text-align:left;z-index:15729664;mso-position-horizontal-relative:page" from="396pt,9.4pt" to="547.2pt,9.4pt" strokeweight=".5pt">
            <w10:wrap anchorx="page"/>
          </v:line>
        </w:pict>
      </w:r>
      <w:r>
        <w:pict w14:anchorId="6CA0B82A">
          <v:line id="_x0000_s1030" style="position:absolute;left:0;text-align:left;z-index:15730176;mso-position-horizontal-relative:page" from="3in,9.4pt" to="1in,9.4pt" strokeweight=".5pt">
            <w10:wrap anchorx="page"/>
          </v:line>
        </w:pict>
      </w:r>
      <w:r w:rsidR="00A308FE">
        <w:rPr>
          <w:rFonts w:ascii="Arial"/>
        </w:rPr>
        <w:t>Department of Veterans Affairs</w:t>
      </w:r>
    </w:p>
    <w:p w14:paraId="494F4236" w14:textId="77777777" w:rsidR="005C0500" w:rsidRDefault="00A308FE">
      <w:pPr>
        <w:pStyle w:val="BodyText"/>
        <w:ind w:right="218"/>
        <w:jc w:val="center"/>
        <w:rPr>
          <w:rFonts w:ascii="Arial"/>
        </w:rPr>
      </w:pPr>
      <w:r>
        <w:rPr>
          <w:rFonts w:ascii="Arial"/>
        </w:rPr>
        <w:t>VistA Health Systems Design &amp; Development</w:t>
      </w:r>
    </w:p>
    <w:p w14:paraId="00ABE9D0" w14:textId="77777777" w:rsidR="005C0500" w:rsidRDefault="005C0500">
      <w:pPr>
        <w:jc w:val="center"/>
        <w:rPr>
          <w:rFonts w:ascii="Arial"/>
        </w:rPr>
        <w:sectPr w:rsidR="005C0500">
          <w:type w:val="continuous"/>
          <w:pgSz w:w="12240" w:h="15840"/>
          <w:pgMar w:top="1500" w:right="1120" w:bottom="280" w:left="1340" w:header="720" w:footer="720" w:gutter="0"/>
          <w:cols w:space="720"/>
        </w:sectPr>
      </w:pPr>
    </w:p>
    <w:p w14:paraId="5E357C05" w14:textId="77777777" w:rsidR="005C0500" w:rsidRDefault="005C0500">
      <w:pPr>
        <w:pStyle w:val="BodyText"/>
        <w:spacing w:before="4"/>
        <w:rPr>
          <w:rFonts w:ascii="Arial"/>
          <w:sz w:val="17"/>
        </w:rPr>
      </w:pPr>
    </w:p>
    <w:p w14:paraId="44E3B325" w14:textId="77777777" w:rsidR="005C0500" w:rsidRDefault="005C0500">
      <w:pPr>
        <w:rPr>
          <w:rFonts w:ascii="Arial"/>
          <w:sz w:val="17"/>
        </w:rPr>
        <w:sectPr w:rsidR="005C0500">
          <w:pgSz w:w="12240" w:h="15840"/>
          <w:pgMar w:top="1500" w:right="1120" w:bottom="280" w:left="1340" w:header="720" w:footer="720" w:gutter="0"/>
          <w:cols w:space="720"/>
        </w:sectPr>
      </w:pPr>
    </w:p>
    <w:p w14:paraId="6E5C63E3" w14:textId="77777777" w:rsidR="005C0500" w:rsidRDefault="00A308FE">
      <w:pPr>
        <w:pStyle w:val="BodyText"/>
        <w:tabs>
          <w:tab w:val="left" w:pos="9490"/>
        </w:tabs>
        <w:spacing w:before="74"/>
        <w:ind w:left="100"/>
        <w:rPr>
          <w:rFonts w:ascii="Arial Black"/>
        </w:rPr>
      </w:pPr>
      <w:r>
        <w:rPr>
          <w:rFonts w:ascii="Arial Black"/>
          <w:color w:val="FFFFFF"/>
          <w:spacing w:val="-11"/>
          <w:shd w:val="clear" w:color="auto" w:fill="000000"/>
        </w:rPr>
        <w:lastRenderedPageBreak/>
        <w:t>Revision</w:t>
      </w:r>
      <w:r>
        <w:rPr>
          <w:rFonts w:ascii="Arial Black"/>
          <w:color w:val="FFFFFF"/>
          <w:spacing w:val="-17"/>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6970E64F" w14:textId="77777777" w:rsidR="005C0500" w:rsidRDefault="005C0500">
      <w:pPr>
        <w:pStyle w:val="BodyText"/>
        <w:spacing w:before="10"/>
        <w:rPr>
          <w:rFonts w:ascii="Arial Black"/>
          <w:sz w:val="22"/>
        </w:rPr>
      </w:pPr>
    </w:p>
    <w:p w14:paraId="2B4065CD" w14:textId="77777777" w:rsidR="005C0500" w:rsidRDefault="00A308FE">
      <w:pPr>
        <w:pStyle w:val="BodyText"/>
        <w:ind w:left="100" w:right="32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608E4209" w14:textId="77777777" w:rsidR="005C0500" w:rsidRDefault="005C0500">
      <w:pPr>
        <w:pStyle w:val="BodyText"/>
        <w:spacing w:before="8"/>
        <w:rPr>
          <w:sz w:val="28"/>
        </w:r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4"/>
        <w:gridCol w:w="2190"/>
        <w:gridCol w:w="1258"/>
        <w:gridCol w:w="4955"/>
      </w:tblGrid>
      <w:tr w:rsidR="005C0500" w14:paraId="7C1494A8" w14:textId="77777777">
        <w:trPr>
          <w:trHeight w:val="609"/>
        </w:trPr>
        <w:tc>
          <w:tcPr>
            <w:tcW w:w="1054" w:type="dxa"/>
            <w:shd w:val="clear" w:color="auto" w:fill="E4E4E4"/>
          </w:tcPr>
          <w:p w14:paraId="4C8847EF" w14:textId="77777777" w:rsidR="005C0500" w:rsidRDefault="00A308FE">
            <w:pPr>
              <w:pStyle w:val="TableParagraph"/>
              <w:spacing w:before="39"/>
              <w:rPr>
                <w:b/>
              </w:rPr>
            </w:pPr>
            <w:r>
              <w:rPr>
                <w:b/>
              </w:rPr>
              <w:t>Date</w:t>
            </w:r>
          </w:p>
        </w:tc>
        <w:tc>
          <w:tcPr>
            <w:tcW w:w="2190" w:type="dxa"/>
            <w:shd w:val="clear" w:color="auto" w:fill="E4E4E4"/>
          </w:tcPr>
          <w:p w14:paraId="233C6E8C" w14:textId="77777777" w:rsidR="005C0500" w:rsidRDefault="00A308FE">
            <w:pPr>
              <w:pStyle w:val="TableParagraph"/>
              <w:spacing w:before="39"/>
              <w:ind w:left="272"/>
              <w:rPr>
                <w:b/>
              </w:rPr>
            </w:pPr>
            <w:r>
              <w:rPr>
                <w:b/>
              </w:rPr>
              <w:t>Revised Pages</w:t>
            </w:r>
          </w:p>
        </w:tc>
        <w:tc>
          <w:tcPr>
            <w:tcW w:w="1258" w:type="dxa"/>
            <w:shd w:val="clear" w:color="auto" w:fill="E4E4E4"/>
          </w:tcPr>
          <w:p w14:paraId="6069B8B7" w14:textId="77777777" w:rsidR="005C0500" w:rsidRDefault="00A308FE">
            <w:pPr>
              <w:pStyle w:val="TableParagraph"/>
              <w:spacing w:before="39"/>
              <w:ind w:left="161" w:right="133" w:firstLine="129"/>
              <w:rPr>
                <w:b/>
              </w:rPr>
            </w:pPr>
            <w:r>
              <w:rPr>
                <w:b/>
              </w:rPr>
              <w:t>Patch Number</w:t>
            </w:r>
          </w:p>
        </w:tc>
        <w:tc>
          <w:tcPr>
            <w:tcW w:w="4955" w:type="dxa"/>
            <w:shd w:val="clear" w:color="auto" w:fill="E4E4E4"/>
          </w:tcPr>
          <w:p w14:paraId="52E025BD" w14:textId="77777777" w:rsidR="005C0500" w:rsidRDefault="00A308FE">
            <w:pPr>
              <w:pStyle w:val="TableParagraph"/>
              <w:spacing w:before="39"/>
              <w:ind w:left="1983"/>
              <w:rPr>
                <w:b/>
              </w:rPr>
            </w:pPr>
            <w:r>
              <w:rPr>
                <w:b/>
              </w:rPr>
              <w:t>Description</w:t>
            </w:r>
          </w:p>
        </w:tc>
      </w:tr>
      <w:tr w:rsidR="005C0500" w14:paraId="21BDD786" w14:textId="77777777">
        <w:trPr>
          <w:trHeight w:val="1140"/>
        </w:trPr>
        <w:tc>
          <w:tcPr>
            <w:tcW w:w="1054" w:type="dxa"/>
          </w:tcPr>
          <w:p w14:paraId="3C97D86F" w14:textId="77777777" w:rsidR="005C0500" w:rsidRDefault="00A308FE">
            <w:pPr>
              <w:pStyle w:val="TableParagraph"/>
              <w:spacing w:before="39"/>
            </w:pPr>
            <w:r>
              <w:t>07/2009</w:t>
            </w:r>
          </w:p>
        </w:tc>
        <w:tc>
          <w:tcPr>
            <w:tcW w:w="2190" w:type="dxa"/>
          </w:tcPr>
          <w:p w14:paraId="2856E747" w14:textId="77777777" w:rsidR="005C0500" w:rsidRDefault="00A308FE">
            <w:pPr>
              <w:pStyle w:val="TableParagraph"/>
              <w:spacing w:before="39"/>
            </w:pPr>
            <w:r>
              <w:t>i-ii, 50a-50b</w:t>
            </w:r>
          </w:p>
        </w:tc>
        <w:tc>
          <w:tcPr>
            <w:tcW w:w="1258" w:type="dxa"/>
          </w:tcPr>
          <w:p w14:paraId="28F3572D" w14:textId="77777777" w:rsidR="005C0500" w:rsidRDefault="00A308FE">
            <w:pPr>
              <w:pStyle w:val="TableParagraph"/>
              <w:spacing w:before="39"/>
              <w:ind w:left="92" w:right="82"/>
              <w:jc w:val="center"/>
            </w:pPr>
            <w:r>
              <w:t>PSX*2*65</w:t>
            </w:r>
          </w:p>
        </w:tc>
        <w:tc>
          <w:tcPr>
            <w:tcW w:w="4955" w:type="dxa"/>
          </w:tcPr>
          <w:p w14:paraId="1A641EA9" w14:textId="77777777" w:rsidR="005C0500" w:rsidRDefault="00A308FE">
            <w:pPr>
              <w:pStyle w:val="TableParagraph"/>
              <w:spacing w:before="20" w:line="249" w:lineRule="auto"/>
              <w:ind w:left="106" w:right="512"/>
            </w:pPr>
            <w:r>
              <w:t>ePharmacy Iteration II – Phase 4 project: Updated revision history, ¾ days supply functionality, and host error functionality.</w:t>
            </w:r>
          </w:p>
          <w:p w14:paraId="0DF8ED8C" w14:textId="3D66517A" w:rsidR="005C0500" w:rsidRDefault="00A308FE">
            <w:pPr>
              <w:pStyle w:val="TableParagraph"/>
              <w:spacing w:before="8"/>
              <w:ind w:left="106"/>
            </w:pPr>
            <w:r>
              <w:rPr>
                <w:highlight w:val="yellow"/>
              </w:rPr>
              <w:t>REDACTED</w:t>
            </w:r>
          </w:p>
        </w:tc>
      </w:tr>
      <w:tr w:rsidR="005C0500" w14:paraId="7E3EB2AF" w14:textId="77777777">
        <w:trPr>
          <w:trHeight w:val="4350"/>
        </w:trPr>
        <w:tc>
          <w:tcPr>
            <w:tcW w:w="1054" w:type="dxa"/>
          </w:tcPr>
          <w:p w14:paraId="0B01E3FC" w14:textId="77777777" w:rsidR="005C0500" w:rsidRDefault="00A308FE">
            <w:pPr>
              <w:pStyle w:val="TableParagraph"/>
            </w:pPr>
            <w:r>
              <w:t>04/2006</w:t>
            </w:r>
          </w:p>
        </w:tc>
        <w:tc>
          <w:tcPr>
            <w:tcW w:w="2190" w:type="dxa"/>
          </w:tcPr>
          <w:p w14:paraId="6293E5C7" w14:textId="77777777" w:rsidR="005C0500" w:rsidRDefault="00A308FE">
            <w:pPr>
              <w:pStyle w:val="TableParagraph"/>
            </w:pPr>
            <w:r>
              <w:t>v-viii,</w:t>
            </w:r>
          </w:p>
          <w:p w14:paraId="5EE2FC13" w14:textId="77777777" w:rsidR="005C0500" w:rsidRDefault="00A308FE">
            <w:pPr>
              <w:pStyle w:val="TableParagraph"/>
              <w:spacing w:before="40"/>
            </w:pPr>
            <w:r>
              <w:t>30, 41-42, 46-50,</w:t>
            </w:r>
          </w:p>
          <w:p w14:paraId="44ED5D9D" w14:textId="77777777" w:rsidR="005C0500" w:rsidRDefault="00A308FE">
            <w:pPr>
              <w:pStyle w:val="TableParagraph"/>
              <w:spacing w:before="38"/>
            </w:pPr>
            <w:r>
              <w:t>50a-b, 126, 137</w:t>
            </w:r>
          </w:p>
        </w:tc>
        <w:tc>
          <w:tcPr>
            <w:tcW w:w="1258" w:type="dxa"/>
          </w:tcPr>
          <w:p w14:paraId="612D1B69" w14:textId="77777777" w:rsidR="005C0500" w:rsidRDefault="00A308FE">
            <w:pPr>
              <w:pStyle w:val="TableParagraph"/>
              <w:ind w:left="92" w:right="82"/>
              <w:jc w:val="center"/>
            </w:pPr>
            <w:r>
              <w:t>PSX*2*48</w:t>
            </w:r>
          </w:p>
        </w:tc>
        <w:tc>
          <w:tcPr>
            <w:tcW w:w="4955" w:type="dxa"/>
          </w:tcPr>
          <w:p w14:paraId="1A818102" w14:textId="77777777" w:rsidR="005C0500" w:rsidRDefault="00A308FE">
            <w:pPr>
              <w:pStyle w:val="TableParagraph"/>
              <w:spacing w:before="18"/>
              <w:ind w:left="106" w:right="1652"/>
            </w:pPr>
            <w:r>
              <w:t>HIPAA NCPDP Global Project: Updated Table of Contents;</w:t>
            </w:r>
          </w:p>
          <w:p w14:paraId="753EF8D9" w14:textId="77777777" w:rsidR="005C0500" w:rsidRDefault="00A308FE">
            <w:pPr>
              <w:pStyle w:val="TableParagraph"/>
              <w:spacing w:before="1"/>
              <w:ind w:left="106" w:right="206"/>
            </w:pPr>
            <w:r>
              <w:t>Updated “Functionality for Returning Med to Stock” verbiage;</w:t>
            </w:r>
          </w:p>
          <w:p w14:paraId="0BDD95D8" w14:textId="77777777" w:rsidR="005C0500" w:rsidRDefault="00A308FE">
            <w:pPr>
              <w:pStyle w:val="TableParagraph"/>
              <w:spacing w:before="0"/>
              <w:ind w:left="106" w:right="544"/>
            </w:pPr>
            <w:r>
              <w:t>Updated View Prescriptions Example to include ECME Activity and Reject Logs; Updated Print from Suspense options and reflowed text onto following pages;</w:t>
            </w:r>
          </w:p>
          <w:p w14:paraId="4ECA406E" w14:textId="77777777" w:rsidR="005C0500" w:rsidRDefault="00A308FE">
            <w:pPr>
              <w:pStyle w:val="TableParagraph"/>
              <w:spacing w:before="0"/>
              <w:ind w:left="106" w:right="1029"/>
            </w:pPr>
            <w:r>
              <w:t>Added Third Party Electronic Claims Submission of CMOP Prescriptions;</w:t>
            </w:r>
          </w:p>
          <w:p w14:paraId="4016A84F" w14:textId="77777777" w:rsidR="005C0500" w:rsidRDefault="00A308FE">
            <w:pPr>
              <w:pStyle w:val="TableParagraph"/>
              <w:spacing w:before="21"/>
              <w:ind w:left="106" w:right="169"/>
            </w:pPr>
            <w:r>
              <w:t>Added ECME transmission to the Flow Chart for Processing a CMOP Transmission in Appendix D;</w:t>
            </w:r>
          </w:p>
          <w:p w14:paraId="4043AB34" w14:textId="77777777" w:rsidR="005C0500" w:rsidRDefault="00A308FE">
            <w:pPr>
              <w:pStyle w:val="TableParagraph"/>
              <w:spacing w:before="0"/>
              <w:ind w:left="106" w:right="144"/>
            </w:pPr>
            <w:r>
              <w:t>Added example of an “e-Pharmacy CMOP Not Transmitted Rx List Message” to Appendix E.</w:t>
            </w:r>
          </w:p>
          <w:p w14:paraId="7F0BAED2" w14:textId="21D6218A" w:rsidR="005C0500" w:rsidRDefault="00A308FE">
            <w:pPr>
              <w:pStyle w:val="TableParagraph"/>
              <w:spacing w:before="38"/>
              <w:ind w:left="106"/>
            </w:pPr>
            <w:r>
              <w:rPr>
                <w:highlight w:val="yellow"/>
              </w:rPr>
              <w:t>REDACTED</w:t>
            </w:r>
          </w:p>
        </w:tc>
      </w:tr>
      <w:tr w:rsidR="005C0500" w14:paraId="3D77DD7D" w14:textId="77777777">
        <w:trPr>
          <w:trHeight w:val="608"/>
        </w:trPr>
        <w:tc>
          <w:tcPr>
            <w:tcW w:w="1054" w:type="dxa"/>
          </w:tcPr>
          <w:p w14:paraId="4659E247" w14:textId="77777777" w:rsidR="005C0500" w:rsidRDefault="00A308FE">
            <w:pPr>
              <w:pStyle w:val="TableParagraph"/>
            </w:pPr>
            <w:r>
              <w:t>10/2003</w:t>
            </w:r>
          </w:p>
        </w:tc>
        <w:tc>
          <w:tcPr>
            <w:tcW w:w="2190" w:type="dxa"/>
          </w:tcPr>
          <w:p w14:paraId="014A9DA1" w14:textId="77777777" w:rsidR="005C0500" w:rsidRDefault="00A308FE">
            <w:pPr>
              <w:pStyle w:val="TableParagraph"/>
            </w:pPr>
            <w:r>
              <w:t>24, 24a</w:t>
            </w:r>
          </w:p>
        </w:tc>
        <w:tc>
          <w:tcPr>
            <w:tcW w:w="1258" w:type="dxa"/>
          </w:tcPr>
          <w:p w14:paraId="268DE92E" w14:textId="77777777" w:rsidR="005C0500" w:rsidRDefault="00A308FE">
            <w:pPr>
              <w:pStyle w:val="TableParagraph"/>
              <w:ind w:left="92" w:right="82"/>
              <w:jc w:val="center"/>
            </w:pPr>
            <w:r>
              <w:t>PSX*2*41</w:t>
            </w:r>
          </w:p>
        </w:tc>
        <w:tc>
          <w:tcPr>
            <w:tcW w:w="4955" w:type="dxa"/>
          </w:tcPr>
          <w:p w14:paraId="2D374C53" w14:textId="77777777" w:rsidR="005C0500" w:rsidRDefault="00A308FE">
            <w:pPr>
              <w:pStyle w:val="TableParagraph"/>
              <w:ind w:left="106" w:right="694"/>
            </w:pPr>
            <w:r>
              <w:t>Updated example for scheduling of auto- transmissions.</w:t>
            </w:r>
          </w:p>
        </w:tc>
      </w:tr>
      <w:tr w:rsidR="005C0500" w14:paraId="0B0C37B5" w14:textId="77777777">
        <w:trPr>
          <w:trHeight w:val="1708"/>
        </w:trPr>
        <w:tc>
          <w:tcPr>
            <w:tcW w:w="1054" w:type="dxa"/>
          </w:tcPr>
          <w:p w14:paraId="3A78D1A0" w14:textId="77777777" w:rsidR="005C0500" w:rsidRDefault="00A308FE">
            <w:pPr>
              <w:pStyle w:val="TableParagraph"/>
            </w:pPr>
            <w:r>
              <w:t>09/2002</w:t>
            </w:r>
          </w:p>
        </w:tc>
        <w:tc>
          <w:tcPr>
            <w:tcW w:w="2190" w:type="dxa"/>
          </w:tcPr>
          <w:p w14:paraId="480EB4C0" w14:textId="77777777" w:rsidR="005C0500" w:rsidRDefault="00A308FE">
            <w:pPr>
              <w:pStyle w:val="TableParagraph"/>
              <w:spacing w:line="276" w:lineRule="auto"/>
              <w:ind w:right="963"/>
            </w:pPr>
            <w:r>
              <w:t>Title Page; i-(ii);</w:t>
            </w:r>
          </w:p>
          <w:p w14:paraId="77390A7B" w14:textId="77777777" w:rsidR="005C0500" w:rsidRDefault="00A308FE">
            <w:pPr>
              <w:pStyle w:val="TableParagraph"/>
              <w:spacing w:before="1"/>
            </w:pPr>
            <w:r>
              <w:t>65-66.</w:t>
            </w:r>
          </w:p>
        </w:tc>
        <w:tc>
          <w:tcPr>
            <w:tcW w:w="1258" w:type="dxa"/>
          </w:tcPr>
          <w:p w14:paraId="6253FDA1" w14:textId="77777777" w:rsidR="005C0500" w:rsidRDefault="00A308FE">
            <w:pPr>
              <w:pStyle w:val="TableParagraph"/>
              <w:ind w:left="92" w:right="82"/>
              <w:jc w:val="center"/>
            </w:pPr>
            <w:r>
              <w:t>PSX*2*34</w:t>
            </w:r>
          </w:p>
        </w:tc>
        <w:tc>
          <w:tcPr>
            <w:tcW w:w="4955" w:type="dxa"/>
          </w:tcPr>
          <w:p w14:paraId="4B35E786" w14:textId="77777777" w:rsidR="005C0500" w:rsidRDefault="00A308FE">
            <w:pPr>
              <w:pStyle w:val="TableParagraph"/>
              <w:spacing w:line="252" w:lineRule="auto"/>
              <w:ind w:left="106" w:right="255"/>
            </w:pPr>
            <w:r>
              <w:t>Updated Title Page and Revision History; modified description of Unreleased Rx’s Report to include new sort and print options. Formatting change unrelated to the patch:</w:t>
            </w:r>
          </w:p>
          <w:p w14:paraId="6DFFD7F1" w14:textId="77777777" w:rsidR="005C0500" w:rsidRDefault="00A308FE">
            <w:pPr>
              <w:pStyle w:val="TableParagraph"/>
              <w:spacing w:before="0" w:line="237" w:lineRule="auto"/>
              <w:ind w:left="106" w:right="201"/>
            </w:pPr>
            <w:r>
              <w:t>Header for example of Rejected Messages Report moved to same page as body of report.</w:t>
            </w:r>
          </w:p>
        </w:tc>
      </w:tr>
      <w:tr w:rsidR="005C0500" w14:paraId="312DAF78" w14:textId="77777777">
        <w:trPr>
          <w:trHeight w:val="1098"/>
        </w:trPr>
        <w:tc>
          <w:tcPr>
            <w:tcW w:w="1054" w:type="dxa"/>
          </w:tcPr>
          <w:p w14:paraId="6EC1D7AB" w14:textId="77777777" w:rsidR="005C0500" w:rsidRDefault="00A308FE">
            <w:pPr>
              <w:pStyle w:val="TableParagraph"/>
            </w:pPr>
            <w:r>
              <w:t>05/2002</w:t>
            </w:r>
          </w:p>
        </w:tc>
        <w:tc>
          <w:tcPr>
            <w:tcW w:w="2190" w:type="dxa"/>
          </w:tcPr>
          <w:p w14:paraId="1D7BAED0" w14:textId="77777777" w:rsidR="005C0500" w:rsidRDefault="00A308FE">
            <w:pPr>
              <w:pStyle w:val="TableParagraph"/>
              <w:ind w:right="963"/>
            </w:pPr>
            <w:r>
              <w:t>Title Page; i-viii;</w:t>
            </w:r>
          </w:p>
          <w:p w14:paraId="2CEE266C" w14:textId="77777777" w:rsidR="005C0500" w:rsidRDefault="00A308FE">
            <w:pPr>
              <w:pStyle w:val="TableParagraph"/>
              <w:spacing w:before="1"/>
            </w:pPr>
            <w:r>
              <w:t>(61)-62;</w:t>
            </w:r>
          </w:p>
        </w:tc>
        <w:tc>
          <w:tcPr>
            <w:tcW w:w="1258" w:type="dxa"/>
          </w:tcPr>
          <w:p w14:paraId="4744D44D" w14:textId="77777777" w:rsidR="005C0500" w:rsidRDefault="00A308FE">
            <w:pPr>
              <w:pStyle w:val="TableParagraph"/>
              <w:ind w:left="92" w:right="82"/>
              <w:jc w:val="center"/>
            </w:pPr>
            <w:r>
              <w:t>PSX*2*32</w:t>
            </w:r>
          </w:p>
        </w:tc>
        <w:tc>
          <w:tcPr>
            <w:tcW w:w="4955" w:type="dxa"/>
          </w:tcPr>
          <w:p w14:paraId="36916A5C" w14:textId="77777777" w:rsidR="005C0500" w:rsidRDefault="00A308FE">
            <w:pPr>
              <w:pStyle w:val="TableParagraph"/>
              <w:ind w:left="106" w:right="364"/>
            </w:pPr>
            <w:r>
              <w:t>Updated Title page; added Revision History page and renumbered Preface and Table</w:t>
            </w:r>
            <w:r>
              <w:rPr>
                <w:spacing w:val="-13"/>
              </w:rPr>
              <w:t xml:space="preserve"> </w:t>
            </w:r>
            <w:r>
              <w:t>of</w:t>
            </w:r>
          </w:p>
          <w:p w14:paraId="03AA23D7" w14:textId="77777777" w:rsidR="005C0500" w:rsidRDefault="00A308FE">
            <w:pPr>
              <w:pStyle w:val="TableParagraph"/>
              <w:spacing w:before="7" w:line="264" w:lineRule="exact"/>
              <w:ind w:left="106" w:right="485"/>
            </w:pPr>
            <w:r>
              <w:t>Contents pages; added new CMOP DRUG Cost Missing report; and amended</w:t>
            </w:r>
            <w:r>
              <w:rPr>
                <w:spacing w:val="-11"/>
              </w:rPr>
              <w:t xml:space="preserve"> </w:t>
            </w:r>
            <w:r>
              <w:t>Facility</w:t>
            </w:r>
          </w:p>
        </w:tc>
      </w:tr>
    </w:tbl>
    <w:p w14:paraId="40B1698F" w14:textId="77777777" w:rsidR="005C0500" w:rsidRDefault="00A308FE">
      <w:pPr>
        <w:pStyle w:val="BodyText"/>
        <w:tabs>
          <w:tab w:val="left" w:pos="2071"/>
          <w:tab w:val="left" w:pos="9287"/>
        </w:tabs>
        <w:spacing w:before="37" w:line="288" w:lineRule="exact"/>
        <w:ind w:right="214"/>
        <w:jc w:val="center"/>
      </w:pPr>
      <w:r>
        <w:t>July</w:t>
      </w:r>
      <w:r>
        <w:rPr>
          <w:spacing w:val="-3"/>
        </w:rPr>
        <w:t xml:space="preserve"> </w:t>
      </w:r>
      <w:r>
        <w:t>2009</w:t>
      </w:r>
      <w:r>
        <w:tab/>
        <w:t>Consolidated Mail Outpatient Pharmacy</w:t>
      </w:r>
      <w:r>
        <w:rPr>
          <w:spacing w:val="-10"/>
        </w:rPr>
        <w:t xml:space="preserve"> </w:t>
      </w:r>
      <w:r>
        <w:t>V.</w:t>
      </w:r>
      <w:r>
        <w:rPr>
          <w:spacing w:val="-4"/>
        </w:rPr>
        <w:t xml:space="preserve"> </w:t>
      </w:r>
      <w:r>
        <w:t>2.0</w:t>
      </w:r>
      <w:r>
        <w:tab/>
        <w:t>i</w:t>
      </w:r>
    </w:p>
    <w:p w14:paraId="712B5A0E" w14:textId="77777777" w:rsidR="005C0500" w:rsidRDefault="00A308FE">
      <w:pPr>
        <w:pStyle w:val="BodyText"/>
        <w:ind w:left="4051" w:right="4264"/>
        <w:jc w:val="center"/>
      </w:pPr>
      <w:r>
        <w:t>User Manual PSX*2*65</w:t>
      </w:r>
    </w:p>
    <w:p w14:paraId="272AB363" w14:textId="77777777" w:rsidR="005C0500" w:rsidRDefault="005C0500">
      <w:pPr>
        <w:jc w:val="center"/>
        <w:sectPr w:rsidR="005C0500">
          <w:pgSz w:w="12240" w:h="15840"/>
          <w:pgMar w:top="1500" w:right="1120" w:bottom="280" w:left="1340" w:header="720" w:footer="720" w:gutter="0"/>
          <w:cols w:space="720"/>
        </w:sectPr>
      </w:pPr>
    </w:p>
    <w:tbl>
      <w:tblPr>
        <w:tblW w:w="0" w:type="auto"/>
        <w:tblInd w:w="1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4"/>
        <w:gridCol w:w="2190"/>
        <w:gridCol w:w="1258"/>
        <w:gridCol w:w="4955"/>
      </w:tblGrid>
      <w:tr w:rsidR="005C0500" w14:paraId="4C23215C" w14:textId="77777777">
        <w:trPr>
          <w:trHeight w:val="835"/>
        </w:trPr>
        <w:tc>
          <w:tcPr>
            <w:tcW w:w="1054" w:type="dxa"/>
          </w:tcPr>
          <w:p w14:paraId="2C30B0D0" w14:textId="77777777" w:rsidR="005C0500" w:rsidRDefault="005C0500">
            <w:pPr>
              <w:pStyle w:val="TableParagraph"/>
              <w:spacing w:before="0"/>
              <w:ind w:left="0"/>
              <w:rPr>
                <w:rFonts w:ascii="Times New Roman"/>
              </w:rPr>
            </w:pPr>
          </w:p>
        </w:tc>
        <w:tc>
          <w:tcPr>
            <w:tcW w:w="2190" w:type="dxa"/>
          </w:tcPr>
          <w:p w14:paraId="62FBD8DA" w14:textId="77777777" w:rsidR="005C0500" w:rsidRDefault="00A308FE">
            <w:pPr>
              <w:pStyle w:val="TableParagraph"/>
              <w:spacing w:before="0" w:line="261" w:lineRule="exact"/>
            </w:pPr>
            <w:r>
              <w:t>67-(68).</w:t>
            </w:r>
          </w:p>
        </w:tc>
        <w:tc>
          <w:tcPr>
            <w:tcW w:w="1258" w:type="dxa"/>
          </w:tcPr>
          <w:p w14:paraId="72BB135C" w14:textId="77777777" w:rsidR="005C0500" w:rsidRDefault="005C0500">
            <w:pPr>
              <w:pStyle w:val="TableParagraph"/>
              <w:spacing w:before="0"/>
              <w:ind w:left="0"/>
              <w:rPr>
                <w:rFonts w:ascii="Times New Roman"/>
              </w:rPr>
            </w:pPr>
          </w:p>
        </w:tc>
        <w:tc>
          <w:tcPr>
            <w:tcW w:w="4955" w:type="dxa"/>
          </w:tcPr>
          <w:p w14:paraId="0DE2AD68" w14:textId="77777777" w:rsidR="005C0500" w:rsidRDefault="00A308FE">
            <w:pPr>
              <w:pStyle w:val="TableParagraph"/>
              <w:spacing w:before="0"/>
              <w:ind w:left="106" w:right="152"/>
            </w:pPr>
            <w:r>
              <w:t>Activity Report description to add time range. Screen captures on updated pages re- formatted to new standards.</w:t>
            </w:r>
          </w:p>
        </w:tc>
      </w:tr>
      <w:tr w:rsidR="005C0500" w14:paraId="3B626B1F" w14:textId="77777777">
        <w:trPr>
          <w:trHeight w:val="345"/>
        </w:trPr>
        <w:tc>
          <w:tcPr>
            <w:tcW w:w="1054" w:type="dxa"/>
          </w:tcPr>
          <w:p w14:paraId="7AC39132" w14:textId="77777777" w:rsidR="005C0500" w:rsidRDefault="00A308FE">
            <w:pPr>
              <w:pStyle w:val="TableParagraph"/>
            </w:pPr>
            <w:r>
              <w:t>12/1997</w:t>
            </w:r>
          </w:p>
        </w:tc>
        <w:tc>
          <w:tcPr>
            <w:tcW w:w="2190" w:type="dxa"/>
            <w:shd w:val="clear" w:color="auto" w:fill="CCCCCC"/>
          </w:tcPr>
          <w:p w14:paraId="3BA63602" w14:textId="77777777" w:rsidR="005C0500" w:rsidRDefault="005C0500">
            <w:pPr>
              <w:pStyle w:val="TableParagraph"/>
              <w:spacing w:before="0"/>
              <w:ind w:left="0"/>
              <w:rPr>
                <w:rFonts w:ascii="Times New Roman"/>
              </w:rPr>
            </w:pPr>
          </w:p>
        </w:tc>
        <w:tc>
          <w:tcPr>
            <w:tcW w:w="1258" w:type="dxa"/>
            <w:shd w:val="clear" w:color="auto" w:fill="CCCCCC"/>
          </w:tcPr>
          <w:p w14:paraId="7272B487" w14:textId="77777777" w:rsidR="005C0500" w:rsidRDefault="005C0500">
            <w:pPr>
              <w:pStyle w:val="TableParagraph"/>
              <w:spacing w:before="0"/>
              <w:ind w:left="0"/>
              <w:rPr>
                <w:rFonts w:ascii="Times New Roman"/>
              </w:rPr>
            </w:pPr>
          </w:p>
        </w:tc>
        <w:tc>
          <w:tcPr>
            <w:tcW w:w="4955" w:type="dxa"/>
          </w:tcPr>
          <w:p w14:paraId="35849C06" w14:textId="77777777" w:rsidR="005C0500" w:rsidRDefault="00A308FE">
            <w:pPr>
              <w:pStyle w:val="TableParagraph"/>
              <w:ind w:left="106"/>
            </w:pPr>
            <w:r>
              <w:t>Original Released User Manual.</w:t>
            </w:r>
          </w:p>
        </w:tc>
      </w:tr>
    </w:tbl>
    <w:p w14:paraId="49B44F0A" w14:textId="77777777" w:rsidR="005C0500" w:rsidRDefault="005C0500">
      <w:pPr>
        <w:pStyle w:val="BodyText"/>
        <w:rPr>
          <w:sz w:val="20"/>
        </w:rPr>
      </w:pPr>
    </w:p>
    <w:p w14:paraId="2549171D" w14:textId="77777777" w:rsidR="005C0500" w:rsidRDefault="005C0500">
      <w:pPr>
        <w:pStyle w:val="BodyText"/>
        <w:rPr>
          <w:sz w:val="20"/>
        </w:rPr>
      </w:pPr>
    </w:p>
    <w:p w14:paraId="00087D45" w14:textId="77777777" w:rsidR="005C0500" w:rsidRDefault="005C0500">
      <w:pPr>
        <w:pStyle w:val="BodyText"/>
        <w:rPr>
          <w:sz w:val="20"/>
        </w:rPr>
      </w:pPr>
    </w:p>
    <w:p w14:paraId="60BA695A" w14:textId="77777777" w:rsidR="005C0500" w:rsidRDefault="005C0500">
      <w:pPr>
        <w:pStyle w:val="BodyText"/>
        <w:rPr>
          <w:sz w:val="20"/>
        </w:rPr>
      </w:pPr>
    </w:p>
    <w:p w14:paraId="6A687EC1" w14:textId="77777777" w:rsidR="005C0500" w:rsidRDefault="005C0500">
      <w:pPr>
        <w:pStyle w:val="BodyText"/>
        <w:rPr>
          <w:sz w:val="20"/>
        </w:rPr>
      </w:pPr>
    </w:p>
    <w:p w14:paraId="45D3B084" w14:textId="77777777" w:rsidR="005C0500" w:rsidRDefault="005C0500">
      <w:pPr>
        <w:pStyle w:val="BodyText"/>
        <w:rPr>
          <w:sz w:val="20"/>
        </w:rPr>
      </w:pPr>
    </w:p>
    <w:p w14:paraId="6527A233" w14:textId="77777777" w:rsidR="005C0500" w:rsidRDefault="005C0500">
      <w:pPr>
        <w:pStyle w:val="BodyText"/>
        <w:rPr>
          <w:sz w:val="20"/>
        </w:rPr>
      </w:pPr>
    </w:p>
    <w:p w14:paraId="3C866E19" w14:textId="77777777" w:rsidR="005C0500" w:rsidRDefault="005C0500">
      <w:pPr>
        <w:pStyle w:val="BodyText"/>
        <w:rPr>
          <w:sz w:val="20"/>
        </w:rPr>
      </w:pPr>
    </w:p>
    <w:p w14:paraId="0C3A7A52" w14:textId="77777777" w:rsidR="005C0500" w:rsidRDefault="005C0500">
      <w:pPr>
        <w:pStyle w:val="BodyText"/>
        <w:rPr>
          <w:sz w:val="20"/>
        </w:rPr>
      </w:pPr>
    </w:p>
    <w:p w14:paraId="3A7348F9" w14:textId="77777777" w:rsidR="005C0500" w:rsidRDefault="005C0500">
      <w:pPr>
        <w:pStyle w:val="BodyText"/>
        <w:rPr>
          <w:sz w:val="20"/>
        </w:rPr>
      </w:pPr>
    </w:p>
    <w:p w14:paraId="73C3403C" w14:textId="77777777" w:rsidR="005C0500" w:rsidRDefault="005C0500">
      <w:pPr>
        <w:pStyle w:val="BodyText"/>
        <w:rPr>
          <w:sz w:val="20"/>
        </w:rPr>
      </w:pPr>
    </w:p>
    <w:p w14:paraId="24843E73" w14:textId="77777777" w:rsidR="005C0500" w:rsidRDefault="005C0500">
      <w:pPr>
        <w:pStyle w:val="BodyText"/>
        <w:rPr>
          <w:sz w:val="20"/>
        </w:rPr>
      </w:pPr>
    </w:p>
    <w:p w14:paraId="005C96FA" w14:textId="77777777" w:rsidR="005C0500" w:rsidRDefault="005C0500">
      <w:pPr>
        <w:pStyle w:val="BodyText"/>
        <w:rPr>
          <w:sz w:val="20"/>
        </w:rPr>
      </w:pPr>
    </w:p>
    <w:p w14:paraId="7B189616" w14:textId="77777777" w:rsidR="005C0500" w:rsidRDefault="005C0500">
      <w:pPr>
        <w:pStyle w:val="BodyText"/>
        <w:rPr>
          <w:sz w:val="20"/>
        </w:rPr>
      </w:pPr>
    </w:p>
    <w:p w14:paraId="7942BCB5" w14:textId="77777777" w:rsidR="005C0500" w:rsidRDefault="005C0500">
      <w:pPr>
        <w:pStyle w:val="BodyText"/>
        <w:rPr>
          <w:sz w:val="20"/>
        </w:rPr>
      </w:pPr>
    </w:p>
    <w:p w14:paraId="104E5794" w14:textId="77777777" w:rsidR="005C0500" w:rsidRDefault="005C0500">
      <w:pPr>
        <w:pStyle w:val="BodyText"/>
        <w:rPr>
          <w:sz w:val="20"/>
        </w:rPr>
      </w:pPr>
    </w:p>
    <w:p w14:paraId="28828AEE" w14:textId="77777777" w:rsidR="005C0500" w:rsidRDefault="005C0500">
      <w:pPr>
        <w:pStyle w:val="BodyText"/>
        <w:rPr>
          <w:sz w:val="20"/>
        </w:rPr>
      </w:pPr>
    </w:p>
    <w:p w14:paraId="33188ED9" w14:textId="77777777" w:rsidR="005C0500" w:rsidRDefault="005C0500">
      <w:pPr>
        <w:pStyle w:val="BodyText"/>
        <w:rPr>
          <w:sz w:val="20"/>
        </w:rPr>
      </w:pPr>
    </w:p>
    <w:p w14:paraId="502CF21F" w14:textId="77777777" w:rsidR="005C0500" w:rsidRDefault="005C0500">
      <w:pPr>
        <w:pStyle w:val="BodyText"/>
        <w:rPr>
          <w:sz w:val="20"/>
        </w:rPr>
      </w:pPr>
    </w:p>
    <w:p w14:paraId="6751808D" w14:textId="77777777" w:rsidR="005C0500" w:rsidRDefault="005C0500">
      <w:pPr>
        <w:pStyle w:val="BodyText"/>
        <w:rPr>
          <w:sz w:val="20"/>
        </w:rPr>
      </w:pPr>
    </w:p>
    <w:p w14:paraId="3CBD93A4" w14:textId="77777777" w:rsidR="005C0500" w:rsidRDefault="005C0500">
      <w:pPr>
        <w:pStyle w:val="BodyText"/>
        <w:rPr>
          <w:sz w:val="20"/>
        </w:rPr>
      </w:pPr>
    </w:p>
    <w:p w14:paraId="4FD5BC11" w14:textId="77777777" w:rsidR="005C0500" w:rsidRDefault="005C0500">
      <w:pPr>
        <w:pStyle w:val="BodyText"/>
        <w:rPr>
          <w:sz w:val="20"/>
        </w:rPr>
      </w:pPr>
    </w:p>
    <w:p w14:paraId="559CA893" w14:textId="77777777" w:rsidR="005C0500" w:rsidRDefault="005C0500">
      <w:pPr>
        <w:pStyle w:val="BodyText"/>
        <w:rPr>
          <w:sz w:val="20"/>
        </w:rPr>
      </w:pPr>
    </w:p>
    <w:p w14:paraId="75FBE56B" w14:textId="77777777" w:rsidR="005C0500" w:rsidRDefault="005C0500">
      <w:pPr>
        <w:pStyle w:val="BodyText"/>
        <w:rPr>
          <w:sz w:val="20"/>
        </w:rPr>
      </w:pPr>
    </w:p>
    <w:p w14:paraId="5B9D27CA" w14:textId="77777777" w:rsidR="005C0500" w:rsidRDefault="005C0500">
      <w:pPr>
        <w:pStyle w:val="BodyText"/>
        <w:rPr>
          <w:sz w:val="20"/>
        </w:rPr>
      </w:pPr>
    </w:p>
    <w:p w14:paraId="370C5C35" w14:textId="77777777" w:rsidR="005C0500" w:rsidRDefault="005C0500">
      <w:pPr>
        <w:pStyle w:val="BodyText"/>
        <w:rPr>
          <w:sz w:val="20"/>
        </w:rPr>
      </w:pPr>
    </w:p>
    <w:p w14:paraId="703A1F57" w14:textId="77777777" w:rsidR="005C0500" w:rsidRDefault="005C0500">
      <w:pPr>
        <w:pStyle w:val="BodyText"/>
        <w:rPr>
          <w:sz w:val="20"/>
        </w:rPr>
      </w:pPr>
    </w:p>
    <w:p w14:paraId="00D12E64" w14:textId="77777777" w:rsidR="005C0500" w:rsidRDefault="005C0500">
      <w:pPr>
        <w:pStyle w:val="BodyText"/>
        <w:rPr>
          <w:sz w:val="20"/>
        </w:rPr>
      </w:pPr>
    </w:p>
    <w:p w14:paraId="73ED6773" w14:textId="77777777" w:rsidR="005C0500" w:rsidRDefault="005C0500">
      <w:pPr>
        <w:pStyle w:val="BodyText"/>
        <w:rPr>
          <w:sz w:val="20"/>
        </w:rPr>
      </w:pPr>
    </w:p>
    <w:p w14:paraId="75A69EA9" w14:textId="77777777" w:rsidR="005C0500" w:rsidRDefault="005C0500">
      <w:pPr>
        <w:pStyle w:val="BodyText"/>
        <w:rPr>
          <w:sz w:val="20"/>
        </w:rPr>
      </w:pPr>
    </w:p>
    <w:p w14:paraId="1421B6C1" w14:textId="77777777" w:rsidR="005C0500" w:rsidRDefault="005C0500">
      <w:pPr>
        <w:pStyle w:val="BodyText"/>
        <w:rPr>
          <w:sz w:val="20"/>
        </w:rPr>
      </w:pPr>
    </w:p>
    <w:p w14:paraId="6C6CB93E" w14:textId="77777777" w:rsidR="005C0500" w:rsidRDefault="005C0500">
      <w:pPr>
        <w:pStyle w:val="BodyText"/>
        <w:rPr>
          <w:sz w:val="20"/>
        </w:rPr>
      </w:pPr>
    </w:p>
    <w:p w14:paraId="220B6308" w14:textId="77777777" w:rsidR="005C0500" w:rsidRDefault="005C0500">
      <w:pPr>
        <w:pStyle w:val="BodyText"/>
        <w:rPr>
          <w:sz w:val="20"/>
        </w:rPr>
      </w:pPr>
    </w:p>
    <w:p w14:paraId="29E2E5C7" w14:textId="77777777" w:rsidR="005C0500" w:rsidRDefault="005C0500">
      <w:pPr>
        <w:pStyle w:val="BodyText"/>
        <w:rPr>
          <w:sz w:val="20"/>
        </w:rPr>
      </w:pPr>
    </w:p>
    <w:p w14:paraId="0095BBCB" w14:textId="77777777" w:rsidR="005C0500" w:rsidRDefault="005C0500">
      <w:pPr>
        <w:pStyle w:val="BodyText"/>
        <w:rPr>
          <w:sz w:val="20"/>
        </w:rPr>
      </w:pPr>
    </w:p>
    <w:p w14:paraId="0B520C94" w14:textId="77777777" w:rsidR="005C0500" w:rsidRDefault="005C0500">
      <w:pPr>
        <w:pStyle w:val="BodyText"/>
        <w:rPr>
          <w:sz w:val="20"/>
        </w:rPr>
      </w:pPr>
    </w:p>
    <w:p w14:paraId="65B93539" w14:textId="77777777" w:rsidR="005C0500" w:rsidRDefault="005C0500">
      <w:pPr>
        <w:pStyle w:val="BodyText"/>
        <w:rPr>
          <w:sz w:val="20"/>
        </w:rPr>
      </w:pPr>
    </w:p>
    <w:p w14:paraId="0D3BBE8A" w14:textId="77777777" w:rsidR="005C0500" w:rsidRDefault="005C0500">
      <w:pPr>
        <w:pStyle w:val="BodyText"/>
        <w:rPr>
          <w:sz w:val="20"/>
        </w:rPr>
      </w:pPr>
    </w:p>
    <w:p w14:paraId="48096270" w14:textId="77777777" w:rsidR="005C0500" w:rsidRDefault="005C0500">
      <w:pPr>
        <w:pStyle w:val="BodyText"/>
        <w:rPr>
          <w:sz w:val="20"/>
        </w:rPr>
      </w:pPr>
    </w:p>
    <w:p w14:paraId="2B124645" w14:textId="77777777" w:rsidR="005C0500" w:rsidRDefault="005C0500">
      <w:pPr>
        <w:pStyle w:val="BodyText"/>
        <w:rPr>
          <w:sz w:val="20"/>
        </w:rPr>
      </w:pPr>
    </w:p>
    <w:p w14:paraId="771E87E6" w14:textId="77777777" w:rsidR="005C0500" w:rsidRDefault="005C0500">
      <w:pPr>
        <w:pStyle w:val="BodyText"/>
        <w:rPr>
          <w:sz w:val="20"/>
        </w:rPr>
      </w:pPr>
    </w:p>
    <w:p w14:paraId="695083A7" w14:textId="77777777" w:rsidR="005C0500" w:rsidRDefault="005C0500">
      <w:pPr>
        <w:pStyle w:val="BodyText"/>
        <w:rPr>
          <w:sz w:val="20"/>
        </w:rPr>
      </w:pPr>
    </w:p>
    <w:p w14:paraId="50D79CAC" w14:textId="77777777" w:rsidR="005C0500" w:rsidRDefault="005C0500">
      <w:pPr>
        <w:pStyle w:val="BodyText"/>
        <w:rPr>
          <w:sz w:val="20"/>
        </w:rPr>
      </w:pPr>
    </w:p>
    <w:p w14:paraId="7AA247C0" w14:textId="77777777" w:rsidR="005C0500" w:rsidRDefault="005C0500">
      <w:pPr>
        <w:pStyle w:val="BodyText"/>
        <w:rPr>
          <w:sz w:val="20"/>
        </w:rPr>
      </w:pPr>
    </w:p>
    <w:p w14:paraId="3EA785B7" w14:textId="77777777" w:rsidR="005C0500" w:rsidRDefault="005C0500">
      <w:pPr>
        <w:pStyle w:val="BodyText"/>
        <w:rPr>
          <w:sz w:val="20"/>
        </w:rPr>
      </w:pPr>
    </w:p>
    <w:p w14:paraId="3BC185C9" w14:textId="77777777" w:rsidR="005C0500" w:rsidRDefault="005C0500">
      <w:pPr>
        <w:pStyle w:val="BodyText"/>
        <w:rPr>
          <w:sz w:val="20"/>
        </w:rPr>
      </w:pPr>
    </w:p>
    <w:p w14:paraId="0A3654BA" w14:textId="77777777" w:rsidR="005C0500" w:rsidRDefault="00A308FE">
      <w:pPr>
        <w:pStyle w:val="BodyText"/>
        <w:tabs>
          <w:tab w:val="left" w:pos="2171"/>
          <w:tab w:val="left" w:pos="8377"/>
        </w:tabs>
        <w:spacing w:before="242"/>
        <w:ind w:left="100" w:right="315"/>
        <w:jc w:val="center"/>
      </w:pPr>
      <w:r>
        <w:t>ii</w:t>
      </w:r>
      <w:r>
        <w:tab/>
        <w:t>Consolidated Mail Outpatient Pharmacy</w:t>
      </w:r>
      <w:r>
        <w:rPr>
          <w:spacing w:val="-12"/>
        </w:rPr>
        <w:t xml:space="preserve"> </w:t>
      </w:r>
      <w:r>
        <w:t>V.</w:t>
      </w:r>
      <w:r>
        <w:rPr>
          <w:spacing w:val="-4"/>
        </w:rPr>
        <w:t xml:space="preserve"> </w:t>
      </w:r>
      <w:r>
        <w:t>2.0</w:t>
      </w:r>
      <w:r>
        <w:tab/>
        <w:t xml:space="preserve">July </w:t>
      </w:r>
      <w:r>
        <w:rPr>
          <w:spacing w:val="-5"/>
        </w:rPr>
        <w:t xml:space="preserve">2009 </w:t>
      </w:r>
      <w:r>
        <w:t>User</w:t>
      </w:r>
      <w:r>
        <w:rPr>
          <w:spacing w:val="-2"/>
        </w:rPr>
        <w:t xml:space="preserve"> </w:t>
      </w:r>
      <w:r>
        <w:t>Manual</w:t>
      </w:r>
    </w:p>
    <w:p w14:paraId="615D1BD7" w14:textId="77777777" w:rsidR="005C0500" w:rsidRDefault="00A308FE">
      <w:pPr>
        <w:pStyle w:val="BodyText"/>
        <w:spacing w:before="1"/>
        <w:ind w:right="217"/>
        <w:jc w:val="center"/>
      </w:pPr>
      <w:r>
        <w:t>PSX*2*65</w:t>
      </w:r>
    </w:p>
    <w:p w14:paraId="4C01F0C1" w14:textId="77777777" w:rsidR="005C0500" w:rsidRDefault="005C0500">
      <w:pPr>
        <w:jc w:val="center"/>
        <w:sectPr w:rsidR="005C0500">
          <w:pgSz w:w="12240" w:h="15840"/>
          <w:pgMar w:top="1440" w:right="1120" w:bottom="280" w:left="1340" w:header="720" w:footer="720" w:gutter="0"/>
          <w:cols w:space="720"/>
        </w:sectPr>
      </w:pPr>
    </w:p>
    <w:p w14:paraId="017DFA4D" w14:textId="77777777" w:rsidR="005C0500" w:rsidRDefault="005C0500">
      <w:pPr>
        <w:pStyle w:val="BodyText"/>
        <w:rPr>
          <w:sz w:val="20"/>
        </w:rPr>
      </w:pPr>
    </w:p>
    <w:p w14:paraId="58F81BCF" w14:textId="77777777" w:rsidR="005C0500" w:rsidRDefault="00A308FE">
      <w:pPr>
        <w:spacing w:before="249"/>
        <w:ind w:left="100"/>
        <w:rPr>
          <w:rFonts w:ascii="Cambria"/>
          <w:b/>
          <w:sz w:val="26"/>
        </w:rPr>
      </w:pPr>
      <w:r>
        <w:rPr>
          <w:rFonts w:ascii="Cambria"/>
          <w:b/>
          <w:color w:val="4F81BC"/>
          <w:sz w:val="26"/>
        </w:rPr>
        <w:t>Third Party Electronic Claims Submission of CMOP Prescriptions</w:t>
      </w:r>
    </w:p>
    <w:p w14:paraId="414FCB1D" w14:textId="77777777" w:rsidR="005C0500" w:rsidRDefault="00A308FE">
      <w:pPr>
        <w:pStyle w:val="BodyText"/>
        <w:spacing w:before="260"/>
        <w:ind w:left="100" w:right="325"/>
      </w:pPr>
      <w:r>
        <w:t>Patch PSX*2*48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starting the actual transmission to CMOP. This process will affect the existing CMOP functionality in two ways:</w:t>
      </w:r>
    </w:p>
    <w:p w14:paraId="2D2FE097" w14:textId="77777777" w:rsidR="005C0500" w:rsidRDefault="00A308FE">
      <w:pPr>
        <w:pStyle w:val="ListParagraph"/>
        <w:numPr>
          <w:ilvl w:val="0"/>
          <w:numId w:val="1"/>
        </w:numPr>
        <w:tabs>
          <w:tab w:val="left" w:pos="904"/>
          <w:tab w:val="left" w:pos="905"/>
        </w:tabs>
        <w:ind w:hanging="360"/>
        <w:rPr>
          <w:sz w:val="24"/>
        </w:rPr>
      </w:pPr>
      <w:r>
        <w:tab/>
      </w:r>
      <w:r>
        <w:rPr>
          <w:sz w:val="24"/>
        </w:rPr>
        <w:t>If a response from the third party payer is not received by the time the prescription is about to be transmitted to CMOP, it is skipped and remains in the queue for the next CMOP transmission. A MailMan message containing all the prescriptions that were skipped and that remain in the queue is generated at the end of the process and is transmitted to all the holders of</w:t>
      </w:r>
      <w:r>
        <w:rPr>
          <w:spacing w:val="-35"/>
          <w:sz w:val="24"/>
        </w:rPr>
        <w:t xml:space="preserve"> </w:t>
      </w:r>
      <w:r>
        <w:rPr>
          <w:sz w:val="24"/>
        </w:rPr>
        <w:t>the PSXMAIL security key. If no users on the system have this key, the message is sent to all the users holding the PSXCMOPMGR security</w:t>
      </w:r>
      <w:r>
        <w:rPr>
          <w:spacing w:val="-7"/>
          <w:sz w:val="24"/>
        </w:rPr>
        <w:t xml:space="preserve"> </w:t>
      </w:r>
      <w:r>
        <w:rPr>
          <w:sz w:val="24"/>
        </w:rPr>
        <w:t>key.</w:t>
      </w:r>
    </w:p>
    <w:p w14:paraId="20C7DE85" w14:textId="77777777" w:rsidR="005C0500" w:rsidRDefault="00A308FE">
      <w:pPr>
        <w:pStyle w:val="ListParagraph"/>
        <w:numPr>
          <w:ilvl w:val="0"/>
          <w:numId w:val="1"/>
        </w:numPr>
        <w:tabs>
          <w:tab w:val="left" w:pos="904"/>
          <w:tab w:val="left" w:pos="905"/>
        </w:tabs>
        <w:spacing w:before="122"/>
        <w:ind w:right="453" w:hanging="360"/>
        <w:rPr>
          <w:sz w:val="24"/>
        </w:rPr>
      </w:pPr>
      <w:r>
        <w:tab/>
      </w:r>
      <w:r>
        <w:rPr>
          <w:sz w:val="24"/>
        </w:rPr>
        <w:t>If the third party payer rejects the claim due to a DUR or a Refill Too Soon finding, the prescription is not sent to CMOP and remains in the queue to</w:t>
      </w:r>
      <w:r>
        <w:rPr>
          <w:spacing w:val="-25"/>
          <w:sz w:val="24"/>
        </w:rPr>
        <w:t xml:space="preserve"> </w:t>
      </w:r>
      <w:r>
        <w:rPr>
          <w:sz w:val="24"/>
        </w:rPr>
        <w:t>be transmitted in the next transmission. The prescription will not be transmitted to CMOP until the reject is resolved by the user through the Outpatient Pharmacy V. 7.0 application. Two new options have been created for the pharmacy users to resolve these</w:t>
      </w:r>
      <w:r>
        <w:rPr>
          <w:spacing w:val="-7"/>
          <w:sz w:val="24"/>
        </w:rPr>
        <w:t xml:space="preserve"> </w:t>
      </w:r>
      <w:r>
        <w:rPr>
          <w:sz w:val="24"/>
        </w:rPr>
        <w:t>rejects:</w:t>
      </w:r>
    </w:p>
    <w:p w14:paraId="2EB049BE" w14:textId="77777777" w:rsidR="005C0500" w:rsidRDefault="00A308FE">
      <w:pPr>
        <w:tabs>
          <w:tab w:val="left" w:pos="5861"/>
        </w:tabs>
        <w:spacing w:before="120"/>
        <w:ind w:left="820" w:right="634"/>
        <w:rPr>
          <w:sz w:val="24"/>
        </w:rPr>
      </w:pPr>
      <w:r>
        <w:rPr>
          <w:i/>
          <w:sz w:val="24"/>
        </w:rPr>
        <w:t>Third Party Payer Rejects</w:t>
      </w:r>
      <w:r>
        <w:rPr>
          <w:i/>
          <w:spacing w:val="-8"/>
          <w:sz w:val="24"/>
        </w:rPr>
        <w:t xml:space="preserve"> </w:t>
      </w:r>
      <w:r>
        <w:rPr>
          <w:i/>
          <w:sz w:val="24"/>
        </w:rPr>
        <w:t>–</w:t>
      </w:r>
      <w:r>
        <w:rPr>
          <w:i/>
          <w:spacing w:val="-2"/>
          <w:sz w:val="24"/>
        </w:rPr>
        <w:t xml:space="preserve"> </w:t>
      </w:r>
      <w:r>
        <w:rPr>
          <w:i/>
          <w:sz w:val="24"/>
        </w:rPr>
        <w:t>Worklist</w:t>
      </w:r>
      <w:r>
        <w:rPr>
          <w:i/>
          <w:sz w:val="24"/>
        </w:rPr>
        <w:tab/>
      </w:r>
      <w:r>
        <w:rPr>
          <w:sz w:val="24"/>
        </w:rPr>
        <w:t xml:space="preserve">[PSO REJECTS WORKLIST] </w:t>
      </w:r>
      <w:r>
        <w:rPr>
          <w:i/>
          <w:sz w:val="24"/>
        </w:rPr>
        <w:t>Third Party Payer Rejects</w:t>
      </w:r>
      <w:r>
        <w:rPr>
          <w:i/>
          <w:spacing w:val="-9"/>
          <w:sz w:val="24"/>
        </w:rPr>
        <w:t xml:space="preserve"> </w:t>
      </w:r>
      <w:r>
        <w:rPr>
          <w:i/>
          <w:sz w:val="24"/>
        </w:rPr>
        <w:t>-</w:t>
      </w:r>
      <w:r>
        <w:rPr>
          <w:i/>
          <w:spacing w:val="-1"/>
          <w:sz w:val="24"/>
        </w:rPr>
        <w:t xml:space="preserve"> </w:t>
      </w:r>
      <w:r>
        <w:rPr>
          <w:i/>
          <w:sz w:val="24"/>
        </w:rPr>
        <w:t>View/Process</w:t>
      </w:r>
      <w:r>
        <w:rPr>
          <w:i/>
          <w:sz w:val="24"/>
        </w:rPr>
        <w:tab/>
      </w:r>
      <w:r>
        <w:rPr>
          <w:sz w:val="24"/>
        </w:rPr>
        <w:t>[PSO REJECTS VIEW/PROCESS]</w:t>
      </w:r>
    </w:p>
    <w:p w14:paraId="3C09C50E" w14:textId="77777777" w:rsidR="005C0500" w:rsidRDefault="00A308FE">
      <w:pPr>
        <w:ind w:left="820" w:right="638"/>
        <w:rPr>
          <w:sz w:val="24"/>
        </w:rPr>
      </w:pPr>
      <w:r>
        <w:rPr>
          <w:sz w:val="24"/>
        </w:rPr>
        <w:t xml:space="preserve">The above options reside in the new </w:t>
      </w:r>
      <w:r>
        <w:rPr>
          <w:i/>
          <w:sz w:val="24"/>
        </w:rPr>
        <w:t xml:space="preserve">ePharmacy Menu </w:t>
      </w:r>
      <w:r>
        <w:rPr>
          <w:sz w:val="24"/>
        </w:rPr>
        <w:t xml:space="preserve">[PSO EPHARMACY MENU] option, which can be found under the </w:t>
      </w:r>
      <w:r>
        <w:rPr>
          <w:i/>
          <w:sz w:val="24"/>
        </w:rPr>
        <w:t xml:space="preserve">Rx (Prescriptions) </w:t>
      </w:r>
      <w:r>
        <w:rPr>
          <w:sz w:val="24"/>
        </w:rPr>
        <w:t>[PSO RX] option.</w:t>
      </w:r>
    </w:p>
    <w:p w14:paraId="5DD98B6B" w14:textId="77777777" w:rsidR="005C0500" w:rsidRDefault="005C0500">
      <w:pPr>
        <w:pStyle w:val="BodyText"/>
        <w:rPr>
          <w:sz w:val="28"/>
        </w:rPr>
      </w:pPr>
    </w:p>
    <w:p w14:paraId="7DC65FD5" w14:textId="77777777" w:rsidR="005C0500" w:rsidRDefault="00A308FE">
      <w:pPr>
        <w:pStyle w:val="BodyText"/>
        <w:spacing w:before="195" w:line="276" w:lineRule="auto"/>
        <w:ind w:left="100" w:right="365"/>
      </w:pPr>
      <w:r>
        <w:t>Patch PSX*2*65 modifies the CMOP application to prevent ePharmacy prescriptions from being pulled early from suspense until 3/4 of the days supply of the Rx/fill has elapsed. The system will not hold a prescription for 3/4 days supply when the:</w:t>
      </w:r>
    </w:p>
    <w:p w14:paraId="3E577806" w14:textId="77777777" w:rsidR="005C0500" w:rsidRDefault="00FE2739">
      <w:pPr>
        <w:pStyle w:val="BodyText"/>
        <w:spacing w:before="204" w:line="278" w:lineRule="auto"/>
        <w:ind w:left="887" w:right="4903"/>
      </w:pPr>
      <w:r>
        <w:pict w14:anchorId="6CC622C9">
          <v:group id="_x0000_s1026" style="position:absolute;left:0;text-align:left;margin-left:90pt;margin-top:10.05pt;width:11.05pt;height:48.5pt;z-index:15730688;mso-position-horizontal-relative:page" coordorigin="1800,201" coordsize="221,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0;top:200;width:221;height:296">
              <v:imagedata r:id="rId6" o:title=""/>
            </v:shape>
            <v:shape id="_x0000_s1028" type="#_x0000_t75" style="position:absolute;left:1800;top:536;width:221;height:296">
              <v:imagedata r:id="rId6" o:title=""/>
            </v:shape>
            <v:shape id="_x0000_s1027" type="#_x0000_t75" style="position:absolute;left:1800;top:875;width:221;height:296">
              <v:imagedata r:id="rId6" o:title=""/>
            </v:shape>
            <w10:wrap anchorx="page"/>
          </v:group>
        </w:pict>
      </w:r>
      <w:r w:rsidR="00A308FE">
        <w:t>Previous fill was not ECME billable Rx is flagged for SC or EI</w:t>
      </w:r>
    </w:p>
    <w:p w14:paraId="3CA44B95" w14:textId="77777777" w:rsidR="005C0500" w:rsidRDefault="00A308FE">
      <w:pPr>
        <w:pStyle w:val="BodyText"/>
        <w:spacing w:before="5" w:line="276" w:lineRule="auto"/>
        <w:ind w:left="820"/>
      </w:pPr>
      <w:r>
        <w:t>DEA special Handling code is non billable (i.e. has M or 0 (zero) or (I, S, N, and/or 9)) without and E.</w:t>
      </w:r>
    </w:p>
    <w:p w14:paraId="05F45EF6" w14:textId="77777777" w:rsidR="005C0500" w:rsidRDefault="00A308FE">
      <w:pPr>
        <w:pStyle w:val="BodyText"/>
        <w:spacing w:before="1"/>
        <w:ind w:left="460"/>
      </w:pPr>
      <w:r>
        <w:rPr>
          <w:noProof/>
          <w:position w:val="-5"/>
        </w:rPr>
        <w:drawing>
          <wp:inline distT="0" distB="0" distL="0" distR="0" wp14:anchorId="083158DB" wp14:editId="682A8952">
            <wp:extent cx="140207" cy="1874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0207" cy="187452"/>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Rx is a zero fill on a</w:t>
      </w:r>
      <w:r>
        <w:rPr>
          <w:spacing w:val="-3"/>
        </w:rPr>
        <w:t xml:space="preserve"> </w:t>
      </w:r>
      <w:r>
        <w:t>renewal</w:t>
      </w:r>
    </w:p>
    <w:p w14:paraId="0AEBAFF4" w14:textId="77777777" w:rsidR="005C0500" w:rsidRDefault="00A308FE">
      <w:pPr>
        <w:pStyle w:val="BodyText"/>
        <w:tabs>
          <w:tab w:val="left" w:pos="2171"/>
          <w:tab w:val="left" w:pos="9061"/>
        </w:tabs>
        <w:spacing w:before="140"/>
        <w:ind w:left="4051" w:right="313" w:hanging="3951"/>
      </w:pPr>
      <w:r>
        <w:t>July</w:t>
      </w:r>
      <w:r>
        <w:rPr>
          <w:spacing w:val="-3"/>
        </w:rPr>
        <w:t xml:space="preserve"> </w:t>
      </w:r>
      <w:r>
        <w:t>2009</w:t>
      </w:r>
      <w:r>
        <w:tab/>
        <w:t>Consolidated Mail Outpatient Pharmacy</w:t>
      </w:r>
      <w:r>
        <w:rPr>
          <w:spacing w:val="-11"/>
        </w:rPr>
        <w:t xml:space="preserve"> </w:t>
      </w:r>
      <w:r>
        <w:t>V.</w:t>
      </w:r>
      <w:r>
        <w:rPr>
          <w:spacing w:val="-3"/>
        </w:rPr>
        <w:t xml:space="preserve"> </w:t>
      </w:r>
      <w:r>
        <w:t>2.0</w:t>
      </w:r>
      <w:r>
        <w:tab/>
      </w:r>
      <w:r>
        <w:rPr>
          <w:spacing w:val="-5"/>
        </w:rPr>
        <w:t xml:space="preserve">50a </w:t>
      </w:r>
      <w:r>
        <w:t>User</w:t>
      </w:r>
      <w:r>
        <w:rPr>
          <w:spacing w:val="-2"/>
        </w:rPr>
        <w:t xml:space="preserve"> </w:t>
      </w:r>
      <w:r>
        <w:t>Manual</w:t>
      </w:r>
    </w:p>
    <w:p w14:paraId="0EC9DA0B" w14:textId="77777777" w:rsidR="005C0500" w:rsidRDefault="00A308FE">
      <w:pPr>
        <w:pStyle w:val="BodyText"/>
        <w:spacing w:before="1"/>
        <w:ind w:right="217"/>
        <w:jc w:val="center"/>
      </w:pPr>
      <w:r>
        <w:t>PSX*2*65</w:t>
      </w:r>
    </w:p>
    <w:p w14:paraId="70BE8686" w14:textId="77777777" w:rsidR="005C0500" w:rsidRDefault="005C0500">
      <w:pPr>
        <w:jc w:val="center"/>
        <w:sectPr w:rsidR="005C0500">
          <w:pgSz w:w="12240" w:h="15840"/>
          <w:pgMar w:top="1500" w:right="1120" w:bottom="280" w:left="1340" w:header="720" w:footer="720" w:gutter="0"/>
          <w:cols w:space="720"/>
        </w:sectPr>
      </w:pPr>
    </w:p>
    <w:p w14:paraId="583BBB2A" w14:textId="77777777" w:rsidR="005C0500" w:rsidRDefault="00A308FE">
      <w:pPr>
        <w:pStyle w:val="BodyText"/>
        <w:spacing w:before="83"/>
        <w:ind w:left="820"/>
      </w:pPr>
      <w:r>
        <w:rPr>
          <w:noProof/>
        </w:rPr>
        <w:lastRenderedPageBreak/>
        <w:drawing>
          <wp:anchor distT="0" distB="0" distL="0" distR="0" simplePos="0" relativeHeight="15731200" behindDoc="0" locked="0" layoutInCell="1" allowOverlap="1" wp14:anchorId="42E2FEBB" wp14:editId="19533403">
            <wp:simplePos x="0" y="0"/>
            <wp:positionH relativeFrom="page">
              <wp:posOffset>1143304</wp:posOffset>
            </wp:positionH>
            <wp:positionV relativeFrom="paragraph">
              <wp:posOffset>50621</wp:posOffset>
            </wp:positionV>
            <wp:extent cx="140207" cy="187451"/>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40207" cy="187451"/>
                    </a:xfrm>
                    <a:prstGeom prst="rect">
                      <a:avLst/>
                    </a:prstGeom>
                  </pic:spPr>
                </pic:pic>
              </a:graphicData>
            </a:graphic>
          </wp:anchor>
        </w:drawing>
      </w:r>
      <w:r>
        <w:t>Patient does not currently have insurance.</w:t>
      </w:r>
    </w:p>
    <w:p w14:paraId="06881719" w14:textId="77777777" w:rsidR="005C0500" w:rsidRDefault="005C0500">
      <w:pPr>
        <w:pStyle w:val="BodyText"/>
        <w:spacing w:before="10"/>
        <w:rPr>
          <w:sz w:val="22"/>
        </w:rPr>
      </w:pPr>
    </w:p>
    <w:p w14:paraId="2DEACF95" w14:textId="77777777" w:rsidR="005C0500" w:rsidRDefault="00A308FE">
      <w:pPr>
        <w:pStyle w:val="BodyText"/>
        <w:spacing w:before="100" w:line="276" w:lineRule="auto"/>
        <w:ind w:left="100" w:right="330"/>
      </w:pPr>
      <w:r>
        <w:t>Patch PSX*2*65 also modifies the CMOP application to prevent ePharmacy prescriptions from being filled/sent to CMOP when a host processing error occurs when a claim is submitted through ECME. The host processing errors are identified by ePharmacy reject codes M6, M8, NN, and 99. The following conditions apply when this scenario occurs:</w:t>
      </w:r>
    </w:p>
    <w:p w14:paraId="242A5522" w14:textId="77777777" w:rsidR="005C0500" w:rsidRDefault="005C0500">
      <w:pPr>
        <w:pStyle w:val="BodyText"/>
        <w:spacing w:before="4"/>
        <w:rPr>
          <w:sz w:val="28"/>
        </w:rPr>
      </w:pPr>
    </w:p>
    <w:p w14:paraId="0710B034" w14:textId="77777777" w:rsidR="005C0500" w:rsidRDefault="00A308FE">
      <w:pPr>
        <w:pStyle w:val="BodyText"/>
        <w:spacing w:before="123" w:line="213" w:lineRule="auto"/>
        <w:ind w:left="820" w:right="706" w:hanging="360"/>
        <w:jc w:val="both"/>
      </w:pPr>
      <w:r>
        <w:rPr>
          <w:noProof/>
          <w:position w:val="-5"/>
        </w:rPr>
        <w:drawing>
          <wp:inline distT="0" distB="0" distL="0" distR="0" wp14:anchorId="27FF1608" wp14:editId="7FFCFA8F">
            <wp:extent cx="140207" cy="18745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The transmission of the Rx/fill will be delayed 1 day in hopes that the host processing issues will be</w:t>
      </w:r>
      <w:r>
        <w:rPr>
          <w:spacing w:val="-3"/>
        </w:rPr>
        <w:t xml:space="preserve"> </w:t>
      </w:r>
      <w:r>
        <w:t>resolved.</w:t>
      </w:r>
    </w:p>
    <w:p w14:paraId="26446CDF" w14:textId="77777777" w:rsidR="005C0500" w:rsidRDefault="00A308FE">
      <w:pPr>
        <w:pStyle w:val="BodyText"/>
        <w:spacing w:before="2" w:line="216" w:lineRule="auto"/>
        <w:ind w:left="820" w:right="1063" w:hanging="360"/>
        <w:jc w:val="both"/>
      </w:pPr>
      <w:r>
        <w:rPr>
          <w:noProof/>
          <w:position w:val="-5"/>
        </w:rPr>
        <w:drawing>
          <wp:inline distT="0" distB="0" distL="0" distR="0" wp14:anchorId="27252EFF" wp14:editId="5888A79B">
            <wp:extent cx="140207" cy="18745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An activity log entry will be defined to state the date/time along with a comment stating that the Rx/fill was left in suspense hold due to a host processing</w:t>
      </w:r>
      <w:r>
        <w:rPr>
          <w:spacing w:val="-1"/>
        </w:rPr>
        <w:t xml:space="preserve"> </w:t>
      </w:r>
      <w:r>
        <w:t>error.</w:t>
      </w:r>
    </w:p>
    <w:p w14:paraId="2A116069" w14:textId="77777777" w:rsidR="005C0500" w:rsidRDefault="00A308FE">
      <w:pPr>
        <w:pStyle w:val="BodyText"/>
        <w:spacing w:before="2" w:line="237" w:lineRule="auto"/>
        <w:ind w:left="820" w:right="1055" w:hanging="360"/>
        <w:jc w:val="both"/>
      </w:pPr>
      <w:r>
        <w:rPr>
          <w:noProof/>
          <w:position w:val="-5"/>
        </w:rPr>
        <w:drawing>
          <wp:inline distT="0" distB="0" distL="0" distR="0" wp14:anchorId="0D92BD47" wp14:editId="517409B5">
            <wp:extent cx="140207" cy="18745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140207" cy="187451"/>
                    </a:xfrm>
                    <a:prstGeom prst="rect">
                      <a:avLst/>
                    </a:prstGeom>
                  </pic:spPr>
                </pic:pic>
              </a:graphicData>
            </a:graphic>
          </wp:inline>
        </w:drawing>
      </w:r>
      <w:r>
        <w:rPr>
          <w:rFonts w:ascii="Times New Roman"/>
          <w:sz w:val="20"/>
        </w:rPr>
        <w:t xml:space="preserve">  </w:t>
      </w:r>
      <w:r>
        <w:rPr>
          <w:rFonts w:ascii="Times New Roman"/>
          <w:spacing w:val="-11"/>
          <w:sz w:val="20"/>
        </w:rPr>
        <w:t xml:space="preserve"> </w:t>
      </w:r>
      <w:r>
        <w:t>This added functionality does not include the Pull Early from</w:t>
      </w:r>
      <w:r>
        <w:rPr>
          <w:spacing w:val="-30"/>
        </w:rPr>
        <w:t xml:space="preserve"> </w:t>
      </w:r>
      <w:r>
        <w:t>Suspense function.</w:t>
      </w:r>
    </w:p>
    <w:p w14:paraId="77AC54DD" w14:textId="77777777" w:rsidR="005C0500" w:rsidRDefault="005C0500">
      <w:pPr>
        <w:pStyle w:val="BodyText"/>
        <w:rPr>
          <w:sz w:val="20"/>
        </w:rPr>
      </w:pPr>
    </w:p>
    <w:p w14:paraId="29408F62" w14:textId="77777777" w:rsidR="005C0500" w:rsidRDefault="005C0500">
      <w:pPr>
        <w:pStyle w:val="BodyText"/>
        <w:rPr>
          <w:sz w:val="20"/>
        </w:rPr>
      </w:pPr>
    </w:p>
    <w:p w14:paraId="2CC96810" w14:textId="77777777" w:rsidR="005C0500" w:rsidRDefault="005C0500">
      <w:pPr>
        <w:pStyle w:val="BodyText"/>
        <w:rPr>
          <w:sz w:val="20"/>
        </w:rPr>
      </w:pPr>
    </w:p>
    <w:p w14:paraId="45A9EFE6" w14:textId="77777777" w:rsidR="005C0500" w:rsidRDefault="005C0500">
      <w:pPr>
        <w:pStyle w:val="BodyText"/>
        <w:rPr>
          <w:sz w:val="20"/>
        </w:rPr>
      </w:pPr>
    </w:p>
    <w:p w14:paraId="23652C57" w14:textId="77777777" w:rsidR="005C0500" w:rsidRDefault="005C0500">
      <w:pPr>
        <w:pStyle w:val="BodyText"/>
        <w:rPr>
          <w:sz w:val="20"/>
        </w:rPr>
      </w:pPr>
    </w:p>
    <w:p w14:paraId="7B62BAA7" w14:textId="77777777" w:rsidR="005C0500" w:rsidRDefault="005C0500">
      <w:pPr>
        <w:pStyle w:val="BodyText"/>
        <w:rPr>
          <w:sz w:val="20"/>
        </w:rPr>
      </w:pPr>
    </w:p>
    <w:p w14:paraId="159F8996" w14:textId="77777777" w:rsidR="005C0500" w:rsidRDefault="005C0500">
      <w:pPr>
        <w:pStyle w:val="BodyText"/>
        <w:rPr>
          <w:sz w:val="20"/>
        </w:rPr>
      </w:pPr>
    </w:p>
    <w:p w14:paraId="246E0F25" w14:textId="77777777" w:rsidR="005C0500" w:rsidRDefault="005C0500">
      <w:pPr>
        <w:pStyle w:val="BodyText"/>
        <w:rPr>
          <w:sz w:val="20"/>
        </w:rPr>
      </w:pPr>
    </w:p>
    <w:p w14:paraId="2D47B524" w14:textId="77777777" w:rsidR="005C0500" w:rsidRDefault="005C0500">
      <w:pPr>
        <w:pStyle w:val="BodyText"/>
        <w:rPr>
          <w:sz w:val="20"/>
        </w:rPr>
      </w:pPr>
    </w:p>
    <w:p w14:paraId="32FCF07C" w14:textId="77777777" w:rsidR="005C0500" w:rsidRDefault="005C0500">
      <w:pPr>
        <w:pStyle w:val="BodyText"/>
        <w:rPr>
          <w:sz w:val="20"/>
        </w:rPr>
      </w:pPr>
    </w:p>
    <w:p w14:paraId="2CA286B0" w14:textId="77777777" w:rsidR="005C0500" w:rsidRDefault="005C0500">
      <w:pPr>
        <w:pStyle w:val="BodyText"/>
        <w:rPr>
          <w:sz w:val="20"/>
        </w:rPr>
      </w:pPr>
    </w:p>
    <w:p w14:paraId="7215C5E8" w14:textId="77777777" w:rsidR="005C0500" w:rsidRDefault="005C0500">
      <w:pPr>
        <w:pStyle w:val="BodyText"/>
        <w:rPr>
          <w:sz w:val="20"/>
        </w:rPr>
      </w:pPr>
    </w:p>
    <w:p w14:paraId="4856496C" w14:textId="77777777" w:rsidR="005C0500" w:rsidRDefault="005C0500">
      <w:pPr>
        <w:pStyle w:val="BodyText"/>
        <w:rPr>
          <w:sz w:val="20"/>
        </w:rPr>
      </w:pPr>
    </w:p>
    <w:p w14:paraId="314B7CB1" w14:textId="77777777" w:rsidR="005C0500" w:rsidRDefault="005C0500">
      <w:pPr>
        <w:pStyle w:val="BodyText"/>
        <w:rPr>
          <w:sz w:val="20"/>
        </w:rPr>
      </w:pPr>
    </w:p>
    <w:p w14:paraId="37FB5E94" w14:textId="77777777" w:rsidR="005C0500" w:rsidRDefault="005C0500">
      <w:pPr>
        <w:pStyle w:val="BodyText"/>
        <w:rPr>
          <w:sz w:val="20"/>
        </w:rPr>
      </w:pPr>
    </w:p>
    <w:p w14:paraId="41682A28" w14:textId="77777777" w:rsidR="005C0500" w:rsidRDefault="005C0500">
      <w:pPr>
        <w:pStyle w:val="BodyText"/>
        <w:rPr>
          <w:sz w:val="20"/>
        </w:rPr>
      </w:pPr>
    </w:p>
    <w:p w14:paraId="54262AEE" w14:textId="77777777" w:rsidR="005C0500" w:rsidRDefault="005C0500">
      <w:pPr>
        <w:pStyle w:val="BodyText"/>
        <w:rPr>
          <w:sz w:val="20"/>
        </w:rPr>
      </w:pPr>
    </w:p>
    <w:p w14:paraId="5749C39A" w14:textId="77777777" w:rsidR="005C0500" w:rsidRDefault="005C0500">
      <w:pPr>
        <w:pStyle w:val="BodyText"/>
        <w:rPr>
          <w:sz w:val="20"/>
        </w:rPr>
      </w:pPr>
    </w:p>
    <w:p w14:paraId="43E1CE4D" w14:textId="77777777" w:rsidR="005C0500" w:rsidRDefault="005C0500">
      <w:pPr>
        <w:pStyle w:val="BodyText"/>
        <w:rPr>
          <w:sz w:val="20"/>
        </w:rPr>
      </w:pPr>
    </w:p>
    <w:p w14:paraId="48B43444" w14:textId="77777777" w:rsidR="005C0500" w:rsidRDefault="005C0500">
      <w:pPr>
        <w:pStyle w:val="BodyText"/>
        <w:rPr>
          <w:sz w:val="20"/>
        </w:rPr>
      </w:pPr>
    </w:p>
    <w:p w14:paraId="4445FBCE" w14:textId="77777777" w:rsidR="005C0500" w:rsidRDefault="005C0500">
      <w:pPr>
        <w:pStyle w:val="BodyText"/>
        <w:rPr>
          <w:sz w:val="20"/>
        </w:rPr>
      </w:pPr>
    </w:p>
    <w:p w14:paraId="4BD9E547" w14:textId="77777777" w:rsidR="005C0500" w:rsidRDefault="005C0500">
      <w:pPr>
        <w:pStyle w:val="BodyText"/>
        <w:rPr>
          <w:sz w:val="20"/>
        </w:rPr>
      </w:pPr>
    </w:p>
    <w:p w14:paraId="013DADA9" w14:textId="77777777" w:rsidR="005C0500" w:rsidRDefault="005C0500">
      <w:pPr>
        <w:pStyle w:val="BodyText"/>
        <w:rPr>
          <w:sz w:val="20"/>
        </w:rPr>
      </w:pPr>
    </w:p>
    <w:p w14:paraId="363BF035" w14:textId="77777777" w:rsidR="005C0500" w:rsidRDefault="005C0500">
      <w:pPr>
        <w:pStyle w:val="BodyText"/>
        <w:rPr>
          <w:sz w:val="20"/>
        </w:rPr>
      </w:pPr>
    </w:p>
    <w:p w14:paraId="347AE37E" w14:textId="77777777" w:rsidR="005C0500" w:rsidRDefault="005C0500">
      <w:pPr>
        <w:pStyle w:val="BodyText"/>
        <w:rPr>
          <w:sz w:val="20"/>
        </w:rPr>
      </w:pPr>
    </w:p>
    <w:p w14:paraId="69762D97" w14:textId="77777777" w:rsidR="005C0500" w:rsidRDefault="005C0500">
      <w:pPr>
        <w:pStyle w:val="BodyText"/>
        <w:rPr>
          <w:sz w:val="20"/>
        </w:rPr>
      </w:pPr>
    </w:p>
    <w:p w14:paraId="75BFEB5E" w14:textId="77777777" w:rsidR="005C0500" w:rsidRDefault="005C0500">
      <w:pPr>
        <w:pStyle w:val="BodyText"/>
        <w:rPr>
          <w:sz w:val="20"/>
        </w:rPr>
      </w:pPr>
    </w:p>
    <w:p w14:paraId="5EB57C78" w14:textId="77777777" w:rsidR="005C0500" w:rsidRDefault="005C0500">
      <w:pPr>
        <w:pStyle w:val="BodyText"/>
        <w:rPr>
          <w:sz w:val="20"/>
        </w:rPr>
      </w:pPr>
    </w:p>
    <w:p w14:paraId="7374E33A" w14:textId="77777777" w:rsidR="005C0500" w:rsidRDefault="005C0500">
      <w:pPr>
        <w:pStyle w:val="BodyText"/>
        <w:rPr>
          <w:sz w:val="20"/>
        </w:rPr>
      </w:pPr>
    </w:p>
    <w:p w14:paraId="663E2DE4" w14:textId="77777777" w:rsidR="005C0500" w:rsidRDefault="005C0500">
      <w:pPr>
        <w:pStyle w:val="BodyText"/>
        <w:rPr>
          <w:sz w:val="20"/>
        </w:rPr>
      </w:pPr>
    </w:p>
    <w:p w14:paraId="7A736D8C" w14:textId="77777777" w:rsidR="005C0500" w:rsidRDefault="005C0500">
      <w:pPr>
        <w:pStyle w:val="BodyText"/>
        <w:rPr>
          <w:sz w:val="20"/>
        </w:rPr>
      </w:pPr>
    </w:p>
    <w:p w14:paraId="393E9F60" w14:textId="77777777" w:rsidR="005C0500" w:rsidRDefault="005C0500">
      <w:pPr>
        <w:pStyle w:val="BodyText"/>
        <w:spacing w:before="9"/>
      </w:pPr>
    </w:p>
    <w:p w14:paraId="3275081B" w14:textId="77777777" w:rsidR="005C0500" w:rsidRDefault="00A308FE">
      <w:pPr>
        <w:pStyle w:val="BodyText"/>
        <w:tabs>
          <w:tab w:val="left" w:pos="2171"/>
          <w:tab w:val="left" w:pos="8377"/>
        </w:tabs>
        <w:spacing w:before="100"/>
        <w:ind w:left="100" w:right="315"/>
        <w:jc w:val="center"/>
      </w:pPr>
      <w:r>
        <w:t>50b</w:t>
      </w:r>
      <w:r>
        <w:tab/>
        <w:t>Consolidated Mail Outpatient Pharmacy</w:t>
      </w:r>
      <w:r>
        <w:rPr>
          <w:spacing w:val="-12"/>
        </w:rPr>
        <w:t xml:space="preserve"> </w:t>
      </w:r>
      <w:r>
        <w:t>V.</w:t>
      </w:r>
      <w:r>
        <w:rPr>
          <w:spacing w:val="-4"/>
        </w:rPr>
        <w:t xml:space="preserve"> </w:t>
      </w:r>
      <w:r>
        <w:t>2.0</w:t>
      </w:r>
      <w:r>
        <w:tab/>
        <w:t xml:space="preserve">July </w:t>
      </w:r>
      <w:r>
        <w:rPr>
          <w:spacing w:val="-5"/>
        </w:rPr>
        <w:t xml:space="preserve">2009 </w:t>
      </w:r>
      <w:r>
        <w:t>User</w:t>
      </w:r>
      <w:r>
        <w:rPr>
          <w:spacing w:val="-2"/>
        </w:rPr>
        <w:t xml:space="preserve"> </w:t>
      </w:r>
      <w:r>
        <w:t>Manual</w:t>
      </w:r>
    </w:p>
    <w:p w14:paraId="4EC4D2AB" w14:textId="77777777" w:rsidR="005C0500" w:rsidRDefault="00A308FE">
      <w:pPr>
        <w:pStyle w:val="BodyText"/>
        <w:spacing w:before="1"/>
        <w:ind w:right="217"/>
        <w:jc w:val="center"/>
      </w:pPr>
      <w:r>
        <w:t>PSX*2*65</w:t>
      </w:r>
    </w:p>
    <w:sectPr w:rsidR="005C0500">
      <w:pgSz w:w="12240" w:h="15840"/>
      <w:pgMar w:top="13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C1A64"/>
    <w:multiLevelType w:val="hybridMultilevel"/>
    <w:tmpl w:val="351E0B7E"/>
    <w:lvl w:ilvl="0" w:tplc="5650A89A">
      <w:start w:val="1"/>
      <w:numFmt w:val="decimal"/>
      <w:lvlText w:val="%1)"/>
      <w:lvlJc w:val="left"/>
      <w:pPr>
        <w:ind w:left="820" w:hanging="444"/>
        <w:jc w:val="left"/>
      </w:pPr>
      <w:rPr>
        <w:rFonts w:ascii="Century Schoolbook" w:eastAsia="Century Schoolbook" w:hAnsi="Century Schoolbook" w:cs="Century Schoolbook" w:hint="default"/>
        <w:w w:val="100"/>
        <w:sz w:val="24"/>
        <w:szCs w:val="24"/>
        <w:lang w:val="en-US" w:eastAsia="en-US" w:bidi="ar-SA"/>
      </w:rPr>
    </w:lvl>
    <w:lvl w:ilvl="1" w:tplc="8494BC9C">
      <w:numFmt w:val="bullet"/>
      <w:lvlText w:val="•"/>
      <w:lvlJc w:val="left"/>
      <w:pPr>
        <w:ind w:left="1716" w:hanging="444"/>
      </w:pPr>
      <w:rPr>
        <w:rFonts w:hint="default"/>
        <w:lang w:val="en-US" w:eastAsia="en-US" w:bidi="ar-SA"/>
      </w:rPr>
    </w:lvl>
    <w:lvl w:ilvl="2" w:tplc="67C8F2D4">
      <w:numFmt w:val="bullet"/>
      <w:lvlText w:val="•"/>
      <w:lvlJc w:val="left"/>
      <w:pPr>
        <w:ind w:left="2612" w:hanging="444"/>
      </w:pPr>
      <w:rPr>
        <w:rFonts w:hint="default"/>
        <w:lang w:val="en-US" w:eastAsia="en-US" w:bidi="ar-SA"/>
      </w:rPr>
    </w:lvl>
    <w:lvl w:ilvl="3" w:tplc="51942548">
      <w:numFmt w:val="bullet"/>
      <w:lvlText w:val="•"/>
      <w:lvlJc w:val="left"/>
      <w:pPr>
        <w:ind w:left="3508" w:hanging="444"/>
      </w:pPr>
      <w:rPr>
        <w:rFonts w:hint="default"/>
        <w:lang w:val="en-US" w:eastAsia="en-US" w:bidi="ar-SA"/>
      </w:rPr>
    </w:lvl>
    <w:lvl w:ilvl="4" w:tplc="8BD61DF4">
      <w:numFmt w:val="bullet"/>
      <w:lvlText w:val="•"/>
      <w:lvlJc w:val="left"/>
      <w:pPr>
        <w:ind w:left="4404" w:hanging="444"/>
      </w:pPr>
      <w:rPr>
        <w:rFonts w:hint="default"/>
        <w:lang w:val="en-US" w:eastAsia="en-US" w:bidi="ar-SA"/>
      </w:rPr>
    </w:lvl>
    <w:lvl w:ilvl="5" w:tplc="98047220">
      <w:numFmt w:val="bullet"/>
      <w:lvlText w:val="•"/>
      <w:lvlJc w:val="left"/>
      <w:pPr>
        <w:ind w:left="5300" w:hanging="444"/>
      </w:pPr>
      <w:rPr>
        <w:rFonts w:hint="default"/>
        <w:lang w:val="en-US" w:eastAsia="en-US" w:bidi="ar-SA"/>
      </w:rPr>
    </w:lvl>
    <w:lvl w:ilvl="6" w:tplc="B15ED254">
      <w:numFmt w:val="bullet"/>
      <w:lvlText w:val="•"/>
      <w:lvlJc w:val="left"/>
      <w:pPr>
        <w:ind w:left="6196" w:hanging="444"/>
      </w:pPr>
      <w:rPr>
        <w:rFonts w:hint="default"/>
        <w:lang w:val="en-US" w:eastAsia="en-US" w:bidi="ar-SA"/>
      </w:rPr>
    </w:lvl>
    <w:lvl w:ilvl="7" w:tplc="84702DE8">
      <w:numFmt w:val="bullet"/>
      <w:lvlText w:val="•"/>
      <w:lvlJc w:val="left"/>
      <w:pPr>
        <w:ind w:left="7092" w:hanging="444"/>
      </w:pPr>
      <w:rPr>
        <w:rFonts w:hint="default"/>
        <w:lang w:val="en-US" w:eastAsia="en-US" w:bidi="ar-SA"/>
      </w:rPr>
    </w:lvl>
    <w:lvl w:ilvl="8" w:tplc="6D9A295A">
      <w:numFmt w:val="bullet"/>
      <w:lvlText w:val="•"/>
      <w:lvlJc w:val="left"/>
      <w:pPr>
        <w:ind w:left="7988" w:hanging="44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5C0500"/>
    <w:rsid w:val="005C0500"/>
    <w:rsid w:val="00A308FE"/>
    <w:rsid w:val="00A5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13ED246"/>
  <w15:docId w15:val="{7D2A25E7-B790-4D5B-889B-0F5FEA31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796" w:right="1014" w:firstLine="2"/>
      <w:jc w:val="center"/>
    </w:pPr>
    <w:rPr>
      <w:rFonts w:ascii="Arial" w:eastAsia="Arial" w:hAnsi="Arial" w:cs="Arial"/>
      <w:b/>
      <w:bCs/>
      <w:sz w:val="64"/>
      <w:szCs w:val="64"/>
    </w:rPr>
  </w:style>
  <w:style w:type="paragraph" w:styleId="ListParagraph">
    <w:name w:val="List Paragraph"/>
    <w:basedOn w:val="Normal"/>
    <w:uiPriority w:val="1"/>
    <w:qFormat/>
    <w:pPr>
      <w:spacing w:before="119"/>
      <w:ind w:left="820" w:right="327" w:hanging="360"/>
    </w:pPr>
  </w:style>
  <w:style w:type="paragraph" w:customStyle="1" w:styleId="TableParagraph">
    <w:name w:val="Table Paragraph"/>
    <w:basedOn w:val="Normal"/>
    <w:uiPriority w:val="1"/>
    <w:qFormat/>
    <w:pPr>
      <w:spacing w:before="3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Department of Veterans Affairs</cp:lastModifiedBy>
  <cp:revision>3</cp:revision>
  <dcterms:created xsi:type="dcterms:W3CDTF">2021-08-19T21:45:00Z</dcterms:created>
  <dcterms:modified xsi:type="dcterms:W3CDTF">2021-08-19T21:45:00Z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Creator">
    <vt:lpwstr>Microsoft® Office Word 2007</vt:lpwstr>
  </property>
  <property fmtid="{D5CDD505-2E9C-101B-9397-08002B2CF9AE}" pid="4" name="LastSaved">
    <vt:filetime>2020-11-18T00:00:00Z</vt:filetime>
  </property>
</Properties>
</file>