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66EDF4BB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5C7711">
        <w:t>1.7.9</w:t>
      </w:r>
      <w:r w:rsidR="00FF6D35"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4D123BCA" w:rsidR="00AE1DED" w:rsidRDefault="00747565" w:rsidP="00AE1DED">
      <w:pPr>
        <w:pStyle w:val="PubDate"/>
      </w:pPr>
      <w:r>
        <w:t>Ju</w:t>
      </w:r>
      <w:r w:rsidR="005C7711">
        <w:t>ly</w:t>
      </w:r>
      <w:r w:rsidR="00D464D4">
        <w:t xml:space="preserve"> </w:t>
      </w:r>
      <w:r w:rsidR="00DF6B23">
        <w:t>202</w:t>
      </w:r>
      <w:r w:rsidR="00BD315E">
        <w:t>1</w:t>
      </w:r>
    </w:p>
    <w:p w14:paraId="6781BA67" w14:textId="411ACE79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D86DC6">
        <w:t>1.1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04E4B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EB34DF" w:rsidRPr="00AC0E30" w14:paraId="298D89CE" w14:textId="77777777" w:rsidTr="04E4B015">
        <w:tc>
          <w:tcPr>
            <w:tcW w:w="1320" w:type="dxa"/>
          </w:tcPr>
          <w:p w14:paraId="4E9FDAE1" w14:textId="319D542A" w:rsidR="00EB34DF" w:rsidRPr="00AC0E30" w:rsidRDefault="00EB34DF" w:rsidP="00AC0E30">
            <w:r>
              <w:t>07/30/2021</w:t>
            </w:r>
          </w:p>
        </w:tc>
        <w:tc>
          <w:tcPr>
            <w:tcW w:w="989" w:type="dxa"/>
          </w:tcPr>
          <w:p w14:paraId="659CB663" w14:textId="049FC7C1" w:rsidR="00EB34DF" w:rsidRPr="00AC0E30" w:rsidRDefault="00EB34DF" w:rsidP="00AC0E30">
            <w:r>
              <w:t>1.1</w:t>
            </w:r>
          </w:p>
        </w:tc>
        <w:tc>
          <w:tcPr>
            <w:tcW w:w="5696" w:type="dxa"/>
          </w:tcPr>
          <w:p w14:paraId="480DED33" w14:textId="1FF5AC77" w:rsidR="00EB34DF" w:rsidRPr="00AC0E30" w:rsidRDefault="00EB34DF" w:rsidP="00AC0E30">
            <w:r>
              <w:t>Updates</w:t>
            </w:r>
            <w:r w:rsidR="00D86DC6">
              <w:t xml:space="preserve"> to Section 4; sent for approval</w:t>
            </w:r>
          </w:p>
        </w:tc>
        <w:tc>
          <w:tcPr>
            <w:tcW w:w="1530" w:type="dxa"/>
          </w:tcPr>
          <w:p w14:paraId="59519352" w14:textId="105986D6" w:rsidR="00EB34DF" w:rsidRPr="00AC0E30" w:rsidRDefault="00D86DC6" w:rsidP="00AC0E30">
            <w:r>
              <w:t>Liberty ITS</w:t>
            </w:r>
          </w:p>
        </w:tc>
      </w:tr>
      <w:tr w:rsidR="00B316EA" w:rsidRPr="00AC0E30" w14:paraId="7D4C14E9" w14:textId="77777777" w:rsidTr="04E4B015">
        <w:tc>
          <w:tcPr>
            <w:tcW w:w="1320" w:type="dxa"/>
          </w:tcPr>
          <w:p w14:paraId="1E6659B0" w14:textId="0D4DA556" w:rsidR="00B316EA" w:rsidRPr="00AC0E30" w:rsidRDefault="00B316EA" w:rsidP="00AC0E30">
            <w:r>
              <w:t>07/26/2021</w:t>
            </w:r>
          </w:p>
        </w:tc>
        <w:tc>
          <w:tcPr>
            <w:tcW w:w="989" w:type="dxa"/>
          </w:tcPr>
          <w:p w14:paraId="578B79DF" w14:textId="18ABF292" w:rsidR="00B316EA" w:rsidRPr="00AC0E30" w:rsidRDefault="00B316EA" w:rsidP="00AC0E30">
            <w:r>
              <w:t>1.0</w:t>
            </w:r>
          </w:p>
        </w:tc>
        <w:tc>
          <w:tcPr>
            <w:tcW w:w="5696" w:type="dxa"/>
          </w:tcPr>
          <w:p w14:paraId="1CCF3E0D" w14:textId="764887C1" w:rsidR="00B316EA" w:rsidRPr="00AC0E30" w:rsidRDefault="00B316EA" w:rsidP="00AC0E30">
            <w:r>
              <w:t>Sent for review</w:t>
            </w:r>
          </w:p>
        </w:tc>
        <w:tc>
          <w:tcPr>
            <w:tcW w:w="1530" w:type="dxa"/>
          </w:tcPr>
          <w:p w14:paraId="558C2AA0" w14:textId="642AFE75" w:rsidR="00B316EA" w:rsidRPr="00AC0E30" w:rsidRDefault="00B316EA" w:rsidP="00AC0E30">
            <w:r>
              <w:t>Liberty ITS</w:t>
            </w:r>
          </w:p>
        </w:tc>
      </w:tr>
      <w:tr w:rsidR="00D9269D" w:rsidRPr="00AC0E30" w14:paraId="4ACF30A6" w14:textId="77777777" w:rsidTr="04E4B015">
        <w:tc>
          <w:tcPr>
            <w:tcW w:w="1320" w:type="dxa"/>
          </w:tcPr>
          <w:p w14:paraId="43904D58" w14:textId="7BBBD9D7" w:rsidR="00D9269D" w:rsidRPr="00AC0E30" w:rsidRDefault="00D9269D" w:rsidP="00D9269D">
            <w:r>
              <w:t>0</w:t>
            </w:r>
            <w:r w:rsidR="005C7711">
              <w:t>7</w:t>
            </w:r>
            <w:r w:rsidR="00E02708">
              <w:t>/</w:t>
            </w:r>
            <w:r w:rsidR="004333F2">
              <w:t>20</w:t>
            </w:r>
            <w:r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0A0270D0" w:rsidR="00D9269D" w:rsidRPr="00AC0E30" w:rsidRDefault="00D9269D" w:rsidP="00D9269D">
            <w:r>
              <w:t xml:space="preserve">Baseline for VS GUI </w:t>
            </w:r>
            <w:proofErr w:type="spellStart"/>
            <w:r>
              <w:t>R</w:t>
            </w:r>
            <w:r w:rsidR="005C7711">
              <w:t>1.7.9</w:t>
            </w:r>
            <w:proofErr w:type="spellEnd"/>
            <w:r>
              <w:t xml:space="preserve"> and SD*5.3*</w:t>
            </w:r>
            <w:r w:rsidR="005C7711">
              <w:t>790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26290DAB" w14:textId="713EB7CA" w:rsidR="008E69FB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76978881" w:history="1">
        <w:r w:rsidR="008E69FB" w:rsidRPr="00FD5671">
          <w:rPr>
            <w:rStyle w:val="Hyperlink"/>
          </w:rPr>
          <w:t>1.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Introduction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_Toc76978881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01024B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0FFE2314" w14:textId="47D9706B" w:rsidR="008E69FB" w:rsidRDefault="00534BAA">
      <w:pPr>
        <w:pStyle w:val="TOC2"/>
        <w:rPr>
          <w:rFonts w:asciiTheme="minorHAnsi" w:hAnsiTheme="minorHAnsi"/>
          <w:b w:val="0"/>
          <w:sz w:val="22"/>
        </w:rPr>
      </w:pPr>
      <w:hyperlink w:anchor="_Toc76978882" w:history="1">
        <w:r w:rsidR="008E69FB" w:rsidRPr="00FD5671">
          <w:rPr>
            <w:rStyle w:val="Hyperlink"/>
          </w:rPr>
          <w:t>1.1.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Purpose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_Toc76978882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01024B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23947475" w14:textId="407B57B4" w:rsidR="008E69FB" w:rsidRDefault="00534BAA">
      <w:pPr>
        <w:pStyle w:val="TOC2"/>
        <w:rPr>
          <w:rFonts w:asciiTheme="minorHAnsi" w:hAnsiTheme="minorHAnsi"/>
          <w:b w:val="0"/>
          <w:sz w:val="22"/>
        </w:rPr>
      </w:pPr>
      <w:hyperlink w:anchor="_Toc76978883" w:history="1">
        <w:r w:rsidR="008E69FB" w:rsidRPr="00FD5671">
          <w:rPr>
            <w:rStyle w:val="Hyperlink"/>
          </w:rPr>
          <w:t>1.2.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Audience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_Toc76978883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01024B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11447D34" w14:textId="78B2B8F8" w:rsidR="008E69FB" w:rsidRDefault="00534BAA">
      <w:pPr>
        <w:pStyle w:val="TOC1"/>
        <w:rPr>
          <w:rFonts w:asciiTheme="minorHAnsi" w:hAnsiTheme="minorHAnsi"/>
          <w:b w:val="0"/>
          <w:sz w:val="22"/>
        </w:rPr>
      </w:pPr>
      <w:hyperlink w:anchor="_Toc76978884" w:history="1">
        <w:r w:rsidR="008E69FB" w:rsidRPr="00FD5671">
          <w:rPr>
            <w:rStyle w:val="Hyperlink"/>
          </w:rPr>
          <w:t>2.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This Release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_Toc76978884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01024B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0B83FF6C" w14:textId="69AFD246" w:rsidR="008E69FB" w:rsidRDefault="00534BAA">
      <w:pPr>
        <w:pStyle w:val="TOC1"/>
        <w:rPr>
          <w:rFonts w:asciiTheme="minorHAnsi" w:hAnsiTheme="minorHAnsi"/>
          <w:b w:val="0"/>
          <w:sz w:val="22"/>
        </w:rPr>
      </w:pPr>
      <w:hyperlink w:anchor="_Toc76978885" w:history="1">
        <w:r w:rsidR="008E69FB" w:rsidRPr="00FD5671">
          <w:rPr>
            <w:rStyle w:val="Hyperlink"/>
          </w:rPr>
          <w:t>3.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Features and Functionality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_Toc76978885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01024B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61EA894E" w14:textId="61945A19" w:rsidR="008E69FB" w:rsidRDefault="00534BAA">
      <w:pPr>
        <w:pStyle w:val="TOC2"/>
        <w:rPr>
          <w:rFonts w:asciiTheme="minorHAnsi" w:hAnsiTheme="minorHAnsi"/>
          <w:b w:val="0"/>
          <w:sz w:val="22"/>
        </w:rPr>
      </w:pPr>
      <w:hyperlink w:anchor="_Toc76978886" w:history="1">
        <w:r w:rsidR="008E69FB" w:rsidRPr="00FD5671">
          <w:rPr>
            <w:rStyle w:val="Hyperlink"/>
          </w:rPr>
          <w:t>3.1.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Enhancements Implemented and Defects Fixes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_Toc76978886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01024B">
          <w:rPr>
            <w:webHidden/>
          </w:rPr>
          <w:t>1</w:t>
        </w:r>
        <w:r w:rsidR="008E69FB">
          <w:rPr>
            <w:webHidden/>
          </w:rPr>
          <w:fldChar w:fldCharType="end"/>
        </w:r>
      </w:hyperlink>
    </w:p>
    <w:p w14:paraId="7DA26294" w14:textId="328B7C33" w:rsidR="008E69FB" w:rsidRDefault="00534BAA">
      <w:pPr>
        <w:pStyle w:val="TOC1"/>
        <w:rPr>
          <w:rFonts w:asciiTheme="minorHAnsi" w:hAnsiTheme="minorHAnsi"/>
          <w:b w:val="0"/>
          <w:sz w:val="22"/>
        </w:rPr>
      </w:pPr>
      <w:hyperlink w:anchor="_Toc76978887" w:history="1">
        <w:r w:rsidR="008E69FB" w:rsidRPr="00FD5671">
          <w:rPr>
            <w:rStyle w:val="Hyperlink"/>
          </w:rPr>
          <w:t>4.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User Documentation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_Toc76978887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01024B">
          <w:rPr>
            <w:webHidden/>
          </w:rPr>
          <w:t>2</w:t>
        </w:r>
        <w:r w:rsidR="008E69FB">
          <w:rPr>
            <w:webHidden/>
          </w:rPr>
          <w:fldChar w:fldCharType="end"/>
        </w:r>
      </w:hyperlink>
    </w:p>
    <w:p w14:paraId="59ACC186" w14:textId="26B37377" w:rsidR="008E69FB" w:rsidRDefault="00534BAA">
      <w:pPr>
        <w:pStyle w:val="TOC1"/>
        <w:rPr>
          <w:rFonts w:asciiTheme="minorHAnsi" w:hAnsiTheme="minorHAnsi"/>
          <w:b w:val="0"/>
          <w:sz w:val="22"/>
        </w:rPr>
      </w:pPr>
      <w:hyperlink w:anchor="_Toc76978888" w:history="1">
        <w:r w:rsidR="008E69FB" w:rsidRPr="00FD5671">
          <w:rPr>
            <w:rStyle w:val="Hyperlink"/>
          </w:rPr>
          <w:t>5.</w:t>
        </w:r>
        <w:r w:rsidR="008E69FB">
          <w:rPr>
            <w:rFonts w:asciiTheme="minorHAnsi" w:hAnsiTheme="minorHAnsi"/>
            <w:b w:val="0"/>
            <w:sz w:val="22"/>
          </w:rPr>
          <w:tab/>
        </w:r>
        <w:r w:rsidR="008E69FB" w:rsidRPr="00FD5671">
          <w:rPr>
            <w:rStyle w:val="Hyperlink"/>
          </w:rPr>
          <w:t>Known Issues</w:t>
        </w:r>
        <w:r w:rsidR="008E69FB">
          <w:rPr>
            <w:webHidden/>
          </w:rPr>
          <w:tab/>
        </w:r>
        <w:r w:rsidR="008E69FB">
          <w:rPr>
            <w:webHidden/>
          </w:rPr>
          <w:fldChar w:fldCharType="begin"/>
        </w:r>
        <w:r w:rsidR="008E69FB">
          <w:rPr>
            <w:webHidden/>
          </w:rPr>
          <w:instrText xml:space="preserve"> PAGEREF _Toc76978888 \h </w:instrText>
        </w:r>
        <w:r w:rsidR="008E69FB">
          <w:rPr>
            <w:webHidden/>
          </w:rPr>
        </w:r>
        <w:r w:rsidR="008E69FB">
          <w:rPr>
            <w:webHidden/>
          </w:rPr>
          <w:fldChar w:fldCharType="separate"/>
        </w:r>
        <w:r w:rsidR="0001024B">
          <w:rPr>
            <w:webHidden/>
          </w:rPr>
          <w:t>2</w:t>
        </w:r>
        <w:r w:rsidR="008E69FB">
          <w:rPr>
            <w:webHidden/>
          </w:rPr>
          <w:fldChar w:fldCharType="end"/>
        </w:r>
      </w:hyperlink>
    </w:p>
    <w:p w14:paraId="79A1A1EC" w14:textId="538911F6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69F6FC3" w14:textId="5C24837E" w:rsidR="008E69FB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6978889" w:history="1">
        <w:r w:rsidR="008E69FB" w:rsidRPr="00902DAD">
          <w:rPr>
            <w:rStyle w:val="Hyperlink"/>
            <w:noProof/>
          </w:rPr>
          <w:t>Table 1: Enhancements and Defects Fixes</w:t>
        </w:r>
        <w:r w:rsidR="008E69FB">
          <w:rPr>
            <w:noProof/>
            <w:webHidden/>
          </w:rPr>
          <w:tab/>
        </w:r>
        <w:r w:rsidR="008E69FB">
          <w:rPr>
            <w:noProof/>
            <w:webHidden/>
          </w:rPr>
          <w:fldChar w:fldCharType="begin"/>
        </w:r>
        <w:r w:rsidR="008E69FB">
          <w:rPr>
            <w:noProof/>
            <w:webHidden/>
          </w:rPr>
          <w:instrText xml:space="preserve"> PAGEREF _Toc76978889 \h </w:instrText>
        </w:r>
        <w:r w:rsidR="008E69FB">
          <w:rPr>
            <w:noProof/>
            <w:webHidden/>
          </w:rPr>
        </w:r>
        <w:r w:rsidR="008E69FB">
          <w:rPr>
            <w:noProof/>
            <w:webHidden/>
          </w:rPr>
          <w:fldChar w:fldCharType="separate"/>
        </w:r>
        <w:r w:rsidR="0001024B">
          <w:rPr>
            <w:noProof/>
            <w:webHidden/>
          </w:rPr>
          <w:t>1</w:t>
        </w:r>
        <w:r w:rsidR="008E69FB">
          <w:rPr>
            <w:noProof/>
            <w:webHidden/>
          </w:rPr>
          <w:fldChar w:fldCharType="end"/>
        </w:r>
      </w:hyperlink>
    </w:p>
    <w:p w14:paraId="65B07266" w14:textId="5D8F890B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76978881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76978882"/>
      <w:r>
        <w:t>Purpose</w:t>
      </w:r>
      <w:bookmarkEnd w:id="1"/>
    </w:p>
    <w:p w14:paraId="2EB75ABE" w14:textId="09754AE2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5C7711">
        <w:t>1.7.9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2004BE2A" w:rsidR="003A7D7E" w:rsidRDefault="003A7D7E" w:rsidP="003A7D7E">
      <w:pPr>
        <w:pStyle w:val="ListBullet"/>
      </w:pPr>
      <w:r>
        <w:t xml:space="preserve">VS GUI application </w:t>
      </w:r>
      <w:r w:rsidR="005C7711">
        <w:t>1.7.9</w:t>
      </w:r>
    </w:p>
    <w:p w14:paraId="4F5C48A9" w14:textId="36561CEF" w:rsidR="001101F4" w:rsidRDefault="003A7D7E" w:rsidP="003A7D7E">
      <w:pPr>
        <w:pStyle w:val="ListBullet"/>
      </w:pPr>
      <w:r>
        <w:t>VistA M patch SD*5.3*</w:t>
      </w:r>
      <w:r w:rsidR="005C7711">
        <w:t>790</w:t>
      </w:r>
    </w:p>
    <w:p w14:paraId="225C47F9" w14:textId="77777777" w:rsidR="003A7D7E" w:rsidRDefault="003A7D7E" w:rsidP="003A7D7E">
      <w:pPr>
        <w:pStyle w:val="Heading2"/>
      </w:pPr>
      <w:bookmarkStart w:id="2" w:name="_Toc76978883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76978884"/>
      <w:r>
        <w:t>This Release</w:t>
      </w:r>
      <w:bookmarkEnd w:id="3"/>
    </w:p>
    <w:p w14:paraId="6D4251E1" w14:textId="037FE20D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5C7711">
        <w:t>1.7.9</w:t>
      </w:r>
      <w:r w:rsidR="006B678B">
        <w:t xml:space="preserve"> </w:t>
      </w:r>
      <w:r w:rsidR="00C31064">
        <w:t>and VistA patch SD*5.3*</w:t>
      </w:r>
      <w:r w:rsidR="005C7711">
        <w:t>790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76978885"/>
      <w:bookmarkEnd w:id="4"/>
      <w:r>
        <w:t>Features and Functionality</w:t>
      </w:r>
      <w:bookmarkEnd w:id="5"/>
    </w:p>
    <w:p w14:paraId="1782B980" w14:textId="23929EEE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5C7711">
        <w:t>1.7.9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5C7711">
        <w:t>790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76978886"/>
      <w:r>
        <w:t>Enhancements Implemented</w:t>
      </w:r>
      <w:r w:rsidR="007D1EC0">
        <w:t xml:space="preserve"> and Defects Fixes</w:t>
      </w:r>
      <w:bookmarkEnd w:id="6"/>
    </w:p>
    <w:p w14:paraId="32C98AF2" w14:textId="2AD8E9F4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5C7711">
        <w:t>1.7.9</w:t>
      </w:r>
      <w:r w:rsidR="00DE1C18">
        <w:t>.</w:t>
      </w:r>
      <w:r w:rsidR="00C82C68">
        <w:t xml:space="preserve"> The work item ID is the Jira issue number.</w:t>
      </w:r>
    </w:p>
    <w:p w14:paraId="5A99BBBB" w14:textId="715C82F4" w:rsidR="007C5565" w:rsidRDefault="006627B0" w:rsidP="006627B0">
      <w:pPr>
        <w:pStyle w:val="Caption"/>
      </w:pPr>
      <w:bookmarkStart w:id="7" w:name="_Toc76978889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01024B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DF5309" w:rsidRPr="00DF5309" w14:paraId="3C781E90" w14:textId="77777777" w:rsidTr="00AA5274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58FD711B" w14:textId="77777777" w:rsidR="00DF5309" w:rsidRPr="00DF5309" w:rsidRDefault="00DF5309" w:rsidP="00DF5309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DF5309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0DE8F127" w14:textId="77777777" w:rsidR="00DF5309" w:rsidRPr="00DF5309" w:rsidRDefault="00DF5309" w:rsidP="00DF5309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DF5309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A50A0B" w:rsidRPr="00DF5309" w14:paraId="68525ED7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67395965" w14:textId="2688EFB7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VSE-232</w:t>
            </w:r>
          </w:p>
        </w:tc>
        <w:tc>
          <w:tcPr>
            <w:tcW w:w="8010" w:type="dxa"/>
          </w:tcPr>
          <w:p w14:paraId="1E2764CA" w14:textId="6E610B01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A6319E">
              <w:t xml:space="preserve">Parent </w:t>
            </w:r>
            <w:r>
              <w:t>Multiple Return to Clinic (</w:t>
            </w:r>
            <w:r w:rsidRPr="00A6319E">
              <w:t>MRTC</w:t>
            </w:r>
            <w:r>
              <w:t>)</w:t>
            </w:r>
            <w:r w:rsidRPr="00A6319E">
              <w:t xml:space="preserve"> returns to </w:t>
            </w:r>
            <w:r>
              <w:t>Request Management (</w:t>
            </w:r>
            <w:r w:rsidRPr="00A6319E">
              <w:t>RM</w:t>
            </w:r>
            <w:r>
              <w:t>)</w:t>
            </w:r>
            <w:r w:rsidRPr="00A6319E">
              <w:t xml:space="preserve"> </w:t>
            </w:r>
            <w:r>
              <w:t>G</w:t>
            </w:r>
            <w:r w:rsidRPr="00A6319E">
              <w:t>rid when user selects for child request to be closed</w:t>
            </w:r>
          </w:p>
        </w:tc>
      </w:tr>
      <w:tr w:rsidR="00A50A0B" w:rsidRPr="00DF5309" w14:paraId="6CB3CC8F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3B0D468E" w14:textId="1BF0292A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VSE-940</w:t>
            </w:r>
          </w:p>
        </w:tc>
        <w:tc>
          <w:tcPr>
            <w:tcW w:w="8010" w:type="dxa"/>
          </w:tcPr>
          <w:p w14:paraId="0758975F" w14:textId="6767F736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4F6DAA">
              <w:t>GUI crashes when action is taken on an appointment with no resource</w:t>
            </w:r>
          </w:p>
        </w:tc>
      </w:tr>
      <w:tr w:rsidR="00A50A0B" w:rsidRPr="00DF5309" w14:paraId="5C124EAB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48BB7ADE" w14:textId="1A83D359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VSE-978</w:t>
            </w:r>
          </w:p>
        </w:tc>
        <w:tc>
          <w:tcPr>
            <w:tcW w:w="8010" w:type="dxa"/>
          </w:tcPr>
          <w:p w14:paraId="5B65664C" w14:textId="3F147056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4F6DAA">
              <w:t>Cancel Patient/ch</w:t>
            </w:r>
            <w:r w:rsidR="004333F2">
              <w:t xml:space="preserve">ange </w:t>
            </w:r>
            <w:r>
              <w:t>Patient Identification (</w:t>
            </w:r>
            <w:r w:rsidRPr="004F6DAA">
              <w:t>PID</w:t>
            </w:r>
            <w:r>
              <w:t>)</w:t>
            </w:r>
            <w:r w:rsidRPr="004F6DAA">
              <w:t xml:space="preserve"> - Updated PID is not displaying on the request</w:t>
            </w:r>
            <w:r>
              <w:t xml:space="preserve"> a</w:t>
            </w:r>
            <w:r w:rsidRPr="004F6DAA">
              <w:t>fter changing the PID date on the cancellation window.</w:t>
            </w:r>
          </w:p>
        </w:tc>
      </w:tr>
      <w:tr w:rsidR="00A50A0B" w:rsidRPr="00DF5309" w14:paraId="0F150592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4560E6E3" w14:textId="629502FD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VSE-979</w:t>
            </w:r>
          </w:p>
        </w:tc>
        <w:tc>
          <w:tcPr>
            <w:tcW w:w="8010" w:type="dxa"/>
          </w:tcPr>
          <w:p w14:paraId="31867A77" w14:textId="09A09B20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954AF2">
              <w:t>RECALL - Drag and drop writes the request to the RM Grid</w:t>
            </w:r>
          </w:p>
        </w:tc>
      </w:tr>
      <w:tr w:rsidR="00A50A0B" w:rsidRPr="00DF5309" w14:paraId="0A251D1F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34835974" w14:textId="716BCDB9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VSE-1076</w:t>
            </w:r>
          </w:p>
        </w:tc>
        <w:tc>
          <w:tcPr>
            <w:tcW w:w="8010" w:type="dxa"/>
          </w:tcPr>
          <w:p w14:paraId="2E0B7F73" w14:textId="4FC02DC3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954AF2">
              <w:t xml:space="preserve">Clinic Search: Clinic </w:t>
            </w:r>
            <w:r>
              <w:t>n</w:t>
            </w:r>
            <w:r w:rsidRPr="00954AF2">
              <w:t xml:space="preserve">ame </w:t>
            </w:r>
            <w:r>
              <w:t>t</w:t>
            </w:r>
            <w:r w:rsidRPr="00954AF2">
              <w:t xml:space="preserve">runcation when </w:t>
            </w:r>
            <w:r>
              <w:t>abbreviation</w:t>
            </w:r>
            <w:r w:rsidRPr="00954AF2">
              <w:t xml:space="preserve"> </w:t>
            </w:r>
            <w:r>
              <w:t>m</w:t>
            </w:r>
            <w:r w:rsidRPr="00954AF2">
              <w:t>atches</w:t>
            </w:r>
          </w:p>
        </w:tc>
      </w:tr>
      <w:tr w:rsidR="00A50A0B" w:rsidRPr="00DF5309" w14:paraId="74F5CC45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4CDAE688" w14:textId="1AA87FE9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VSE-1157</w:t>
            </w:r>
          </w:p>
        </w:tc>
        <w:tc>
          <w:tcPr>
            <w:tcW w:w="8010" w:type="dxa"/>
          </w:tcPr>
          <w:p w14:paraId="04CAD90F" w14:textId="4D3FE0F7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004060">
              <w:t xml:space="preserve">Ensure </w:t>
            </w:r>
            <w:r>
              <w:t>Contact Attempts (</w:t>
            </w:r>
            <w:r w:rsidRPr="00004060">
              <w:t>C</w:t>
            </w:r>
            <w:r>
              <w:t>A)</w:t>
            </w:r>
            <w:r w:rsidRPr="00004060">
              <w:t xml:space="preserve"> for Recall Requests are included when converted to APPT</w:t>
            </w:r>
          </w:p>
        </w:tc>
      </w:tr>
      <w:tr w:rsidR="00A50A0B" w:rsidRPr="00DF5309" w14:paraId="46CC76FD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14AA5946" w14:textId="26A63CF9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VSE-946</w:t>
            </w:r>
          </w:p>
        </w:tc>
        <w:tc>
          <w:tcPr>
            <w:tcW w:w="8010" w:type="dxa"/>
          </w:tcPr>
          <w:p w14:paraId="662F7C9D" w14:textId="527DDCBF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1A6CD7">
              <w:t>Update error messages for JSON RPC calls</w:t>
            </w:r>
          </w:p>
        </w:tc>
      </w:tr>
      <w:tr w:rsidR="00A50A0B" w:rsidRPr="00DF5309" w14:paraId="6718A759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2CFDAD97" w14:textId="418A5F62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lastRenderedPageBreak/>
              <w:t>VSE-985</w:t>
            </w:r>
          </w:p>
        </w:tc>
        <w:tc>
          <w:tcPr>
            <w:tcW w:w="8010" w:type="dxa"/>
          </w:tcPr>
          <w:p w14:paraId="1AF93FFE" w14:textId="74E87CA4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6B505F">
              <w:t>Pre-Check</w:t>
            </w:r>
            <w:r w:rsidR="004333F2">
              <w:t xml:space="preserve"> </w:t>
            </w:r>
            <w:proofErr w:type="gramStart"/>
            <w:r w:rsidRPr="006B505F">
              <w:t>In</w:t>
            </w:r>
            <w:proofErr w:type="gramEnd"/>
            <w:r w:rsidRPr="006B505F">
              <w:t xml:space="preserve"> Indicator</w:t>
            </w:r>
          </w:p>
        </w:tc>
      </w:tr>
      <w:tr w:rsidR="00A50A0B" w:rsidRPr="00DF5309" w14:paraId="2690FEF9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37D8E463" w14:textId="070B95F2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VSE-1024</w:t>
            </w:r>
          </w:p>
        </w:tc>
        <w:tc>
          <w:tcPr>
            <w:tcW w:w="8010" w:type="dxa"/>
          </w:tcPr>
          <w:p w14:paraId="16BE88C1" w14:textId="628415FE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6B505F">
              <w:t>Redesign User Preferences</w:t>
            </w:r>
          </w:p>
        </w:tc>
      </w:tr>
      <w:tr w:rsidR="00A50A0B" w:rsidRPr="00DF5309" w14:paraId="3F1D523B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23926C67" w14:textId="004C8A25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VSE-1037</w:t>
            </w:r>
          </w:p>
        </w:tc>
        <w:tc>
          <w:tcPr>
            <w:tcW w:w="8010" w:type="dxa"/>
          </w:tcPr>
          <w:p w14:paraId="43556C02" w14:textId="135C4AE4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72261E">
              <w:t>Disable SDRR CLEANUP job</w:t>
            </w:r>
          </w:p>
        </w:tc>
      </w:tr>
      <w:tr w:rsidR="00A50A0B" w:rsidRPr="00DF5309" w14:paraId="4148243B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62E8828A" w14:textId="56B1CF11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VSE-1084</w:t>
            </w:r>
          </w:p>
        </w:tc>
        <w:tc>
          <w:tcPr>
            <w:tcW w:w="8010" w:type="dxa"/>
          </w:tcPr>
          <w:p w14:paraId="0CE4D18F" w14:textId="7E6196E5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proofErr w:type="gramStart"/>
            <w:r w:rsidRPr="0072261E">
              <w:t>Update</w:t>
            </w:r>
            <w:proofErr w:type="gramEnd"/>
            <w:r w:rsidRPr="0072261E">
              <w:t xml:space="preserve"> overbook dialog to use new VS</w:t>
            </w:r>
            <w:r>
              <w:t xml:space="preserve"> </w:t>
            </w:r>
            <w:r w:rsidRPr="0072261E">
              <w:t>window</w:t>
            </w:r>
          </w:p>
        </w:tc>
      </w:tr>
      <w:tr w:rsidR="00A50A0B" w:rsidRPr="00DF5309" w14:paraId="2770D6BC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07A2B7A4" w14:textId="00E6CBCD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VSE-1093</w:t>
            </w:r>
          </w:p>
        </w:tc>
        <w:tc>
          <w:tcPr>
            <w:tcW w:w="8010" w:type="dxa"/>
          </w:tcPr>
          <w:p w14:paraId="086BB7A4" w14:textId="31252DA6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311CDD">
              <w:t>Correct defect causing GUI to crash if action is taken on appt missing resource</w:t>
            </w:r>
          </w:p>
        </w:tc>
      </w:tr>
      <w:tr w:rsidR="00A50A0B" w:rsidRPr="00DF5309" w14:paraId="5ACC6DD6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2EEAC111" w14:textId="7A54F94B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VSE-1094</w:t>
            </w:r>
          </w:p>
        </w:tc>
        <w:tc>
          <w:tcPr>
            <w:tcW w:w="8010" w:type="dxa"/>
          </w:tcPr>
          <w:p w14:paraId="7EFD69AF" w14:textId="28EC9C3C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311CDD">
              <w:t>Correct code to prevent appts with no resource</w:t>
            </w:r>
          </w:p>
        </w:tc>
      </w:tr>
      <w:tr w:rsidR="00A50A0B" w:rsidRPr="00DF5309" w14:paraId="4F268664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6F9E8FF8" w14:textId="18326DE9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VSE-1112</w:t>
            </w:r>
          </w:p>
        </w:tc>
        <w:tc>
          <w:tcPr>
            <w:tcW w:w="8010" w:type="dxa"/>
          </w:tcPr>
          <w:p w14:paraId="31060625" w14:textId="61AF3B64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311CDD">
              <w:t>Update so that appointment requests are only reopened for certain cancellation reasons</w:t>
            </w:r>
          </w:p>
        </w:tc>
      </w:tr>
      <w:tr w:rsidR="00A50A0B" w:rsidRPr="00DF5309" w14:paraId="12107922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13FE9913" w14:textId="1A864A91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VSE-1127</w:t>
            </w:r>
          </w:p>
        </w:tc>
        <w:tc>
          <w:tcPr>
            <w:tcW w:w="8010" w:type="dxa"/>
          </w:tcPr>
          <w:p w14:paraId="29433336" w14:textId="2CE74AFC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173F2B">
              <w:t>Create RPC to return Recall request info from Recall Reminders Removed file</w:t>
            </w:r>
          </w:p>
        </w:tc>
      </w:tr>
      <w:tr w:rsidR="00A50A0B" w:rsidRPr="00DF5309" w14:paraId="70B8CFB5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1D03D104" w14:textId="403462C3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VSE-1146</w:t>
            </w:r>
          </w:p>
        </w:tc>
        <w:tc>
          <w:tcPr>
            <w:tcW w:w="8010" w:type="dxa"/>
          </w:tcPr>
          <w:p w14:paraId="36763AC1" w14:textId="34BDBC0A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173F2B">
              <w:t>Modify SDEC FAPPTGET to include eligibility and inactive clinics</w:t>
            </w:r>
          </w:p>
        </w:tc>
      </w:tr>
      <w:tr w:rsidR="00A50A0B" w:rsidRPr="00DF5309" w14:paraId="75D19D22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7D054B89" w14:textId="6DE3A65E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VSE-1166</w:t>
            </w:r>
          </w:p>
        </w:tc>
        <w:tc>
          <w:tcPr>
            <w:tcW w:w="8010" w:type="dxa"/>
          </w:tcPr>
          <w:p w14:paraId="4F2FBF7A" w14:textId="51726314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382457">
              <w:t>Expand Entry for a cancellation does not show the right clinic and cancellation date/time for an appointment that was entered at the same date and time as the one that was canceled</w:t>
            </w:r>
          </w:p>
        </w:tc>
      </w:tr>
      <w:tr w:rsidR="00A50A0B" w:rsidRPr="00DF5309" w14:paraId="2AF9396A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542F8E08" w14:textId="5E7901B1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VSE-1171</w:t>
            </w:r>
          </w:p>
        </w:tc>
        <w:tc>
          <w:tcPr>
            <w:tcW w:w="8010" w:type="dxa"/>
          </w:tcPr>
          <w:p w14:paraId="3F689A6E" w14:textId="6342C54E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FC1DD0">
              <w:t>Add a check for Cancelled A</w:t>
            </w:r>
            <w:r>
              <w:t>ppointments</w:t>
            </w:r>
            <w:r w:rsidRPr="00FC1DD0">
              <w:t xml:space="preserve"> to the SDEC APPADD RPC</w:t>
            </w:r>
          </w:p>
        </w:tc>
      </w:tr>
      <w:tr w:rsidR="00A50A0B" w:rsidRPr="00DF5309" w14:paraId="3DDEA3AC" w14:textId="77777777" w:rsidTr="00AA5274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361C6DFA" w14:textId="139831A8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>
              <w:t>VSE-1172</w:t>
            </w:r>
          </w:p>
        </w:tc>
        <w:tc>
          <w:tcPr>
            <w:tcW w:w="8010" w:type="dxa"/>
          </w:tcPr>
          <w:p w14:paraId="7BB3DAD2" w14:textId="50B5B839" w:rsidR="00A50A0B" w:rsidRPr="00DF5309" w:rsidRDefault="00A50A0B" w:rsidP="00A50A0B">
            <w:pPr>
              <w:pStyle w:val="TableText"/>
              <w:rPr>
                <w:rFonts w:eastAsia="Times New Roman" w:cs="Arial"/>
                <w:szCs w:val="20"/>
              </w:rPr>
            </w:pPr>
            <w:r w:rsidRPr="000649AA">
              <w:t>Address Locking and Performance Issues Identified in VSE-235 Research</w:t>
            </w:r>
          </w:p>
        </w:tc>
      </w:tr>
      <w:tr w:rsidR="004320FB" w:rsidRPr="00DF5309" w14:paraId="0FD8ED0F" w14:textId="77777777" w:rsidTr="004320FB">
        <w:tblPrEx>
          <w:tblLook w:val="0680" w:firstRow="0" w:lastRow="0" w:firstColumn="1" w:lastColumn="0" w:noHBand="1" w:noVBand="1"/>
        </w:tblPrEx>
        <w:tc>
          <w:tcPr>
            <w:tcW w:w="1525" w:type="dxa"/>
          </w:tcPr>
          <w:p w14:paraId="00767A3E" w14:textId="0C1E60BA" w:rsidR="004320FB" w:rsidRDefault="004320FB" w:rsidP="00A50A0B">
            <w:pPr>
              <w:pStyle w:val="TableText"/>
            </w:pPr>
            <w:r>
              <w:t>VSE-1204</w:t>
            </w:r>
          </w:p>
        </w:tc>
        <w:tc>
          <w:tcPr>
            <w:tcW w:w="8010" w:type="dxa"/>
          </w:tcPr>
          <w:p w14:paraId="5C3C4967" w14:textId="1B4475F1" w:rsidR="004320FB" w:rsidRPr="000649AA" w:rsidRDefault="004320FB" w:rsidP="00A50A0B">
            <w:pPr>
              <w:pStyle w:val="TableText"/>
            </w:pPr>
            <w:r w:rsidRPr="004320FB">
              <w:t>Patient Search keyboard shortcuts do not work on new patient search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76978887"/>
      <w:r>
        <w:t>User Documentation</w:t>
      </w:r>
      <w:bookmarkEnd w:id="8"/>
    </w:p>
    <w:p w14:paraId="7C7110C2" w14:textId="1F161350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5C7711">
        <w:t>1.7.9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76978888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7844" w14:textId="77777777" w:rsidR="00CD1871" w:rsidRDefault="00CD1871" w:rsidP="00AE1DED">
      <w:pPr>
        <w:spacing w:before="0" w:after="0"/>
      </w:pPr>
      <w:r>
        <w:separator/>
      </w:r>
    </w:p>
  </w:endnote>
  <w:endnote w:type="continuationSeparator" w:id="0">
    <w:p w14:paraId="14BF6A63" w14:textId="77777777" w:rsidR="00CD1871" w:rsidRDefault="00CD1871" w:rsidP="00AE1DED">
      <w:pPr>
        <w:spacing w:before="0" w:after="0"/>
      </w:pPr>
      <w:r>
        <w:continuationSeparator/>
      </w:r>
    </w:p>
  </w:endnote>
  <w:endnote w:type="continuationNotice" w:id="1">
    <w:p w14:paraId="3EBB404C" w14:textId="77777777" w:rsidR="00CD1871" w:rsidRDefault="00CD18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752BA600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proofErr w:type="spellStart"/>
    <w:r w:rsidR="00804BC6">
      <w:t>R</w:t>
    </w:r>
    <w:r w:rsidR="005C7711">
      <w:t>1.7.9</w:t>
    </w:r>
    <w:proofErr w:type="spellEnd"/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747565">
      <w:rPr>
        <w:noProof/>
      </w:rPr>
      <w:t>Ju</w:t>
    </w:r>
    <w:r w:rsidR="00114A7F">
      <w:rPr>
        <w:noProof/>
      </w:rPr>
      <w:t>ly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1A9C" w14:textId="77777777" w:rsidR="00CD1871" w:rsidRDefault="00CD1871" w:rsidP="00AE1DED">
      <w:pPr>
        <w:spacing w:before="0" w:after="0"/>
      </w:pPr>
      <w:r>
        <w:separator/>
      </w:r>
    </w:p>
  </w:footnote>
  <w:footnote w:type="continuationSeparator" w:id="0">
    <w:p w14:paraId="6633858F" w14:textId="77777777" w:rsidR="00CD1871" w:rsidRDefault="00CD1871" w:rsidP="00AE1DED">
      <w:pPr>
        <w:spacing w:before="0" w:after="0"/>
      </w:pPr>
      <w:r>
        <w:continuationSeparator/>
      </w:r>
    </w:p>
  </w:footnote>
  <w:footnote w:type="continuationNotice" w:id="1">
    <w:p w14:paraId="1528715F" w14:textId="77777777" w:rsidR="00CD1871" w:rsidRDefault="00CD18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02BAEEB6" w:rsidR="002A04A0" w:rsidRDefault="002A0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58646806" w:rsidR="002A04A0" w:rsidRDefault="002A0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40BF3757" w:rsidR="002A04A0" w:rsidRDefault="002A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91E8F"/>
    <w:rsid w:val="0009369C"/>
    <w:rsid w:val="00094B02"/>
    <w:rsid w:val="000A2CA0"/>
    <w:rsid w:val="000A2E90"/>
    <w:rsid w:val="000A3B60"/>
    <w:rsid w:val="000A57C9"/>
    <w:rsid w:val="000A74F2"/>
    <w:rsid w:val="000A78C4"/>
    <w:rsid w:val="000B4A0A"/>
    <w:rsid w:val="000B4F9B"/>
    <w:rsid w:val="000C0227"/>
    <w:rsid w:val="000C1942"/>
    <w:rsid w:val="000C2F65"/>
    <w:rsid w:val="000C5C0B"/>
    <w:rsid w:val="000D044A"/>
    <w:rsid w:val="000D08B4"/>
    <w:rsid w:val="000D26BF"/>
    <w:rsid w:val="000D540D"/>
    <w:rsid w:val="000E51E0"/>
    <w:rsid w:val="000E7544"/>
    <w:rsid w:val="000F0234"/>
    <w:rsid w:val="000F4AAE"/>
    <w:rsid w:val="00105215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86FE0"/>
    <w:rsid w:val="002A0108"/>
    <w:rsid w:val="002A04A0"/>
    <w:rsid w:val="002A14EF"/>
    <w:rsid w:val="002A6F40"/>
    <w:rsid w:val="002A717F"/>
    <w:rsid w:val="002B01CB"/>
    <w:rsid w:val="002B0347"/>
    <w:rsid w:val="002B0F8C"/>
    <w:rsid w:val="002B1366"/>
    <w:rsid w:val="002B257A"/>
    <w:rsid w:val="002C1728"/>
    <w:rsid w:val="002C1E29"/>
    <w:rsid w:val="002C5CA8"/>
    <w:rsid w:val="002C69A7"/>
    <w:rsid w:val="002D2F9E"/>
    <w:rsid w:val="002D3545"/>
    <w:rsid w:val="002D3A1E"/>
    <w:rsid w:val="002D6749"/>
    <w:rsid w:val="002E0116"/>
    <w:rsid w:val="002E78B6"/>
    <w:rsid w:val="002F6048"/>
    <w:rsid w:val="003015B6"/>
    <w:rsid w:val="00301A5A"/>
    <w:rsid w:val="003060FD"/>
    <w:rsid w:val="00313E12"/>
    <w:rsid w:val="00314027"/>
    <w:rsid w:val="003146D9"/>
    <w:rsid w:val="00316EAA"/>
    <w:rsid w:val="00317ECA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65913"/>
    <w:rsid w:val="00370063"/>
    <w:rsid w:val="00380A79"/>
    <w:rsid w:val="0038634F"/>
    <w:rsid w:val="00386BCE"/>
    <w:rsid w:val="0039031E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3872"/>
    <w:rsid w:val="003C4205"/>
    <w:rsid w:val="003C432B"/>
    <w:rsid w:val="003C501F"/>
    <w:rsid w:val="003C6430"/>
    <w:rsid w:val="003C72ED"/>
    <w:rsid w:val="003D4E97"/>
    <w:rsid w:val="003D5846"/>
    <w:rsid w:val="003E75AE"/>
    <w:rsid w:val="003F2BEA"/>
    <w:rsid w:val="004006C1"/>
    <w:rsid w:val="00405515"/>
    <w:rsid w:val="00406503"/>
    <w:rsid w:val="00415CFD"/>
    <w:rsid w:val="004200A9"/>
    <w:rsid w:val="004200CF"/>
    <w:rsid w:val="00422B5B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F3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587F"/>
    <w:rsid w:val="0052689F"/>
    <w:rsid w:val="00527062"/>
    <w:rsid w:val="0052773A"/>
    <w:rsid w:val="005343D4"/>
    <w:rsid w:val="005358FD"/>
    <w:rsid w:val="0053633F"/>
    <w:rsid w:val="00545FC3"/>
    <w:rsid w:val="005469E1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E3F01"/>
    <w:rsid w:val="005E5F98"/>
    <w:rsid w:val="005F59BE"/>
    <w:rsid w:val="005F7FB7"/>
    <w:rsid w:val="006024A5"/>
    <w:rsid w:val="00603365"/>
    <w:rsid w:val="00603C69"/>
    <w:rsid w:val="00603E96"/>
    <w:rsid w:val="00603F95"/>
    <w:rsid w:val="00604E87"/>
    <w:rsid w:val="00605BF7"/>
    <w:rsid w:val="00615E52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41BC"/>
    <w:rsid w:val="0073738E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60"/>
    <w:rsid w:val="00776FFB"/>
    <w:rsid w:val="00777B47"/>
    <w:rsid w:val="00787BFB"/>
    <w:rsid w:val="00791856"/>
    <w:rsid w:val="00794697"/>
    <w:rsid w:val="00795963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5565"/>
    <w:rsid w:val="007C7585"/>
    <w:rsid w:val="007D1EC0"/>
    <w:rsid w:val="007D2F51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3B35"/>
    <w:rsid w:val="00804BC6"/>
    <w:rsid w:val="00807F5C"/>
    <w:rsid w:val="008122EF"/>
    <w:rsid w:val="008147D8"/>
    <w:rsid w:val="00816296"/>
    <w:rsid w:val="008218C2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641FA"/>
    <w:rsid w:val="008706D9"/>
    <w:rsid w:val="00872C84"/>
    <w:rsid w:val="00873834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7B61"/>
    <w:rsid w:val="008B21D9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294F"/>
    <w:rsid w:val="00923802"/>
    <w:rsid w:val="00927ECD"/>
    <w:rsid w:val="00931C31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871"/>
    <w:rsid w:val="009B7195"/>
    <w:rsid w:val="009C2964"/>
    <w:rsid w:val="009D402E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13607"/>
    <w:rsid w:val="00A17E50"/>
    <w:rsid w:val="00A2339A"/>
    <w:rsid w:val="00A27DD7"/>
    <w:rsid w:val="00A364F4"/>
    <w:rsid w:val="00A415B9"/>
    <w:rsid w:val="00A42327"/>
    <w:rsid w:val="00A4235B"/>
    <w:rsid w:val="00A50A0B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93A1B"/>
    <w:rsid w:val="00A95F43"/>
    <w:rsid w:val="00AA0F42"/>
    <w:rsid w:val="00AA3EF9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693"/>
    <w:rsid w:val="00BE2C37"/>
    <w:rsid w:val="00BE5844"/>
    <w:rsid w:val="00BF598F"/>
    <w:rsid w:val="00C00722"/>
    <w:rsid w:val="00C00856"/>
    <w:rsid w:val="00C01C0D"/>
    <w:rsid w:val="00C03554"/>
    <w:rsid w:val="00C04E6C"/>
    <w:rsid w:val="00C07801"/>
    <w:rsid w:val="00C12B18"/>
    <w:rsid w:val="00C139E5"/>
    <w:rsid w:val="00C23DEF"/>
    <w:rsid w:val="00C244D9"/>
    <w:rsid w:val="00C26A33"/>
    <w:rsid w:val="00C274B0"/>
    <w:rsid w:val="00C31064"/>
    <w:rsid w:val="00C3134B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709C7"/>
    <w:rsid w:val="00C72793"/>
    <w:rsid w:val="00C7399D"/>
    <w:rsid w:val="00C75D29"/>
    <w:rsid w:val="00C76AC8"/>
    <w:rsid w:val="00C82C68"/>
    <w:rsid w:val="00C930FF"/>
    <w:rsid w:val="00C95A05"/>
    <w:rsid w:val="00CA3527"/>
    <w:rsid w:val="00CA6AAC"/>
    <w:rsid w:val="00CB158C"/>
    <w:rsid w:val="00CB198D"/>
    <w:rsid w:val="00CB3534"/>
    <w:rsid w:val="00CC104B"/>
    <w:rsid w:val="00CC16F4"/>
    <w:rsid w:val="00CC2839"/>
    <w:rsid w:val="00CC3229"/>
    <w:rsid w:val="00CC498E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7DF"/>
    <w:rsid w:val="00D1257F"/>
    <w:rsid w:val="00D167BF"/>
    <w:rsid w:val="00D17CC2"/>
    <w:rsid w:val="00D21624"/>
    <w:rsid w:val="00D25B66"/>
    <w:rsid w:val="00D26AF0"/>
    <w:rsid w:val="00D26F29"/>
    <w:rsid w:val="00D3019A"/>
    <w:rsid w:val="00D326C9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18E0"/>
    <w:rsid w:val="00F121D6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767EE"/>
    <w:rsid w:val="00F80301"/>
    <w:rsid w:val="00F835E5"/>
    <w:rsid w:val="00F87573"/>
    <w:rsid w:val="00F9011E"/>
    <w:rsid w:val="00F9229D"/>
    <w:rsid w:val="00F92E71"/>
    <w:rsid w:val="00F95130"/>
    <w:rsid w:val="00FA71D7"/>
    <w:rsid w:val="00FB2BDA"/>
    <w:rsid w:val="00FB7E83"/>
    <w:rsid w:val="00FC1BD7"/>
    <w:rsid w:val="00FC1EE9"/>
    <w:rsid w:val="00FC3ED9"/>
    <w:rsid w:val="00FC5CE0"/>
    <w:rsid w:val="00FD349C"/>
    <w:rsid w:val="00FD35E4"/>
    <w:rsid w:val="00FD5AB3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6" ma:contentTypeDescription="Create a new document." ma:contentTypeScope="" ma:versionID="f39013474503fc1bb45a6fda035da449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c1485b0125d731b5df0359c3f023bed1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A24A1-CFCC-4513-AAB3-41E5991C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07D5F-4116-429E-B77C-3953A4DA3BA8}">
  <ds:schemaRefs>
    <ds:schemaRef ds:uri="http://schemas.microsoft.com/office/2006/documentManagement/types"/>
    <ds:schemaRef ds:uri="http://www.w3.org/XML/1998/namespace"/>
    <ds:schemaRef ds:uri="c8f569e0-e309-418e-83b4-2c4e8cec07c0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24947b5-cc16-4f4f-9f9c-8a872b84183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1</TotalTime>
  <Pages>5</Pages>
  <Words>708</Words>
  <Characters>4037</Characters>
  <Application>Microsoft Office Word</Application>
  <DocSecurity>0</DocSecurity>
  <Lines>33</Lines>
  <Paragraphs>9</Paragraphs>
  <ScaleCrop>false</ScaleCrop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9 Release Notes</dc:title>
  <dc:subject>VistA Scheduling, VSE</dc:subject>
  <cp:keywords/>
  <dc:description/>
  <cp:lastPrinted>2021-08-04T15:57:00Z</cp:lastPrinted>
  <dcterms:created xsi:type="dcterms:W3CDTF">2021-08-04T15:58:00Z</dcterms:created>
  <dcterms:modified xsi:type="dcterms:W3CDTF">2021-08-04T15:58:00Z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