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23D" w14:textId="33FC8D07" w:rsidR="00971ECA" w:rsidRPr="00147A36" w:rsidRDefault="00971ECA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0" w:name="_Hlk12521581"/>
      <w:bookmarkStart w:id="1" w:name="_Hlk2253732"/>
      <w:bookmarkStart w:id="2" w:name="_Toc205632711"/>
      <w:r w:rsidRPr="00147A36">
        <w:rPr>
          <w:color w:val="000000" w:themeColor="text1"/>
          <w:sz w:val="36"/>
          <w:szCs w:val="36"/>
        </w:rPr>
        <w:t>Community Care (CC) Integrated Billing (IB) and Accounts Receivable (AR</w:t>
      </w:r>
      <w:r w:rsidR="006C3B8A">
        <w:rPr>
          <w:color w:val="000000" w:themeColor="text1"/>
          <w:sz w:val="36"/>
          <w:szCs w:val="36"/>
        </w:rPr>
        <w:t>)</w:t>
      </w:r>
    </w:p>
    <w:p w14:paraId="2D85F2CC" w14:textId="72C1D302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3" w:name="_Hlk12521622"/>
      <w:bookmarkEnd w:id="0"/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8D211E">
        <w:rPr>
          <w:color w:val="000000" w:themeColor="text1"/>
          <w:sz w:val="36"/>
          <w:szCs w:val="36"/>
        </w:rPr>
        <w:t>3</w:t>
      </w:r>
      <w:r w:rsidR="007E3542">
        <w:rPr>
          <w:color w:val="000000" w:themeColor="text1"/>
          <w:sz w:val="36"/>
          <w:szCs w:val="36"/>
        </w:rPr>
        <w:t>90</w:t>
      </w:r>
    </w:p>
    <w:bookmarkEnd w:id="1"/>
    <w:bookmarkEnd w:id="3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3BFD0E60" w:rsidR="005B5C9D" w:rsidRPr="00147A36" w:rsidRDefault="003A18C2" w:rsidP="00147A36">
      <w:pPr>
        <w:pStyle w:val="Title2"/>
        <w:spacing w:before="0" w:after="360"/>
        <w:rPr>
          <w:color w:val="000000" w:themeColor="text1"/>
        </w:rPr>
      </w:pPr>
      <w:bookmarkStart w:id="4" w:name="_Hlk12521677"/>
      <w:r>
        <w:rPr>
          <w:color w:val="000000" w:themeColor="text1"/>
        </w:rPr>
        <w:t>October</w:t>
      </w:r>
      <w:r w:rsidRPr="00147A36">
        <w:rPr>
          <w:color w:val="000000" w:themeColor="text1"/>
        </w:rPr>
        <w:t xml:space="preserve"> </w:t>
      </w:r>
      <w:r w:rsidR="6B933F70" w:rsidRPr="00147A36">
        <w:rPr>
          <w:color w:val="000000" w:themeColor="text1"/>
        </w:rPr>
        <w:t>20</w:t>
      </w:r>
      <w:r w:rsidR="00DD2323">
        <w:rPr>
          <w:color w:val="000000" w:themeColor="text1"/>
        </w:rPr>
        <w:t>2</w:t>
      </w:r>
      <w:r w:rsidR="00171D35">
        <w:rPr>
          <w:color w:val="000000" w:themeColor="text1"/>
        </w:rPr>
        <w:t>1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4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234"/>
        <w:gridCol w:w="2218"/>
      </w:tblGrid>
      <w:tr w:rsidR="00532E46" w:rsidRPr="00F64BE3" w14:paraId="02032AFC" w14:textId="77777777" w:rsidTr="006A7CB0"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64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186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6A7CB0">
        <w:tc>
          <w:tcPr>
            <w:tcW w:w="873" w:type="pct"/>
          </w:tcPr>
          <w:p w14:paraId="0443B0C1" w14:textId="1C92C558" w:rsidR="00532E46" w:rsidRPr="00EF6DA8" w:rsidRDefault="003A18C2" w:rsidP="00EF6DA8">
            <w:pPr>
              <w:pStyle w:val="TableText"/>
            </w:pPr>
            <w:r>
              <w:t>10</w:t>
            </w:r>
            <w:r w:rsidR="00171D35">
              <w:t>/</w:t>
            </w:r>
            <w:r w:rsidR="007E3542">
              <w:t>14</w:t>
            </w:r>
            <w:r w:rsidR="00532E46" w:rsidRPr="00EF6DA8">
              <w:t>/20</w:t>
            </w:r>
            <w:r w:rsidR="005C2D58">
              <w:t>2</w:t>
            </w:r>
            <w:r w:rsidR="00171D35">
              <w:t>1</w:t>
            </w:r>
          </w:p>
        </w:tc>
        <w:tc>
          <w:tcPr>
            <w:tcW w:w="677" w:type="pct"/>
          </w:tcPr>
          <w:p w14:paraId="4B3AA50C" w14:textId="77777777" w:rsidR="00532E46" w:rsidRPr="00EF6DA8" w:rsidRDefault="00532E46" w:rsidP="00EF6DA8">
            <w:pPr>
              <w:pStyle w:val="TableText"/>
            </w:pPr>
            <w:r w:rsidRPr="00EF6DA8">
              <w:t>1.0</w:t>
            </w:r>
          </w:p>
        </w:tc>
        <w:tc>
          <w:tcPr>
            <w:tcW w:w="2264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186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footerReference w:type="default" r:id="rId9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44F26ED1" w14:textId="510717A0" w:rsidR="00B56A3D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5228219" w:history="1">
        <w:r w:rsidR="00B56A3D" w:rsidRPr="0094295A">
          <w:rPr>
            <w:rStyle w:val="Hyperlink"/>
            <w:noProof/>
          </w:rPr>
          <w:t>1.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Introduction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_Toc85228219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1</w:t>
        </w:r>
        <w:r w:rsidR="00B56A3D">
          <w:rPr>
            <w:noProof/>
            <w:webHidden/>
          </w:rPr>
          <w:fldChar w:fldCharType="end"/>
        </w:r>
      </w:hyperlink>
    </w:p>
    <w:p w14:paraId="239232DA" w14:textId="72438A44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0" w:history="1">
        <w:r w:rsidR="00B56A3D" w:rsidRPr="0094295A">
          <w:rPr>
            <w:rStyle w:val="Hyperlink"/>
            <w:noProof/>
          </w:rPr>
          <w:t>1.1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Purpose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_Toc85228220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1</w:t>
        </w:r>
        <w:r w:rsidR="00B56A3D">
          <w:rPr>
            <w:noProof/>
            <w:webHidden/>
          </w:rPr>
          <w:fldChar w:fldCharType="end"/>
        </w:r>
      </w:hyperlink>
    </w:p>
    <w:p w14:paraId="3AB59064" w14:textId="185A177C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1" w:history="1">
        <w:r w:rsidR="00B56A3D" w:rsidRPr="0094295A">
          <w:rPr>
            <w:rStyle w:val="Hyperlink"/>
            <w:noProof/>
          </w:rPr>
          <w:t>1.2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Dependencies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_Toc85228221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1</w:t>
        </w:r>
        <w:r w:rsidR="00B56A3D">
          <w:rPr>
            <w:noProof/>
            <w:webHidden/>
          </w:rPr>
          <w:fldChar w:fldCharType="end"/>
        </w:r>
      </w:hyperlink>
    </w:p>
    <w:p w14:paraId="627112D5" w14:textId="0D4874B2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2" w:history="1">
        <w:r w:rsidR="00B56A3D" w:rsidRPr="0094295A">
          <w:rPr>
            <w:rStyle w:val="Hyperlink"/>
            <w:noProof/>
          </w:rPr>
          <w:t>1.3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Constraints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_Toc85228222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1</w:t>
        </w:r>
        <w:r w:rsidR="00B56A3D">
          <w:rPr>
            <w:noProof/>
            <w:webHidden/>
          </w:rPr>
          <w:fldChar w:fldCharType="end"/>
        </w:r>
      </w:hyperlink>
    </w:p>
    <w:p w14:paraId="26EC72A9" w14:textId="56584A9F" w:rsidR="00B56A3D" w:rsidRDefault="000E62C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3" w:history="1">
        <w:r w:rsidR="00B56A3D" w:rsidRPr="0094295A">
          <w:rPr>
            <w:rStyle w:val="Hyperlink"/>
            <w:noProof/>
          </w:rPr>
          <w:t>2.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Roles and Responsibilities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_Toc85228223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1</w:t>
        </w:r>
        <w:r w:rsidR="00B56A3D">
          <w:rPr>
            <w:noProof/>
            <w:webHidden/>
          </w:rPr>
          <w:fldChar w:fldCharType="end"/>
        </w:r>
      </w:hyperlink>
    </w:p>
    <w:p w14:paraId="57F78BD8" w14:textId="44AE3563" w:rsidR="00B56A3D" w:rsidRDefault="000E62C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4" w:history="1">
        <w:r w:rsidR="00B56A3D" w:rsidRPr="0094295A">
          <w:rPr>
            <w:rStyle w:val="Hyperlink"/>
            <w:noProof/>
          </w:rPr>
          <w:t>3.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Deployment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_Toc85228224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2</w:t>
        </w:r>
        <w:r w:rsidR="00B56A3D">
          <w:rPr>
            <w:noProof/>
            <w:webHidden/>
          </w:rPr>
          <w:fldChar w:fldCharType="end"/>
        </w:r>
      </w:hyperlink>
    </w:p>
    <w:p w14:paraId="4EBCBE20" w14:textId="1629BFEA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5" w:history="1">
        <w:r w:rsidR="00B56A3D" w:rsidRPr="0094295A">
          <w:rPr>
            <w:rStyle w:val="Hyperlink"/>
            <w:noProof/>
          </w:rPr>
          <w:t>3.1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Timeline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_Toc85228225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2</w:t>
        </w:r>
        <w:r w:rsidR="00B56A3D">
          <w:rPr>
            <w:noProof/>
            <w:webHidden/>
          </w:rPr>
          <w:fldChar w:fldCharType="end"/>
        </w:r>
      </w:hyperlink>
    </w:p>
    <w:p w14:paraId="39D6B79A" w14:textId="27654B87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6" w:history="1">
        <w:r w:rsidR="00B56A3D" w:rsidRPr="0094295A">
          <w:rPr>
            <w:rStyle w:val="Hyperlink"/>
            <w:noProof/>
          </w:rPr>
          <w:t>3.2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Site Readiness Assessment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_Toc85228226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2</w:t>
        </w:r>
        <w:r w:rsidR="00B56A3D">
          <w:rPr>
            <w:noProof/>
            <w:webHidden/>
          </w:rPr>
          <w:fldChar w:fldCharType="end"/>
        </w:r>
      </w:hyperlink>
    </w:p>
    <w:p w14:paraId="7D4E70F3" w14:textId="51684933" w:rsidR="00B56A3D" w:rsidRDefault="000E62C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7" w:history="1">
        <w:r w:rsidR="00B56A3D" w:rsidRPr="0094295A">
          <w:rPr>
            <w:rStyle w:val="Hyperlink"/>
            <w:noProof/>
          </w:rPr>
          <w:t>3.2.1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Deployment Topology (Targeted Architecture)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_Toc85228227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2</w:t>
        </w:r>
        <w:r w:rsidR="00B56A3D">
          <w:rPr>
            <w:noProof/>
            <w:webHidden/>
          </w:rPr>
          <w:fldChar w:fldCharType="end"/>
        </w:r>
      </w:hyperlink>
    </w:p>
    <w:p w14:paraId="45500A98" w14:textId="1649A45C" w:rsidR="00B56A3D" w:rsidRDefault="000E62C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8" w:history="1">
        <w:r w:rsidR="00B56A3D" w:rsidRPr="0094295A">
          <w:rPr>
            <w:rStyle w:val="Hyperlink"/>
            <w:noProof/>
          </w:rPr>
          <w:t>3.2.2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Site Information (Locations, Deployment Recipients)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_Toc85228228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2</w:t>
        </w:r>
        <w:r w:rsidR="00B56A3D">
          <w:rPr>
            <w:noProof/>
            <w:webHidden/>
          </w:rPr>
          <w:fldChar w:fldCharType="end"/>
        </w:r>
      </w:hyperlink>
    </w:p>
    <w:p w14:paraId="2AB34DD9" w14:textId="065E1B1F" w:rsidR="00B56A3D" w:rsidRDefault="000E62C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29" w:history="1">
        <w:r w:rsidR="00B56A3D" w:rsidRPr="0094295A">
          <w:rPr>
            <w:rStyle w:val="Hyperlink"/>
            <w:noProof/>
          </w:rPr>
          <w:t>3.2.3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Site Preparation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_Toc85228229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2</w:t>
        </w:r>
        <w:r w:rsidR="00B56A3D">
          <w:rPr>
            <w:noProof/>
            <w:webHidden/>
          </w:rPr>
          <w:fldChar w:fldCharType="end"/>
        </w:r>
      </w:hyperlink>
    </w:p>
    <w:p w14:paraId="3BBE5580" w14:textId="067AE272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0" w:history="1">
        <w:r w:rsidR="00B56A3D" w:rsidRPr="0094295A">
          <w:rPr>
            <w:rStyle w:val="Hyperlink"/>
            <w:noProof/>
          </w:rPr>
          <w:t>3.3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Resources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_Toc85228230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3</w:t>
        </w:r>
        <w:r w:rsidR="00B56A3D">
          <w:rPr>
            <w:noProof/>
            <w:webHidden/>
          </w:rPr>
          <w:fldChar w:fldCharType="end"/>
        </w:r>
      </w:hyperlink>
    </w:p>
    <w:p w14:paraId="0FE2D6E9" w14:textId="7F5041EF" w:rsidR="00B56A3D" w:rsidRDefault="000E62C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1" w:history="1">
        <w:r w:rsidR="00B56A3D" w:rsidRPr="0094295A">
          <w:rPr>
            <w:rStyle w:val="Hyperlink"/>
            <w:noProof/>
          </w:rPr>
          <w:t>3.3.1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Hardware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_Toc85228231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3</w:t>
        </w:r>
        <w:r w:rsidR="00B56A3D">
          <w:rPr>
            <w:noProof/>
            <w:webHidden/>
          </w:rPr>
          <w:fldChar w:fldCharType="end"/>
        </w:r>
      </w:hyperlink>
    </w:p>
    <w:p w14:paraId="0C5B6018" w14:textId="54A10649" w:rsidR="00B56A3D" w:rsidRDefault="000E62C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2" w:history="1">
        <w:r w:rsidR="00B56A3D" w:rsidRPr="0094295A">
          <w:rPr>
            <w:rStyle w:val="Hyperlink"/>
            <w:noProof/>
          </w:rPr>
          <w:t>3.3.2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Software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_Toc85228232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3</w:t>
        </w:r>
        <w:r w:rsidR="00B56A3D">
          <w:rPr>
            <w:noProof/>
            <w:webHidden/>
          </w:rPr>
          <w:fldChar w:fldCharType="end"/>
        </w:r>
      </w:hyperlink>
    </w:p>
    <w:p w14:paraId="28823C15" w14:textId="0385EDEC" w:rsidR="00B56A3D" w:rsidRDefault="000E62C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3" w:history="1">
        <w:r w:rsidR="00B56A3D" w:rsidRPr="0094295A">
          <w:rPr>
            <w:rStyle w:val="Hyperlink"/>
            <w:noProof/>
          </w:rPr>
          <w:t>3.3.3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Communications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_Toc85228233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3</w:t>
        </w:r>
        <w:r w:rsidR="00B56A3D">
          <w:rPr>
            <w:noProof/>
            <w:webHidden/>
          </w:rPr>
          <w:fldChar w:fldCharType="end"/>
        </w:r>
      </w:hyperlink>
    </w:p>
    <w:p w14:paraId="2747B06C" w14:textId="37B5FBED" w:rsidR="00B56A3D" w:rsidRDefault="000E62CA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5228234" w:history="1">
        <w:r w:rsidR="00B56A3D" w:rsidRPr="0094295A">
          <w:rPr>
            <w:rStyle w:val="Hyperlink"/>
            <w:noProof/>
          </w:rPr>
          <w:t>3.3.3.1</w:t>
        </w:r>
        <w:r w:rsidR="00B56A3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56A3D" w:rsidRPr="0094295A">
          <w:rPr>
            <w:rStyle w:val="Hyperlink"/>
            <w:noProof/>
          </w:rPr>
          <w:t>Deployment/Installation/Back-Out Checklist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_Toc85228234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3</w:t>
        </w:r>
        <w:r w:rsidR="00B56A3D">
          <w:rPr>
            <w:noProof/>
            <w:webHidden/>
          </w:rPr>
          <w:fldChar w:fldCharType="end"/>
        </w:r>
      </w:hyperlink>
    </w:p>
    <w:p w14:paraId="0447DAF5" w14:textId="665C78BB" w:rsidR="00B56A3D" w:rsidRDefault="000E62C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5" w:history="1">
        <w:r w:rsidR="00B56A3D" w:rsidRPr="0094295A">
          <w:rPr>
            <w:rStyle w:val="Hyperlink"/>
            <w:noProof/>
          </w:rPr>
          <w:t>4.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Installation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_Toc85228235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4</w:t>
        </w:r>
        <w:r w:rsidR="00B56A3D">
          <w:rPr>
            <w:noProof/>
            <w:webHidden/>
          </w:rPr>
          <w:fldChar w:fldCharType="end"/>
        </w:r>
      </w:hyperlink>
    </w:p>
    <w:p w14:paraId="53A79390" w14:textId="7AFADE41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6" w:history="1">
        <w:r w:rsidR="00B56A3D" w:rsidRPr="0094295A">
          <w:rPr>
            <w:rStyle w:val="Hyperlink"/>
            <w:noProof/>
          </w:rPr>
          <w:t>4.1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Pre-installation and System Requirements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_Toc85228236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4</w:t>
        </w:r>
        <w:r w:rsidR="00B56A3D">
          <w:rPr>
            <w:noProof/>
            <w:webHidden/>
          </w:rPr>
          <w:fldChar w:fldCharType="end"/>
        </w:r>
      </w:hyperlink>
    </w:p>
    <w:p w14:paraId="5ED4DBBE" w14:textId="6E40BD21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7" w:history="1">
        <w:r w:rsidR="00B56A3D" w:rsidRPr="0094295A">
          <w:rPr>
            <w:rStyle w:val="Hyperlink"/>
            <w:noProof/>
          </w:rPr>
          <w:t>4.2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Platform Installation and Preparation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_Toc85228237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4</w:t>
        </w:r>
        <w:r w:rsidR="00B56A3D">
          <w:rPr>
            <w:noProof/>
            <w:webHidden/>
          </w:rPr>
          <w:fldChar w:fldCharType="end"/>
        </w:r>
      </w:hyperlink>
    </w:p>
    <w:p w14:paraId="26FEFF76" w14:textId="1004F439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8" w:history="1">
        <w:r w:rsidR="00B56A3D" w:rsidRPr="0094295A">
          <w:rPr>
            <w:rStyle w:val="Hyperlink"/>
            <w:noProof/>
          </w:rPr>
          <w:t>4.3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Download and Extract Files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_Toc85228238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4</w:t>
        </w:r>
        <w:r w:rsidR="00B56A3D">
          <w:rPr>
            <w:noProof/>
            <w:webHidden/>
          </w:rPr>
          <w:fldChar w:fldCharType="end"/>
        </w:r>
      </w:hyperlink>
    </w:p>
    <w:p w14:paraId="1F9B19E0" w14:textId="48084AFE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39" w:history="1">
        <w:r w:rsidR="00B56A3D" w:rsidRPr="0094295A">
          <w:rPr>
            <w:rStyle w:val="Hyperlink"/>
            <w:noProof/>
          </w:rPr>
          <w:t>4.4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Database Creation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_Toc85228239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4</w:t>
        </w:r>
        <w:r w:rsidR="00B56A3D">
          <w:rPr>
            <w:noProof/>
            <w:webHidden/>
          </w:rPr>
          <w:fldChar w:fldCharType="end"/>
        </w:r>
      </w:hyperlink>
    </w:p>
    <w:p w14:paraId="1C3C6F35" w14:textId="781AD016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0" w:history="1">
        <w:r w:rsidR="00B56A3D" w:rsidRPr="0094295A">
          <w:rPr>
            <w:rStyle w:val="Hyperlink"/>
            <w:noProof/>
          </w:rPr>
          <w:t>4.5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Installation Scripts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_Toc85228240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4</w:t>
        </w:r>
        <w:r w:rsidR="00B56A3D">
          <w:rPr>
            <w:noProof/>
            <w:webHidden/>
          </w:rPr>
          <w:fldChar w:fldCharType="end"/>
        </w:r>
      </w:hyperlink>
    </w:p>
    <w:p w14:paraId="55830D02" w14:textId="47D3D1FF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1" w:history="1">
        <w:r w:rsidR="00B56A3D" w:rsidRPr="0094295A">
          <w:rPr>
            <w:rStyle w:val="Hyperlink"/>
            <w:noProof/>
          </w:rPr>
          <w:t>4.6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Cron Scripts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_Toc85228241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4</w:t>
        </w:r>
        <w:r w:rsidR="00B56A3D">
          <w:rPr>
            <w:noProof/>
            <w:webHidden/>
          </w:rPr>
          <w:fldChar w:fldCharType="end"/>
        </w:r>
      </w:hyperlink>
    </w:p>
    <w:p w14:paraId="1F96EDE1" w14:textId="5AAE8E22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2" w:history="1">
        <w:r w:rsidR="00B56A3D" w:rsidRPr="0094295A">
          <w:rPr>
            <w:rStyle w:val="Hyperlink"/>
            <w:noProof/>
          </w:rPr>
          <w:t>4.7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Access Requirements and Skills Needed for the Installation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_Toc85228242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4</w:t>
        </w:r>
        <w:r w:rsidR="00B56A3D">
          <w:rPr>
            <w:noProof/>
            <w:webHidden/>
          </w:rPr>
          <w:fldChar w:fldCharType="end"/>
        </w:r>
      </w:hyperlink>
    </w:p>
    <w:p w14:paraId="7C3096A5" w14:textId="1818C47C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3" w:history="1">
        <w:r w:rsidR="00B56A3D" w:rsidRPr="0094295A">
          <w:rPr>
            <w:rStyle w:val="Hyperlink"/>
            <w:noProof/>
          </w:rPr>
          <w:t>4.8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Installation Procedure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_Toc85228243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5</w:t>
        </w:r>
        <w:r w:rsidR="00B56A3D">
          <w:rPr>
            <w:noProof/>
            <w:webHidden/>
          </w:rPr>
          <w:fldChar w:fldCharType="end"/>
        </w:r>
      </w:hyperlink>
    </w:p>
    <w:p w14:paraId="6F1023D6" w14:textId="59874C08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4" w:history="1">
        <w:r w:rsidR="00B56A3D" w:rsidRPr="0094295A">
          <w:rPr>
            <w:rStyle w:val="Hyperlink"/>
            <w:noProof/>
          </w:rPr>
          <w:t>4.9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Installation Verification Procedure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_Toc85228244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6</w:t>
        </w:r>
        <w:r w:rsidR="00B56A3D">
          <w:rPr>
            <w:noProof/>
            <w:webHidden/>
          </w:rPr>
          <w:fldChar w:fldCharType="end"/>
        </w:r>
      </w:hyperlink>
    </w:p>
    <w:p w14:paraId="593BB829" w14:textId="559800CF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5" w:history="1">
        <w:r w:rsidR="00B56A3D" w:rsidRPr="0094295A">
          <w:rPr>
            <w:rStyle w:val="Hyperlink"/>
            <w:noProof/>
          </w:rPr>
          <w:t>4.10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System Configuration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_Toc85228245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6</w:t>
        </w:r>
        <w:r w:rsidR="00B56A3D">
          <w:rPr>
            <w:noProof/>
            <w:webHidden/>
          </w:rPr>
          <w:fldChar w:fldCharType="end"/>
        </w:r>
      </w:hyperlink>
    </w:p>
    <w:p w14:paraId="6314DAA1" w14:textId="7486DA86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6" w:history="1">
        <w:r w:rsidR="00B56A3D" w:rsidRPr="0094295A">
          <w:rPr>
            <w:rStyle w:val="Hyperlink"/>
            <w:noProof/>
          </w:rPr>
          <w:t>4.11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Database Tuning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_Toc85228246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6</w:t>
        </w:r>
        <w:r w:rsidR="00B56A3D">
          <w:rPr>
            <w:noProof/>
            <w:webHidden/>
          </w:rPr>
          <w:fldChar w:fldCharType="end"/>
        </w:r>
      </w:hyperlink>
    </w:p>
    <w:p w14:paraId="3214353F" w14:textId="7473FE2D" w:rsidR="00B56A3D" w:rsidRDefault="000E62C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7" w:history="1">
        <w:r w:rsidR="00B56A3D" w:rsidRPr="0094295A">
          <w:rPr>
            <w:rStyle w:val="Hyperlink"/>
            <w:noProof/>
          </w:rPr>
          <w:t>5.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Back-Out Procedure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_Toc85228247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6</w:t>
        </w:r>
        <w:r w:rsidR="00B56A3D">
          <w:rPr>
            <w:noProof/>
            <w:webHidden/>
          </w:rPr>
          <w:fldChar w:fldCharType="end"/>
        </w:r>
      </w:hyperlink>
    </w:p>
    <w:p w14:paraId="4C4B74CC" w14:textId="4865995F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8" w:history="1">
        <w:r w:rsidR="00B56A3D" w:rsidRPr="0094295A">
          <w:rPr>
            <w:rStyle w:val="Hyperlink"/>
            <w:noProof/>
          </w:rPr>
          <w:t>5.1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Back-Out Strategy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_Toc85228248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6</w:t>
        </w:r>
        <w:r w:rsidR="00B56A3D">
          <w:rPr>
            <w:noProof/>
            <w:webHidden/>
          </w:rPr>
          <w:fldChar w:fldCharType="end"/>
        </w:r>
      </w:hyperlink>
    </w:p>
    <w:p w14:paraId="05CC97D2" w14:textId="1529202C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49" w:history="1">
        <w:r w:rsidR="00B56A3D" w:rsidRPr="0094295A">
          <w:rPr>
            <w:rStyle w:val="Hyperlink"/>
            <w:noProof/>
          </w:rPr>
          <w:t>5.2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Back-Out Considerations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_Toc85228249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6</w:t>
        </w:r>
        <w:r w:rsidR="00B56A3D">
          <w:rPr>
            <w:noProof/>
            <w:webHidden/>
          </w:rPr>
          <w:fldChar w:fldCharType="end"/>
        </w:r>
      </w:hyperlink>
    </w:p>
    <w:p w14:paraId="14E9015F" w14:textId="15FD590A" w:rsidR="00B56A3D" w:rsidRDefault="000E62C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0" w:history="1">
        <w:r w:rsidR="00B56A3D" w:rsidRPr="0094295A">
          <w:rPr>
            <w:rStyle w:val="Hyperlink"/>
            <w:noProof/>
          </w:rPr>
          <w:t>5.2.1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Load Testing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_Toc85228250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7</w:t>
        </w:r>
        <w:r w:rsidR="00B56A3D">
          <w:rPr>
            <w:noProof/>
            <w:webHidden/>
          </w:rPr>
          <w:fldChar w:fldCharType="end"/>
        </w:r>
      </w:hyperlink>
    </w:p>
    <w:p w14:paraId="49E66830" w14:textId="6B09455B" w:rsidR="00B56A3D" w:rsidRDefault="000E62C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1" w:history="1">
        <w:r w:rsidR="00B56A3D" w:rsidRPr="0094295A">
          <w:rPr>
            <w:rStyle w:val="Hyperlink"/>
            <w:noProof/>
          </w:rPr>
          <w:t>5.2.2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User Acceptance Testing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_Toc85228251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7</w:t>
        </w:r>
        <w:r w:rsidR="00B56A3D">
          <w:rPr>
            <w:noProof/>
            <w:webHidden/>
          </w:rPr>
          <w:fldChar w:fldCharType="end"/>
        </w:r>
      </w:hyperlink>
    </w:p>
    <w:p w14:paraId="2737C8A3" w14:textId="2690D69C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2" w:history="1">
        <w:r w:rsidR="00B56A3D" w:rsidRPr="0094295A">
          <w:rPr>
            <w:rStyle w:val="Hyperlink"/>
            <w:noProof/>
          </w:rPr>
          <w:t>5.3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Back-Out Criteria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_Toc85228252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7</w:t>
        </w:r>
        <w:r w:rsidR="00B56A3D">
          <w:rPr>
            <w:noProof/>
            <w:webHidden/>
          </w:rPr>
          <w:fldChar w:fldCharType="end"/>
        </w:r>
      </w:hyperlink>
    </w:p>
    <w:p w14:paraId="2218EED5" w14:textId="305F3BE6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3" w:history="1">
        <w:r w:rsidR="00B56A3D" w:rsidRPr="0094295A">
          <w:rPr>
            <w:rStyle w:val="Hyperlink"/>
            <w:noProof/>
          </w:rPr>
          <w:t>5.4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Back-Out Risks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_Toc85228253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7</w:t>
        </w:r>
        <w:r w:rsidR="00B56A3D">
          <w:rPr>
            <w:noProof/>
            <w:webHidden/>
          </w:rPr>
          <w:fldChar w:fldCharType="end"/>
        </w:r>
      </w:hyperlink>
    </w:p>
    <w:p w14:paraId="318F1E26" w14:textId="6DEFAEA8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4" w:history="1">
        <w:r w:rsidR="00B56A3D" w:rsidRPr="0094295A">
          <w:rPr>
            <w:rStyle w:val="Hyperlink"/>
            <w:noProof/>
          </w:rPr>
          <w:t>5.5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Authority for Back-Out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_Toc85228254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7</w:t>
        </w:r>
        <w:r w:rsidR="00B56A3D">
          <w:rPr>
            <w:noProof/>
            <w:webHidden/>
          </w:rPr>
          <w:fldChar w:fldCharType="end"/>
        </w:r>
      </w:hyperlink>
    </w:p>
    <w:p w14:paraId="5A845731" w14:textId="76A4B206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5" w:history="1">
        <w:r w:rsidR="00B56A3D" w:rsidRPr="0094295A">
          <w:rPr>
            <w:rStyle w:val="Hyperlink"/>
            <w:noProof/>
          </w:rPr>
          <w:t>5.6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Back-Out Procedure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_Toc85228255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7</w:t>
        </w:r>
        <w:r w:rsidR="00B56A3D">
          <w:rPr>
            <w:noProof/>
            <w:webHidden/>
          </w:rPr>
          <w:fldChar w:fldCharType="end"/>
        </w:r>
      </w:hyperlink>
    </w:p>
    <w:p w14:paraId="2211E644" w14:textId="301571DC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6" w:history="1">
        <w:r w:rsidR="00B56A3D" w:rsidRPr="0094295A">
          <w:rPr>
            <w:rStyle w:val="Hyperlink"/>
            <w:noProof/>
          </w:rPr>
          <w:t>5.7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Back-out Verification Procedure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_Toc85228256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8</w:t>
        </w:r>
        <w:r w:rsidR="00B56A3D">
          <w:rPr>
            <w:noProof/>
            <w:webHidden/>
          </w:rPr>
          <w:fldChar w:fldCharType="end"/>
        </w:r>
      </w:hyperlink>
    </w:p>
    <w:p w14:paraId="23BB9506" w14:textId="086DD047" w:rsidR="00B56A3D" w:rsidRDefault="000E62C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7" w:history="1">
        <w:r w:rsidR="00B56A3D" w:rsidRPr="0094295A">
          <w:rPr>
            <w:rStyle w:val="Hyperlink"/>
            <w:noProof/>
          </w:rPr>
          <w:t>6.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Rollback Procedure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_Toc85228257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8</w:t>
        </w:r>
        <w:r w:rsidR="00B56A3D">
          <w:rPr>
            <w:noProof/>
            <w:webHidden/>
          </w:rPr>
          <w:fldChar w:fldCharType="end"/>
        </w:r>
      </w:hyperlink>
    </w:p>
    <w:p w14:paraId="6E50C43E" w14:textId="6C0E8B7C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8" w:history="1">
        <w:r w:rsidR="00B56A3D" w:rsidRPr="0094295A">
          <w:rPr>
            <w:rStyle w:val="Hyperlink"/>
            <w:noProof/>
          </w:rPr>
          <w:t>6.1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Rollback Considerations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_Toc85228258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8</w:t>
        </w:r>
        <w:r w:rsidR="00B56A3D">
          <w:rPr>
            <w:noProof/>
            <w:webHidden/>
          </w:rPr>
          <w:fldChar w:fldCharType="end"/>
        </w:r>
      </w:hyperlink>
    </w:p>
    <w:p w14:paraId="2B858027" w14:textId="35DECB5C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59" w:history="1">
        <w:r w:rsidR="00B56A3D" w:rsidRPr="0094295A">
          <w:rPr>
            <w:rStyle w:val="Hyperlink"/>
            <w:noProof/>
          </w:rPr>
          <w:t>6.2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Rollback Criteria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_Toc85228259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8</w:t>
        </w:r>
        <w:r w:rsidR="00B56A3D">
          <w:rPr>
            <w:noProof/>
            <w:webHidden/>
          </w:rPr>
          <w:fldChar w:fldCharType="end"/>
        </w:r>
      </w:hyperlink>
    </w:p>
    <w:p w14:paraId="3B9214EF" w14:textId="0341E617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60" w:history="1">
        <w:r w:rsidR="00B56A3D" w:rsidRPr="0094295A">
          <w:rPr>
            <w:rStyle w:val="Hyperlink"/>
            <w:noProof/>
          </w:rPr>
          <w:t>6.3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Rollback Risks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_Toc85228260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8</w:t>
        </w:r>
        <w:r w:rsidR="00B56A3D">
          <w:rPr>
            <w:noProof/>
            <w:webHidden/>
          </w:rPr>
          <w:fldChar w:fldCharType="end"/>
        </w:r>
      </w:hyperlink>
    </w:p>
    <w:p w14:paraId="6E39FA93" w14:textId="19AA2ED7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61" w:history="1">
        <w:r w:rsidR="00B56A3D" w:rsidRPr="0094295A">
          <w:rPr>
            <w:rStyle w:val="Hyperlink"/>
            <w:noProof/>
          </w:rPr>
          <w:t>6.4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Authority for Rollback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_Toc85228261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8</w:t>
        </w:r>
        <w:r w:rsidR="00B56A3D">
          <w:rPr>
            <w:noProof/>
            <w:webHidden/>
          </w:rPr>
          <w:fldChar w:fldCharType="end"/>
        </w:r>
      </w:hyperlink>
    </w:p>
    <w:p w14:paraId="414ECCDE" w14:textId="2E30B671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62" w:history="1">
        <w:r w:rsidR="00B56A3D" w:rsidRPr="0094295A">
          <w:rPr>
            <w:rStyle w:val="Hyperlink"/>
            <w:noProof/>
          </w:rPr>
          <w:t>6.5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Rollback Procedure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_Toc85228262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8</w:t>
        </w:r>
        <w:r w:rsidR="00B56A3D">
          <w:rPr>
            <w:noProof/>
            <w:webHidden/>
          </w:rPr>
          <w:fldChar w:fldCharType="end"/>
        </w:r>
      </w:hyperlink>
    </w:p>
    <w:p w14:paraId="0716370B" w14:textId="3DCEEAD3" w:rsidR="00B56A3D" w:rsidRDefault="000E62C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5228263" w:history="1">
        <w:r w:rsidR="00B56A3D" w:rsidRPr="0094295A">
          <w:rPr>
            <w:rStyle w:val="Hyperlink"/>
            <w:rFonts w:eastAsia="Calibri"/>
            <w:noProof/>
          </w:rPr>
          <w:t>6.6</w:t>
        </w:r>
        <w:r w:rsidR="00B56A3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56A3D" w:rsidRPr="0094295A">
          <w:rPr>
            <w:rStyle w:val="Hyperlink"/>
            <w:noProof/>
          </w:rPr>
          <w:t>Rollback Verification Procedure</w:t>
        </w:r>
        <w:r w:rsidR="00B56A3D">
          <w:rPr>
            <w:noProof/>
            <w:webHidden/>
          </w:rPr>
          <w:tab/>
        </w:r>
        <w:r w:rsidR="00B56A3D">
          <w:rPr>
            <w:noProof/>
            <w:webHidden/>
          </w:rPr>
          <w:fldChar w:fldCharType="begin"/>
        </w:r>
        <w:r w:rsidR="00B56A3D">
          <w:rPr>
            <w:noProof/>
            <w:webHidden/>
          </w:rPr>
          <w:instrText xml:space="preserve"> PAGEREF _Toc85228263 \h </w:instrText>
        </w:r>
        <w:r w:rsidR="00B56A3D">
          <w:rPr>
            <w:noProof/>
            <w:webHidden/>
          </w:rPr>
        </w:r>
        <w:r w:rsidR="00B56A3D">
          <w:rPr>
            <w:noProof/>
            <w:webHidden/>
          </w:rPr>
          <w:fldChar w:fldCharType="separate"/>
        </w:r>
        <w:r w:rsidR="00B56A3D">
          <w:rPr>
            <w:noProof/>
            <w:webHidden/>
          </w:rPr>
          <w:t>8</w:t>
        </w:r>
        <w:r w:rsidR="00B56A3D">
          <w:rPr>
            <w:noProof/>
            <w:webHidden/>
          </w:rPr>
          <w:fldChar w:fldCharType="end"/>
        </w:r>
      </w:hyperlink>
    </w:p>
    <w:p w14:paraId="4B94D5A5" w14:textId="7A4A6507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5" w:name="_Toc421540852"/>
      <w:bookmarkStart w:id="6" w:name="_Toc85228219"/>
      <w:bookmarkEnd w:id="2"/>
      <w:r w:rsidRPr="00270788">
        <w:lastRenderedPageBreak/>
        <w:t>Introduction</w:t>
      </w:r>
      <w:bookmarkEnd w:id="5"/>
      <w:bookmarkEnd w:id="6"/>
    </w:p>
    <w:p w14:paraId="4ED43E62" w14:textId="116F04E2" w:rsidR="005B5C9D" w:rsidRPr="00532E46" w:rsidRDefault="005B5C9D" w:rsidP="00532E46">
      <w:pPr>
        <w:pStyle w:val="BodyText"/>
      </w:pPr>
      <w:bookmarkStart w:id="7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proofErr w:type="gramStart"/>
      <w:r w:rsidR="000410E9" w:rsidRPr="00532E46">
        <w:t>Enhancements</w:t>
      </w:r>
      <w:proofErr w:type="gramEnd"/>
      <w:r w:rsidR="000410E9" w:rsidRPr="00532E46">
        <w:t xml:space="preserve"> </w:t>
      </w:r>
      <w:r w:rsidRPr="00532E46">
        <w:t xml:space="preserve">patch </w:t>
      </w:r>
      <w:r w:rsidR="00E065E9">
        <w:t>PRCA*4.5*</w:t>
      </w:r>
      <w:r w:rsidR="008D211E">
        <w:t>3</w:t>
      </w:r>
      <w:r w:rsidR="007E3542">
        <w:t>90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8" w:name="_Toc411336914"/>
      <w:bookmarkStart w:id="9" w:name="_Toc421540853"/>
      <w:bookmarkStart w:id="10" w:name="_Toc85228220"/>
      <w:bookmarkEnd w:id="7"/>
      <w:r w:rsidRPr="00270788">
        <w:t>Purpose</w:t>
      </w:r>
      <w:bookmarkEnd w:id="8"/>
      <w:bookmarkEnd w:id="9"/>
      <w:bookmarkEnd w:id="10"/>
    </w:p>
    <w:p w14:paraId="04AF6570" w14:textId="05BA9B90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PRCA*4.5*3</w:t>
      </w:r>
      <w:r w:rsidR="007E3542">
        <w:t>90</w:t>
      </w:r>
      <w:r w:rsidR="00E065E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1" w:name="_Toc411336918"/>
      <w:bookmarkStart w:id="12" w:name="_Toc421540857"/>
      <w:bookmarkStart w:id="13" w:name="_Toc85228221"/>
      <w:r w:rsidRPr="00F07689">
        <w:t>Dependencies</w:t>
      </w:r>
      <w:bookmarkEnd w:id="11"/>
      <w:bookmarkEnd w:id="12"/>
      <w:bookmarkEnd w:id="13"/>
    </w:p>
    <w:p w14:paraId="1416543A" w14:textId="0728CC3D" w:rsidR="008D55F7" w:rsidRDefault="00E91549" w:rsidP="008D55F7">
      <w:pPr>
        <w:pStyle w:val="BodyText"/>
      </w:pPr>
      <w:bookmarkStart w:id="14" w:name="_Toc411336919"/>
      <w:bookmarkStart w:id="15" w:name="_Toc421540858"/>
      <w:r>
        <w:t xml:space="preserve">Patch </w:t>
      </w:r>
      <w:r w:rsidRPr="007E3542">
        <w:t>PRCA*4.5*381</w:t>
      </w:r>
      <w:r>
        <w:t xml:space="preserve"> </w:t>
      </w:r>
      <w:r w:rsidR="008C2827" w:rsidRPr="6B933F70">
        <w:t xml:space="preserve">must be installed prior to installing </w:t>
      </w:r>
      <w:r w:rsidR="00E065E9">
        <w:t>PRCA*4.5*3</w:t>
      </w:r>
      <w:r w:rsidR="007E3542">
        <w:t>90</w:t>
      </w:r>
      <w:r>
        <w:t>.</w:t>
      </w:r>
    </w:p>
    <w:p w14:paraId="1F99E8F4" w14:textId="0F8B5355" w:rsidR="00F07689" w:rsidRPr="00F07689" w:rsidRDefault="00F07689" w:rsidP="00CA3C82">
      <w:pPr>
        <w:pStyle w:val="Heading2"/>
      </w:pPr>
      <w:bookmarkStart w:id="16" w:name="_Toc60655696"/>
      <w:bookmarkStart w:id="17" w:name="_Toc60655697"/>
      <w:bookmarkStart w:id="18" w:name="_Toc85228222"/>
      <w:bookmarkEnd w:id="16"/>
      <w:bookmarkEnd w:id="17"/>
      <w:r w:rsidRPr="00F07689">
        <w:t>Constraints</w:t>
      </w:r>
      <w:bookmarkEnd w:id="14"/>
      <w:bookmarkEnd w:id="15"/>
      <w:bookmarkEnd w:id="18"/>
    </w:p>
    <w:p w14:paraId="45045CF6" w14:textId="4A3B8640" w:rsidR="00936E68" w:rsidRDefault="00936E68" w:rsidP="00532E46">
      <w:pPr>
        <w:pStyle w:val="BodyText"/>
      </w:pPr>
      <w:bookmarkStart w:id="19" w:name="_Toc411336920"/>
      <w:bookmarkStart w:id="20" w:name="_Toc421540859"/>
      <w:bookmarkStart w:id="21" w:name="_Ref444173896"/>
      <w:bookmarkStart w:id="22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3" w:name="_Toc85228223"/>
      <w:r w:rsidRPr="00F07689">
        <w:t>Roles and Responsibilities</w:t>
      </w:r>
      <w:bookmarkEnd w:id="19"/>
      <w:bookmarkEnd w:id="20"/>
      <w:bookmarkEnd w:id="21"/>
      <w:bookmarkEnd w:id="22"/>
      <w:bookmarkEnd w:id="23"/>
    </w:p>
    <w:p w14:paraId="4CD1D150" w14:textId="163F10DB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B56A3D" w:rsidRPr="00CA3C82">
        <w:t xml:space="preserve">Table </w:t>
      </w:r>
      <w:r w:rsidR="00B56A3D">
        <w:rPr>
          <w:noProof/>
        </w:rPr>
        <w:t>1</w:t>
      </w:r>
      <w:r>
        <w:fldChar w:fldCharType="end"/>
      </w:r>
      <w:r>
        <w:t>.</w:t>
      </w:r>
    </w:p>
    <w:p w14:paraId="6059EA23" w14:textId="75C69357" w:rsidR="00F07689" w:rsidRPr="00CA3C82" w:rsidRDefault="00F07689" w:rsidP="00BD4706">
      <w:pPr>
        <w:pStyle w:val="Caption"/>
      </w:pPr>
      <w:bookmarkStart w:id="24" w:name="_Ref12518168"/>
      <w:bookmarkStart w:id="25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B56A3D">
        <w:rPr>
          <w:noProof/>
        </w:rPr>
        <w:t>1</w:t>
      </w:r>
      <w:r w:rsidR="000762C2">
        <w:rPr>
          <w:noProof/>
        </w:rPr>
        <w:fldChar w:fldCharType="end"/>
      </w:r>
      <w:bookmarkEnd w:id="24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5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6A7CB0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6" w:name="ColumnTitle_03"/>
            <w:bookmarkEnd w:id="26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6A7CB0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6A7CB0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6A7CB0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6A7CB0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6A7CB0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6A7CB0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6A7CB0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6A7CB0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6A7CB0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6D17C73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7" w:name="_Toc85228224"/>
      <w:bookmarkStart w:id="28" w:name="_Toc421540860"/>
      <w:r>
        <w:t>Deployment</w:t>
      </w:r>
      <w:bookmarkEnd w:id="27"/>
      <w:r>
        <w:t xml:space="preserve"> </w:t>
      </w:r>
      <w:bookmarkEnd w:id="28"/>
    </w:p>
    <w:p w14:paraId="4ADBF70A" w14:textId="29923469" w:rsidR="005B5C9D" w:rsidRPr="00CA3C82" w:rsidRDefault="005B5C9D" w:rsidP="00CA3C82">
      <w:pPr>
        <w:pStyle w:val="BodyText"/>
      </w:pPr>
      <w:bookmarkStart w:id="29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30" w:name="_Toc85228225"/>
      <w:r w:rsidRPr="00F07689">
        <w:t>Timeline</w:t>
      </w:r>
      <w:bookmarkEnd w:id="29"/>
      <w:bookmarkEnd w:id="30"/>
      <w:r w:rsidRPr="00F07689">
        <w:t xml:space="preserve"> </w:t>
      </w:r>
    </w:p>
    <w:p w14:paraId="085A3A70" w14:textId="568FE6C5" w:rsidR="005B5C9D" w:rsidRPr="00F07689" w:rsidRDefault="005B5C9D" w:rsidP="00CA3C82">
      <w:pPr>
        <w:pStyle w:val="BodyText"/>
      </w:pPr>
      <w:bookmarkStart w:id="31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E362F3">
        <w:t>five</w:t>
      </w:r>
      <w:r>
        <w:t xml:space="preserve"> 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2" w:name="_Toc85228226"/>
      <w:r w:rsidRPr="00F07689">
        <w:t>Site Readiness Assessment</w:t>
      </w:r>
      <w:bookmarkEnd w:id="31"/>
      <w:bookmarkEnd w:id="32"/>
      <w:r w:rsidRPr="00F07689">
        <w:t xml:space="preserve"> </w:t>
      </w:r>
    </w:p>
    <w:p w14:paraId="7204493A" w14:textId="12ED264A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PRCA*4.5*3</w:t>
      </w:r>
      <w:r w:rsidR="007E3542">
        <w:t>90</w:t>
      </w:r>
      <w:r w:rsidR="00E065E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3" w:name="_Toc421540863"/>
      <w:bookmarkStart w:id="34" w:name="_Toc85228227"/>
      <w:r w:rsidRPr="00F07689">
        <w:t>Deployment Topology (Targeted Architecture)</w:t>
      </w:r>
      <w:bookmarkEnd w:id="33"/>
      <w:bookmarkEnd w:id="34"/>
    </w:p>
    <w:p w14:paraId="6133D957" w14:textId="2EA2A798" w:rsidR="005B5C9D" w:rsidRPr="005C6615" w:rsidRDefault="00422BD4" w:rsidP="00270788">
      <w:pPr>
        <w:pStyle w:val="BodyText"/>
      </w:pPr>
      <w:bookmarkStart w:id="35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6" w:name="_Toc85228228"/>
      <w:r w:rsidRPr="00F07689">
        <w:t>Site Information (Locations, Deployment Recipients)</w:t>
      </w:r>
      <w:bookmarkEnd w:id="35"/>
      <w:bookmarkEnd w:id="36"/>
      <w:r w:rsidRPr="00F07689">
        <w:t xml:space="preserve"> </w:t>
      </w:r>
    </w:p>
    <w:p w14:paraId="53334290" w14:textId="6F38C89B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77777777" w:rsidR="00F07689" w:rsidRPr="00F07689" w:rsidRDefault="00F07689" w:rsidP="00CA3C82">
      <w:pPr>
        <w:pStyle w:val="Heading3"/>
      </w:pPr>
      <w:bookmarkStart w:id="37" w:name="_Toc421540865"/>
      <w:bookmarkStart w:id="38" w:name="_Toc85228229"/>
      <w:r w:rsidRPr="00F07689">
        <w:t>Site Preparation</w:t>
      </w:r>
      <w:bookmarkEnd w:id="37"/>
      <w:bookmarkEnd w:id="38"/>
      <w:r w:rsidRPr="00F07689">
        <w:t xml:space="preserve"> </w:t>
      </w:r>
    </w:p>
    <w:p w14:paraId="3C069950" w14:textId="5D8788EF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9" w:name="ColumnTitle_04"/>
      <w:bookmarkStart w:id="40" w:name="_Toc421540866"/>
      <w:bookmarkStart w:id="41" w:name="_Toc85228230"/>
      <w:bookmarkEnd w:id="39"/>
      <w:r w:rsidRPr="00F07689">
        <w:lastRenderedPageBreak/>
        <w:t>Resources</w:t>
      </w:r>
      <w:bookmarkEnd w:id="40"/>
      <w:bookmarkEnd w:id="41"/>
    </w:p>
    <w:p w14:paraId="554102A7" w14:textId="47494417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PRCA*4.5*3</w:t>
      </w:r>
      <w:r w:rsidR="007E3542">
        <w:t>90</w:t>
      </w:r>
      <w:r w:rsidR="00E065E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2" w:name="_Toc421540868"/>
      <w:bookmarkStart w:id="43" w:name="_Toc85228231"/>
      <w:r w:rsidRPr="00F07689">
        <w:t>Hardware</w:t>
      </w:r>
      <w:bookmarkEnd w:id="42"/>
      <w:bookmarkEnd w:id="43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4" w:name="ColumnTitle_06"/>
      <w:bookmarkStart w:id="45" w:name="_Toc421540869"/>
      <w:bookmarkStart w:id="46" w:name="_Toc85228232"/>
      <w:bookmarkEnd w:id="44"/>
      <w:r w:rsidRPr="00F07689">
        <w:t>Software</w:t>
      </w:r>
      <w:bookmarkEnd w:id="45"/>
      <w:bookmarkEnd w:id="46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7" w:name="ColumnTitle_07"/>
      <w:bookmarkStart w:id="48" w:name="_Toc421540871"/>
      <w:bookmarkStart w:id="49" w:name="_Toc85228233"/>
      <w:bookmarkEnd w:id="47"/>
      <w:r w:rsidRPr="0005370A">
        <w:t>Communications</w:t>
      </w:r>
      <w:bookmarkEnd w:id="48"/>
      <w:bookmarkEnd w:id="49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50" w:name="_Toc85228234"/>
      <w:r>
        <w:t>Deployment/Installation/Back-Out Checklist</w:t>
      </w:r>
      <w:bookmarkEnd w:id="50"/>
    </w:p>
    <w:p w14:paraId="1ACF3F30" w14:textId="2A0A6CEB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PRCA*4.5*3</w:t>
      </w:r>
      <w:r w:rsidR="007E3542">
        <w:t>90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7561D2E5" w:rsidR="00D74B9A" w:rsidRDefault="00D74B9A" w:rsidP="00BD4706">
      <w:pPr>
        <w:pStyle w:val="Caption"/>
      </w:pPr>
      <w:bookmarkStart w:id="51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B56A3D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6A7CB0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6A7CB0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6A7CB0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6A7CB0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7438656B" w14:textId="77777777" w:rsidR="00665E8A" w:rsidRDefault="00665E8A" w:rsidP="00665E8A">
      <w:pPr>
        <w:pStyle w:val="BodyText"/>
      </w:pPr>
    </w:p>
    <w:p w14:paraId="7E88A226" w14:textId="77777777" w:rsidR="00665E8A" w:rsidRDefault="00665E8A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3297A458" w:rsidR="00222831" w:rsidRDefault="00222831" w:rsidP="00CA3C82">
      <w:pPr>
        <w:pStyle w:val="Heading1"/>
      </w:pPr>
      <w:bookmarkStart w:id="52" w:name="_Toc85228235"/>
      <w:r>
        <w:lastRenderedPageBreak/>
        <w:t>Installation</w:t>
      </w:r>
      <w:bookmarkEnd w:id="52"/>
    </w:p>
    <w:p w14:paraId="3059C10E" w14:textId="77777777" w:rsidR="00AE5904" w:rsidRDefault="00361BE2" w:rsidP="00CA3C82">
      <w:pPr>
        <w:pStyle w:val="Heading2"/>
      </w:pPr>
      <w:bookmarkStart w:id="53" w:name="_Toc85228236"/>
      <w:r w:rsidRPr="00A12A14">
        <w:t>Pre-installation</w:t>
      </w:r>
      <w:r>
        <w:t xml:space="preserve"> and </w:t>
      </w:r>
      <w:r w:rsidR="00AE5904">
        <w:t>System Requirements</w:t>
      </w:r>
      <w:bookmarkEnd w:id="53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4" w:name="_Toc85228237"/>
      <w:r>
        <w:t>Platform Installation and Preparation</w:t>
      </w:r>
      <w:bookmarkEnd w:id="54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5" w:name="_Toc85228238"/>
      <w:r>
        <w:t xml:space="preserve">Download and </w:t>
      </w:r>
      <w:r w:rsidR="00700E4A">
        <w:t>Extract Files</w:t>
      </w:r>
      <w:bookmarkEnd w:id="55"/>
    </w:p>
    <w:p w14:paraId="44D7CE46" w14:textId="0E94F09E" w:rsidR="009A258A" w:rsidRPr="00CA3C82" w:rsidRDefault="008354A3" w:rsidP="00270788">
      <w:pPr>
        <w:pStyle w:val="BodyText"/>
      </w:pPr>
      <w:bookmarkStart w:id="56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7" w:name="_Toc85228239"/>
      <w:r>
        <w:t>Database Creation</w:t>
      </w:r>
      <w:bookmarkEnd w:id="56"/>
      <w:bookmarkEnd w:id="57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8" w:name="_Toc85228240"/>
      <w:r>
        <w:t>Installation Scripts</w:t>
      </w:r>
      <w:bookmarkEnd w:id="58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9" w:name="_Toc85228241"/>
      <w:r>
        <w:t>Cron Scripts</w:t>
      </w:r>
      <w:bookmarkEnd w:id="59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60" w:name="_Toc85228242"/>
      <w:r>
        <w:t xml:space="preserve">Access Requirements and </w:t>
      </w:r>
      <w:r w:rsidR="005C5ED2">
        <w:t>Skills Needed for the Installation</w:t>
      </w:r>
      <w:bookmarkEnd w:id="60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249D5AD5" w14:textId="77777777" w:rsidR="00936971" w:rsidRDefault="00936971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1" w:name="_Toc416250739"/>
      <w:bookmarkStart w:id="62" w:name="_Toc430174019"/>
      <w:r>
        <w:br w:type="page"/>
      </w:r>
    </w:p>
    <w:p w14:paraId="5EC0059C" w14:textId="0F149B7A" w:rsidR="00FD7CA6" w:rsidRPr="00FD6DC0" w:rsidRDefault="00FD7CA6" w:rsidP="00CA3C82">
      <w:pPr>
        <w:pStyle w:val="Heading2"/>
      </w:pPr>
      <w:bookmarkStart w:id="63" w:name="_Toc85228243"/>
      <w:r w:rsidRPr="00FD6DC0">
        <w:lastRenderedPageBreak/>
        <w:t>Installation Procedure</w:t>
      </w:r>
      <w:bookmarkEnd w:id="61"/>
      <w:bookmarkEnd w:id="62"/>
      <w:bookmarkEnd w:id="63"/>
    </w:p>
    <w:p w14:paraId="35F589A3" w14:textId="2DB2B30B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65E4E352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PRCA*4.5*3</w:t>
      </w:r>
      <w:r w:rsidR="007E3542">
        <w:rPr>
          <w:b/>
          <w:bCs/>
        </w:rPr>
        <w:t>90</w:t>
      </w:r>
      <w:r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4" w:name="_Hlk74321729"/>
    </w:p>
    <w:p w14:paraId="2A051F69" w14:textId="18F1BB4D" w:rsidR="00E95709" w:rsidRDefault="00AC171C" w:rsidP="00E95709">
      <w:pPr>
        <w:pStyle w:val="BodyText"/>
        <w:ind w:left="1440"/>
      </w:pPr>
      <w:r>
        <w:t xml:space="preserve">When prompted for a response, select </w:t>
      </w:r>
      <w:r w:rsidR="00AD0FEC">
        <w:rPr>
          <w:b/>
          <w:bCs/>
        </w:rPr>
        <w:t>Routines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77777777" w:rsidR="00E95709" w:rsidRDefault="00AC171C" w:rsidP="0059381D">
      <w:pPr>
        <w:pStyle w:val="BodyText"/>
        <w:ind w:left="2160" w:firstLine="720"/>
      </w:pPr>
      <w:r>
        <w:t>B         Build</w:t>
      </w:r>
    </w:p>
    <w:p w14:paraId="45F3C76E" w14:textId="77777777" w:rsidR="00E95709" w:rsidRDefault="00AC171C" w:rsidP="0059381D">
      <w:pPr>
        <w:pStyle w:val="BodyText"/>
        <w:ind w:left="2160" w:firstLine="720"/>
      </w:pPr>
      <w:r>
        <w:t>R         Routines</w:t>
      </w:r>
    </w:p>
    <w:p w14:paraId="56CBFC91" w14:textId="0CAB2BC7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7E3542">
        <w:rPr>
          <w:b/>
          <w:bCs/>
        </w:rPr>
        <w:t>Build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4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89975E1" w14:textId="1DBB2A9E" w:rsidR="00F97080" w:rsidRDefault="00F97080" w:rsidP="00F97080">
      <w:pPr>
        <w:pStyle w:val="BodyText"/>
        <w:numPr>
          <w:ilvl w:val="2"/>
          <w:numId w:val="32"/>
        </w:numPr>
      </w:pPr>
      <w:r>
        <w:t xml:space="preserve">If prompted 'Want KIDS to Rebuild Menu Trees Upon Completion of Install? YES//', answer </w:t>
      </w:r>
      <w:r w:rsidR="007E3542">
        <w:rPr>
          <w:b/>
          <w:bCs/>
        </w:rPr>
        <w:t>YES</w:t>
      </w:r>
      <w:r w:rsidR="00E201B5">
        <w:t>.</w:t>
      </w:r>
    </w:p>
    <w:p w14:paraId="506D8ECB" w14:textId="18C1AAEE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KIDS to INHIBIT LOGONs during the install? NO//', answer </w:t>
      </w:r>
      <w:r w:rsidRPr="00E201B5">
        <w:rPr>
          <w:b/>
          <w:bCs/>
        </w:rPr>
        <w:t>NO</w:t>
      </w:r>
      <w:r w:rsidR="00E201B5">
        <w:t>.</w:t>
      </w:r>
    </w:p>
    <w:p w14:paraId="0FEF55B6" w14:textId="1FC6629C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to DISABLE Scheduled Options, Menu Options, and Protocols? NO//', answer </w:t>
      </w:r>
      <w:r w:rsidRPr="00E201B5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5" w:name="_Toc85228244"/>
      <w:r>
        <w:lastRenderedPageBreak/>
        <w:t>Installation Verification Procedure</w:t>
      </w:r>
      <w:bookmarkEnd w:id="65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6" w:name="_Toc85228245"/>
      <w:r>
        <w:t>System Configuration</w:t>
      </w:r>
      <w:bookmarkEnd w:id="66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7" w:name="_Toc85228246"/>
      <w:r>
        <w:t>Database Tuning</w:t>
      </w:r>
      <w:bookmarkEnd w:id="67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8" w:name="_Toc85228247"/>
      <w:r>
        <w:t>Back-Out</w:t>
      </w:r>
      <w:r w:rsidR="00AE5904">
        <w:t xml:space="preserve"> Procedure</w:t>
      </w:r>
      <w:bookmarkEnd w:id="68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9" w:name="_Toc85228248"/>
      <w:r>
        <w:t>Back-Out</w:t>
      </w:r>
      <w:r w:rsidR="00455CB4">
        <w:t xml:space="preserve"> Strategy</w:t>
      </w:r>
      <w:bookmarkEnd w:id="69"/>
    </w:p>
    <w:p w14:paraId="02D19111" w14:textId="5462EBA3" w:rsidR="00282275" w:rsidRDefault="00282275" w:rsidP="00CA3C82">
      <w:pPr>
        <w:pStyle w:val="BodyText"/>
      </w:pPr>
      <w:r>
        <w:t>Prior to installing the updated KIDS package, the site/region should have saved a backup of the routines in a mail message using the Backup a Transport Global [XPD BACKUP] menu option. The message containing the backed up routines can be loaded with the “Xtract PackMan” function at the Message Action prompt. The PackMan function INSTALL/CHECK MESSAGE is then used to install the backed up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70" w:name="_Toc85228249"/>
      <w:r>
        <w:t>Back-Out</w:t>
      </w:r>
      <w:r w:rsidR="006C6DBA">
        <w:t xml:space="preserve"> Considerations</w:t>
      </w:r>
      <w:bookmarkEnd w:id="70"/>
    </w:p>
    <w:p w14:paraId="0655A490" w14:textId="2A0A3550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PRCA*4.5*3</w:t>
      </w:r>
      <w:r w:rsidR="007E3542">
        <w:t>90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 xml:space="preserve">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PRCA*4.5*3</w:t>
      </w:r>
      <w:r w:rsidR="007E3542">
        <w:t>90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1" w:name="_Toc85228250"/>
      <w:r>
        <w:t>Load Testing</w:t>
      </w:r>
      <w:bookmarkEnd w:id="71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2" w:name="_Toc85228251"/>
      <w:r>
        <w:t>User Acceptance Testing</w:t>
      </w:r>
      <w:bookmarkEnd w:id="72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3" w:name="_Toc85228252"/>
      <w:r>
        <w:t>Back-Out</w:t>
      </w:r>
      <w:r w:rsidR="00DF6B4A" w:rsidRPr="00DF6B4A">
        <w:t xml:space="preserve"> </w:t>
      </w:r>
      <w:r w:rsidR="006C6DBA">
        <w:t>Criteria</w:t>
      </w:r>
      <w:bookmarkEnd w:id="73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4" w:name="_Toc85228253"/>
      <w:r>
        <w:t>Back-Out</w:t>
      </w:r>
      <w:r w:rsidR="00DF6B4A" w:rsidRPr="00DF6B4A">
        <w:t xml:space="preserve"> </w:t>
      </w:r>
      <w:r w:rsidR="006C6DBA">
        <w:t>Risks</w:t>
      </w:r>
      <w:bookmarkEnd w:id="74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5" w:name="_Toc85228254"/>
      <w:r>
        <w:t xml:space="preserve">Authority for </w:t>
      </w:r>
      <w:r w:rsidR="00685E4D">
        <w:t>Back-Out</w:t>
      </w:r>
      <w:bookmarkEnd w:id="75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77777777" w:rsidR="00A31737" w:rsidRDefault="00A31737" w:rsidP="00A31737">
      <w:pPr>
        <w:pStyle w:val="BodyTextBullet1"/>
      </w:pPr>
      <w:r>
        <w:t xml:space="preserve">Health Product Support Management – </w:t>
      </w:r>
    </w:p>
    <w:p w14:paraId="0AF862CB" w14:textId="07D4E3E9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John P Elliott; email - </w:t>
      </w:r>
      <w:hyperlink r:id="rId10" w:history="1">
        <w:r w:rsidRPr="004C115D">
          <w:rPr>
            <w:rStyle w:val="Hyperlink"/>
          </w:rPr>
          <w:t>John.Elliott@va.gov</w:t>
        </w:r>
      </w:hyperlink>
    </w:p>
    <w:p w14:paraId="633519B8" w14:textId="0D382515" w:rsidR="0085637A" w:rsidRPr="007E335C" w:rsidRDefault="00BA1490" w:rsidP="0073743C">
      <w:pPr>
        <w:pStyle w:val="BodyTextBullet2"/>
        <w:numPr>
          <w:ilvl w:val="1"/>
          <w:numId w:val="27"/>
        </w:numPr>
      </w:pPr>
      <w:r w:rsidRPr="007E335C">
        <w:rPr>
          <w:szCs w:val="24"/>
        </w:rPr>
        <w:t>Primary</w:t>
      </w:r>
      <w:r w:rsidR="00A31737" w:rsidRPr="007E335C">
        <w:t xml:space="preserve">: </w:t>
      </w:r>
      <w:r w:rsidR="006F44CC">
        <w:rPr>
          <w:szCs w:val="24"/>
        </w:rPr>
        <w:t>Angela Murray</w:t>
      </w:r>
      <w:r w:rsidR="006203C5" w:rsidRPr="007E335C">
        <w:t xml:space="preserve">; email </w:t>
      </w:r>
      <w:r w:rsidR="00AC171C" w:rsidRPr="007E335C">
        <w:t>–</w:t>
      </w:r>
      <w:r w:rsidR="006F44CC">
        <w:t xml:space="preserve"> </w:t>
      </w:r>
      <w:hyperlink r:id="rId11" w:history="1">
        <w:r w:rsidR="006F44CC" w:rsidRPr="00745DBD">
          <w:rPr>
            <w:rStyle w:val="Hyperlink"/>
          </w:rPr>
          <w:t>Angela.Murray@va.gov</w:t>
        </w:r>
      </w:hyperlink>
      <w:r w:rsidR="006F44CC">
        <w:t xml:space="preserve"> </w:t>
      </w:r>
    </w:p>
    <w:p w14:paraId="10F72F77" w14:textId="3DF35C63" w:rsidR="00BA1490" w:rsidRPr="007E335C" w:rsidRDefault="00BA1490" w:rsidP="00355554">
      <w:pPr>
        <w:pStyle w:val="BodyTextBullet2"/>
        <w:numPr>
          <w:ilvl w:val="1"/>
          <w:numId w:val="27"/>
        </w:numPr>
      </w:pPr>
      <w:r w:rsidRPr="007E335C">
        <w:t>Secondary</w:t>
      </w:r>
      <w:r w:rsidRPr="007E335C">
        <w:rPr>
          <w:szCs w:val="24"/>
        </w:rPr>
        <w:t xml:space="preserve">: </w:t>
      </w:r>
      <w:r w:rsidR="006F44CC">
        <w:rPr>
          <w:szCs w:val="24"/>
        </w:rPr>
        <w:t>Brian Delacruz</w:t>
      </w:r>
      <w:r w:rsidR="00A22977" w:rsidRPr="007E335C">
        <w:rPr>
          <w:szCs w:val="24"/>
        </w:rPr>
        <w:t xml:space="preserve">; </w:t>
      </w:r>
      <w:r w:rsidR="006203C5" w:rsidRPr="007E335C">
        <w:t xml:space="preserve">email </w:t>
      </w:r>
      <w:r w:rsidR="00AC171C" w:rsidRPr="007E335C">
        <w:t>–</w:t>
      </w:r>
      <w:r w:rsidR="006203C5" w:rsidRPr="007E335C">
        <w:t xml:space="preserve"> </w:t>
      </w:r>
      <w:hyperlink r:id="rId12" w:history="1">
        <w:r w:rsidR="006F44CC" w:rsidRPr="007E335C">
          <w:rPr>
            <w:rStyle w:val="Hyperlink"/>
          </w:rPr>
          <w:t>Brian.Delacruz@va.gov</w:t>
        </w:r>
      </w:hyperlink>
      <w:r w:rsidR="007E335C">
        <w:t xml:space="preserve"> </w:t>
      </w:r>
    </w:p>
    <w:p w14:paraId="2F726ABB" w14:textId="77777777" w:rsidR="00A31737" w:rsidRDefault="00A31737" w:rsidP="00A31737">
      <w:pPr>
        <w:pStyle w:val="BodyTextBullet1"/>
      </w:pPr>
      <w:r>
        <w:t xml:space="preserve">CPAC Revenue System Managers – </w:t>
      </w:r>
    </w:p>
    <w:p w14:paraId="53755E53" w14:textId="3C2C1FED" w:rsidR="00A31737" w:rsidRPr="00852477" w:rsidRDefault="00A31737" w:rsidP="00A31737">
      <w:pPr>
        <w:pStyle w:val="BodyTextBullet1"/>
        <w:numPr>
          <w:ilvl w:val="1"/>
          <w:numId w:val="5"/>
        </w:numPr>
      </w:pPr>
      <w:r>
        <w:t xml:space="preserve">Primary: Brandon </w:t>
      </w:r>
      <w:r w:rsidRPr="004A46A1">
        <w:rPr>
          <w:szCs w:val="22"/>
        </w:rPr>
        <w:t>Bergeron</w:t>
      </w:r>
      <w:r>
        <w:rPr>
          <w:szCs w:val="22"/>
        </w:rPr>
        <w:t xml:space="preserve">; email - </w:t>
      </w:r>
      <w:hyperlink r:id="rId13" w:history="1">
        <w:r w:rsidRPr="004C115D">
          <w:rPr>
            <w:rStyle w:val="Hyperlink"/>
            <w:szCs w:val="22"/>
          </w:rPr>
          <w:t>Brandon.Bergeron@va.gov</w:t>
        </w:r>
      </w:hyperlink>
    </w:p>
    <w:p w14:paraId="287CB10C" w14:textId="03D19866" w:rsidR="009C1BC9" w:rsidRDefault="00A31737" w:rsidP="009C1BC9">
      <w:pPr>
        <w:pStyle w:val="BodyTextBullet1"/>
        <w:numPr>
          <w:ilvl w:val="1"/>
          <w:numId w:val="5"/>
        </w:numPr>
      </w:pPr>
      <w:r>
        <w:t xml:space="preserve">Secondary: </w:t>
      </w:r>
      <w:r w:rsidR="009C1BC9">
        <w:t>Jerry Battles</w:t>
      </w:r>
      <w:r>
        <w:t xml:space="preserve">; email - </w:t>
      </w:r>
      <w:hyperlink r:id="rId14" w:history="1">
        <w:r w:rsidR="009C1BC9" w:rsidRPr="008F11CF">
          <w:rPr>
            <w:rStyle w:val="Hyperlink"/>
          </w:rPr>
          <w:t>Jerry.Battles@va.gov</w:t>
        </w:r>
      </w:hyperlink>
    </w:p>
    <w:p w14:paraId="0640785E" w14:textId="77777777" w:rsidR="00A31737" w:rsidRDefault="00A31737" w:rsidP="00A31737">
      <w:pPr>
        <w:pStyle w:val="BodyTextBullet1"/>
      </w:pPr>
      <w:r>
        <w:t xml:space="preserve">Development Team – </w:t>
      </w:r>
    </w:p>
    <w:p w14:paraId="72566B23" w14:textId="1AD0379B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Rajeev Vadgama; email - </w:t>
      </w:r>
      <w:hyperlink r:id="rId15" w:history="1">
        <w:r w:rsidRPr="004C115D">
          <w:rPr>
            <w:rStyle w:val="Hyperlink"/>
          </w:rPr>
          <w:t>Rajeev.Vadgama@va.gov</w:t>
        </w:r>
      </w:hyperlink>
    </w:p>
    <w:p w14:paraId="7859185F" w14:textId="40F1F1C7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Secondary: Scott Bush; email - </w:t>
      </w:r>
      <w:hyperlink r:id="rId16" w:history="1">
        <w:r w:rsidRPr="004C115D">
          <w:rPr>
            <w:rStyle w:val="Hyperlink"/>
          </w:rPr>
          <w:t>Scott.Bush@va.gov</w:t>
        </w:r>
      </w:hyperlink>
    </w:p>
    <w:p w14:paraId="36A15A36" w14:textId="77777777" w:rsidR="00AE5904" w:rsidRDefault="00685E4D" w:rsidP="00CA3C82">
      <w:pPr>
        <w:pStyle w:val="Heading2"/>
      </w:pPr>
      <w:bookmarkStart w:id="76" w:name="_Toc85228255"/>
      <w:r>
        <w:t>Back-Out</w:t>
      </w:r>
      <w:r w:rsidR="00AE5904">
        <w:t xml:space="preserve"> Procedure</w:t>
      </w:r>
      <w:bookmarkEnd w:id="76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40E8EF6E" w:rsidR="00E467E5" w:rsidRPr="00AD5858" w:rsidRDefault="00E467E5" w:rsidP="005E5A33">
      <w:pPr>
        <w:pStyle w:val="BodyText"/>
      </w:pPr>
      <w:r>
        <w:t xml:space="preserve">The </w:t>
      </w:r>
      <w:r w:rsidR="00E065E9">
        <w:t>PRCA*4.5*3</w:t>
      </w:r>
      <w:r w:rsidR="006F44CC">
        <w:t>90</w:t>
      </w:r>
      <w:r w:rsidR="00E065E9">
        <w:t xml:space="preserve"> </w:t>
      </w:r>
      <w:r>
        <w:t xml:space="preserve">patch contains the </w:t>
      </w:r>
      <w:r w:rsidR="005E5A33">
        <w:t xml:space="preserve">Routines </w:t>
      </w:r>
      <w:r>
        <w:t>build components:</w:t>
      </w:r>
    </w:p>
    <w:p w14:paraId="1A10F331" w14:textId="1DCB49E4" w:rsidR="00E467E5" w:rsidRDefault="00E467E5" w:rsidP="00E467E5">
      <w:pPr>
        <w:pStyle w:val="BodyText"/>
      </w:pPr>
      <w:r>
        <w:lastRenderedPageBreak/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7" w:name="_Toc85228256"/>
      <w:r>
        <w:t>Back-out Verification Procedure</w:t>
      </w:r>
      <w:bookmarkEnd w:id="77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8" w:name="_Toc85228257"/>
      <w:r>
        <w:t>Rollback Procedure</w:t>
      </w:r>
      <w:bookmarkEnd w:id="78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9" w:name="_Toc2267860"/>
      <w:bookmarkStart w:id="80" w:name="_Toc85228258"/>
      <w:r>
        <w:t>Rollback Considerations</w:t>
      </w:r>
      <w:bookmarkEnd w:id="79"/>
      <w:bookmarkEnd w:id="80"/>
    </w:p>
    <w:p w14:paraId="18471A4C" w14:textId="678F0BFC" w:rsidR="000517E6" w:rsidRDefault="000517E6" w:rsidP="000517E6">
      <w:pPr>
        <w:pStyle w:val="BodyText"/>
      </w:pPr>
      <w:bookmarkStart w:id="81" w:name="_Toc2267861"/>
      <w:r>
        <w:t>Not Applicable</w:t>
      </w:r>
      <w:r w:rsidR="00451C9A">
        <w:t>.</w:t>
      </w:r>
    </w:p>
    <w:p w14:paraId="61603EC4" w14:textId="40F35481" w:rsidR="00F96A56" w:rsidRDefault="00F96A56" w:rsidP="00F96A56">
      <w:pPr>
        <w:pStyle w:val="Heading2"/>
      </w:pPr>
      <w:bookmarkStart w:id="82" w:name="_Toc85228259"/>
      <w:r>
        <w:t>Rollback Criteria</w:t>
      </w:r>
      <w:bookmarkEnd w:id="81"/>
      <w:bookmarkEnd w:id="82"/>
    </w:p>
    <w:p w14:paraId="69AFF36B" w14:textId="75CBBB2E" w:rsidR="000517E6" w:rsidRDefault="000517E6" w:rsidP="000517E6">
      <w:pPr>
        <w:pStyle w:val="BodyText"/>
      </w:pPr>
      <w:bookmarkStart w:id="83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4" w:name="_Toc85228260"/>
      <w:r>
        <w:t>Rollback Risks</w:t>
      </w:r>
      <w:bookmarkEnd w:id="83"/>
      <w:bookmarkEnd w:id="84"/>
    </w:p>
    <w:p w14:paraId="6C81083F" w14:textId="23D8BE7C" w:rsidR="000517E6" w:rsidRDefault="000517E6" w:rsidP="000517E6">
      <w:pPr>
        <w:pStyle w:val="BodyText"/>
      </w:pPr>
      <w:bookmarkStart w:id="85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6" w:name="_Toc85228261"/>
      <w:r>
        <w:t>Authority for Rollback</w:t>
      </w:r>
      <w:bookmarkEnd w:id="85"/>
      <w:bookmarkEnd w:id="86"/>
    </w:p>
    <w:p w14:paraId="7CB2C32A" w14:textId="4D106EBE" w:rsidR="000517E6" w:rsidRDefault="000517E6" w:rsidP="000517E6">
      <w:pPr>
        <w:pStyle w:val="BodyText"/>
      </w:pPr>
      <w:bookmarkStart w:id="87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8" w:name="_Toc85228262"/>
      <w:r>
        <w:t>Rollback Procedure</w:t>
      </w:r>
      <w:bookmarkEnd w:id="87"/>
      <w:bookmarkEnd w:id="88"/>
    </w:p>
    <w:p w14:paraId="64396F61" w14:textId="0A7544BF" w:rsidR="000517E6" w:rsidRDefault="000517E6" w:rsidP="000517E6">
      <w:pPr>
        <w:pStyle w:val="BodyText"/>
      </w:pPr>
      <w:bookmarkStart w:id="89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90" w:name="_Toc85228263"/>
      <w:r>
        <w:t xml:space="preserve">Rollback Verification </w:t>
      </w:r>
      <w:r w:rsidRPr="00B0430A">
        <w:t>Procedure</w:t>
      </w:r>
      <w:bookmarkEnd w:id="89"/>
      <w:bookmarkEnd w:id="90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2A40" w14:textId="77777777" w:rsidR="00295613" w:rsidRDefault="00295613">
      <w:r>
        <w:separator/>
      </w:r>
    </w:p>
    <w:p w14:paraId="7F1FB269" w14:textId="77777777" w:rsidR="00295613" w:rsidRDefault="00295613"/>
  </w:endnote>
  <w:endnote w:type="continuationSeparator" w:id="0">
    <w:p w14:paraId="3D9F6BFE" w14:textId="77777777" w:rsidR="00295613" w:rsidRDefault="00295613">
      <w:r>
        <w:continuationSeparator/>
      </w:r>
    </w:p>
    <w:p w14:paraId="27FEC12C" w14:textId="77777777" w:rsidR="00295613" w:rsidRDefault="00295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808B" w14:textId="527DFEFE" w:rsidR="00A56401" w:rsidRPr="00532E46" w:rsidRDefault="00A56401" w:rsidP="00532E46">
    <w:pPr>
      <w:pStyle w:val="Footer"/>
      <w:rPr>
        <w:rStyle w:val="FooterChar"/>
      </w:rPr>
    </w:pPr>
    <w:r>
      <w:t>CC IB and 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3A18C2">
      <w:rPr>
        <w:rStyle w:val="FooterChar"/>
      </w:rPr>
      <w:t xml:space="preserve">October </w:t>
    </w:r>
    <w:r>
      <w:rPr>
        <w:rStyle w:val="FooterChar"/>
      </w:rPr>
      <w:t>2021</w:t>
    </w:r>
  </w:p>
  <w:p w14:paraId="3C9B1F02" w14:textId="47B70641" w:rsidR="00A56401" w:rsidRDefault="00A56401" w:rsidP="00532E46">
    <w:pPr>
      <w:pStyle w:val="Footer"/>
      <w:rPr>
        <w:rStyle w:val="FooterChar"/>
      </w:rPr>
    </w:pPr>
    <w:r>
      <w:t>PRCA*4.5</w:t>
    </w:r>
    <w:r w:rsidR="007E3542">
      <w:t>*</w:t>
    </w:r>
    <w:r w:rsidR="003A18C2">
      <w:t>3</w:t>
    </w:r>
    <w:r w:rsidR="007E3542">
      <w:t>90</w:t>
    </w:r>
  </w:p>
  <w:p w14:paraId="1655809A" w14:textId="1CE226DB" w:rsidR="00A56401" w:rsidRPr="00532E46" w:rsidRDefault="00A56401" w:rsidP="00532E46">
    <w:pPr>
      <w:pStyle w:val="Footer"/>
      <w:rPr>
        <w:rStyle w:val="FooterChar"/>
      </w:rPr>
    </w:pPr>
    <w:r w:rsidRPr="00532E46">
      <w:rPr>
        <w:rStyle w:val="FooterChar"/>
      </w:rPr>
      <w:t>Deployment, Installation, Back-Out</w:t>
    </w:r>
    <w:r w:rsidR="00457A87">
      <w:rPr>
        <w:rStyle w:val="FooterChar"/>
      </w:rPr>
      <w:t>,</w:t>
    </w:r>
    <w:r w:rsidRPr="00532E46">
      <w:rPr>
        <w:rStyle w:val="FooterChar"/>
      </w:rPr>
      <w:t xml:space="preserve">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2B21" w14:textId="77777777" w:rsidR="00295613" w:rsidRDefault="00295613">
      <w:r>
        <w:separator/>
      </w:r>
    </w:p>
    <w:p w14:paraId="22A587AD" w14:textId="77777777" w:rsidR="00295613" w:rsidRDefault="00295613"/>
  </w:footnote>
  <w:footnote w:type="continuationSeparator" w:id="0">
    <w:p w14:paraId="59A5313B" w14:textId="77777777" w:rsidR="00295613" w:rsidRDefault="00295613">
      <w:r>
        <w:continuationSeparator/>
      </w:r>
    </w:p>
    <w:p w14:paraId="315E8FCF" w14:textId="77777777" w:rsidR="00295613" w:rsidRDefault="00295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7A4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84B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2C4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42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20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C7AF0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E72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26"/>
  </w:num>
  <w:num w:numId="5">
    <w:abstractNumId w:val="30"/>
  </w:num>
  <w:num w:numId="6">
    <w:abstractNumId w:val="20"/>
  </w:num>
  <w:num w:numId="7">
    <w:abstractNumId w:val="16"/>
  </w:num>
  <w:num w:numId="8">
    <w:abstractNumId w:val="13"/>
  </w:num>
  <w:num w:numId="9">
    <w:abstractNumId w:val="18"/>
  </w:num>
  <w:num w:numId="10">
    <w:abstractNumId w:val="19"/>
  </w:num>
  <w:num w:numId="11">
    <w:abstractNumId w:val="17"/>
  </w:num>
  <w:num w:numId="12">
    <w:abstractNumId w:val="22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9"/>
  </w:num>
  <w:num w:numId="29">
    <w:abstractNumId w:val="27"/>
  </w:num>
  <w:num w:numId="30">
    <w:abstractNumId w:val="1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1"/>
  </w:num>
  <w:num w:numId="33">
    <w:abstractNumId w:val="23"/>
  </w:num>
  <w:num w:numId="3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060"/>
    <w:rsid w:val="000A23AE"/>
    <w:rsid w:val="000A4075"/>
    <w:rsid w:val="000A50D8"/>
    <w:rsid w:val="000B23F8"/>
    <w:rsid w:val="000B4B85"/>
    <w:rsid w:val="000B4BF3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2CA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613"/>
    <w:rsid w:val="00295C9B"/>
    <w:rsid w:val="002977FD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22F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57A87"/>
    <w:rsid w:val="00464A38"/>
    <w:rsid w:val="00467F6F"/>
    <w:rsid w:val="00470BA1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434"/>
    <w:rsid w:val="005E5A33"/>
    <w:rsid w:val="005F0F90"/>
    <w:rsid w:val="005F10A9"/>
    <w:rsid w:val="005F115C"/>
    <w:rsid w:val="005F11F2"/>
    <w:rsid w:val="005F3344"/>
    <w:rsid w:val="005F7076"/>
    <w:rsid w:val="00600235"/>
    <w:rsid w:val="0060549A"/>
    <w:rsid w:val="0060592C"/>
    <w:rsid w:val="00606743"/>
    <w:rsid w:val="00607AF8"/>
    <w:rsid w:val="00612101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5E8A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33EE"/>
    <w:rsid w:val="0068480F"/>
    <w:rsid w:val="00684B28"/>
    <w:rsid w:val="00685640"/>
    <w:rsid w:val="00685E4D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A7CB0"/>
    <w:rsid w:val="006B2283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4CC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542"/>
    <w:rsid w:val="007E3B52"/>
    <w:rsid w:val="007E3F2F"/>
    <w:rsid w:val="007E4370"/>
    <w:rsid w:val="007F3F50"/>
    <w:rsid w:val="007F767C"/>
    <w:rsid w:val="007F7EB6"/>
    <w:rsid w:val="00801B32"/>
    <w:rsid w:val="00801C24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321"/>
    <w:rsid w:val="0086244A"/>
    <w:rsid w:val="00863B21"/>
    <w:rsid w:val="00865645"/>
    <w:rsid w:val="008662D6"/>
    <w:rsid w:val="00871E3C"/>
    <w:rsid w:val="00873DA2"/>
    <w:rsid w:val="0088044F"/>
    <w:rsid w:val="00880C3D"/>
    <w:rsid w:val="008831EB"/>
    <w:rsid w:val="00884724"/>
    <w:rsid w:val="00886638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3DED"/>
    <w:rsid w:val="008F43AA"/>
    <w:rsid w:val="008F7F54"/>
    <w:rsid w:val="009011D4"/>
    <w:rsid w:val="009016D5"/>
    <w:rsid w:val="009017F1"/>
    <w:rsid w:val="00901D12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3206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368C"/>
    <w:rsid w:val="009D4125"/>
    <w:rsid w:val="009E02EF"/>
    <w:rsid w:val="009E0B82"/>
    <w:rsid w:val="009E67B2"/>
    <w:rsid w:val="009E68BB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5FC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55831"/>
    <w:rsid w:val="00B56A3D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C2D41"/>
    <w:rsid w:val="00BD0020"/>
    <w:rsid w:val="00BD0C46"/>
    <w:rsid w:val="00BD38FB"/>
    <w:rsid w:val="00BD3D08"/>
    <w:rsid w:val="00BD4706"/>
    <w:rsid w:val="00BD7451"/>
    <w:rsid w:val="00BE065D"/>
    <w:rsid w:val="00BE0C9F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E61F4"/>
    <w:rsid w:val="00CF08BF"/>
    <w:rsid w:val="00CF25E3"/>
    <w:rsid w:val="00CF5A24"/>
    <w:rsid w:val="00CF686C"/>
    <w:rsid w:val="00D008F5"/>
    <w:rsid w:val="00D00A67"/>
    <w:rsid w:val="00D070E7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1549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417F82F7"/>
    <w:rsid w:val="5CBD130D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Brandon.Bergeron@v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yle.Brown@v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ott.Bush@v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Murray@v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jeev.Vadgama@va.gov" TargetMode="External"/><Relationship Id="rId10" Type="http://schemas.openxmlformats.org/officeDocument/2006/relationships/hyperlink" Target="mailto:John.Elliott@v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rry.Battle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2617</Words>
  <Characters>17673</Characters>
  <Application>Microsoft Office Word</Application>
  <DocSecurity>0</DocSecurity>
  <Lines>465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PRCA*4.5*390 Deployment, Installation, Back-Out, and Rollback Guide</vt:lpstr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PRCA*4.5*390 Deployment, Installation, Back-Out, and Rollback Guide</dc:title>
  <dc:subject>Deployment, Installation, Back-Out, and Rollback Guide for PRCA*4.5*390</dc:subject>
  <dc:creator/>
  <cp:keywords>PRCA, Accounts Receivable, IB, Integrated Billing, IG, Installation Guide, DIBR, DIBRG</cp:keywords>
  <cp:lastModifiedBy/>
  <cp:revision>1</cp:revision>
  <dcterms:created xsi:type="dcterms:W3CDTF">2021-10-26T16:05:00Z</dcterms:created>
  <dcterms:modified xsi:type="dcterms:W3CDTF">2021-10-26T16:13:00Z</dcterms:modified>
</cp:coreProperties>
</file>