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11FC6" w14:textId="77777777" w:rsidR="00000000" w:rsidRDefault="00A568A1">
      <w:pPr>
        <w:pStyle w:val="TITLEMAJOR"/>
      </w:pPr>
      <w:r>
        <w:t>Health eligibility center</w:t>
      </w:r>
    </w:p>
    <w:p w14:paraId="569CE3AB" w14:textId="77777777" w:rsidR="00000000" w:rsidRDefault="00A568A1">
      <w:pPr>
        <w:pStyle w:val="TITLEMINOR"/>
      </w:pPr>
      <w:r>
        <w:t>Atlanta, GA</w:t>
      </w:r>
    </w:p>
    <w:p w14:paraId="5BD6F0F5" w14:textId="77777777" w:rsidR="00000000" w:rsidRDefault="00A568A1">
      <w:pPr>
        <w:pStyle w:val="TitlePage"/>
      </w:pPr>
    </w:p>
    <w:p w14:paraId="5FE6DF0A" w14:textId="77777777" w:rsidR="00000000" w:rsidRDefault="00A568A1">
      <w:pPr>
        <w:pStyle w:val="TitlePage"/>
      </w:pPr>
    </w:p>
    <w:p w14:paraId="37075C06" w14:textId="77777777" w:rsidR="00000000" w:rsidRDefault="00A568A1">
      <w:pPr>
        <w:pStyle w:val="TitlePage"/>
      </w:pPr>
    </w:p>
    <w:p w14:paraId="30622068" w14:textId="77777777" w:rsidR="00000000" w:rsidRDefault="00A568A1">
      <w:pPr>
        <w:pStyle w:val="TitlePage"/>
      </w:pPr>
    </w:p>
    <w:p w14:paraId="3F820189" w14:textId="77777777" w:rsidR="00000000" w:rsidRDefault="00A568A1">
      <w:pPr>
        <w:pStyle w:val="TitlePage"/>
      </w:pPr>
    </w:p>
    <w:p w14:paraId="7981B0BE" w14:textId="77777777" w:rsidR="00000000" w:rsidRDefault="00A568A1">
      <w:pPr>
        <w:pStyle w:val="TitlePage"/>
      </w:pPr>
    </w:p>
    <w:p w14:paraId="7F667044" w14:textId="77777777" w:rsidR="00000000" w:rsidRDefault="00A568A1">
      <w:pPr>
        <w:pStyle w:val="TitlePage"/>
      </w:pPr>
    </w:p>
    <w:p w14:paraId="17EDDBAA" w14:textId="77777777" w:rsidR="00000000" w:rsidRDefault="00A568A1">
      <w:pPr>
        <w:pStyle w:val="TitlePage"/>
      </w:pPr>
    </w:p>
    <w:p w14:paraId="1B10BF15" w14:textId="77777777" w:rsidR="00000000" w:rsidRDefault="00A568A1">
      <w:pPr>
        <w:pStyle w:val="TitlePage"/>
      </w:pPr>
    </w:p>
    <w:p w14:paraId="6C7F568D" w14:textId="77777777" w:rsidR="00000000" w:rsidRDefault="00A568A1">
      <w:pPr>
        <w:pStyle w:val="TITLEMAJOR"/>
      </w:pPr>
      <w:r>
        <w:t>Geographic Means Test</w:t>
      </w:r>
    </w:p>
    <w:p w14:paraId="6C285BD3" w14:textId="77777777" w:rsidR="00000000" w:rsidRDefault="00A568A1">
      <w:pPr>
        <w:pStyle w:val="TITLEMAJOR"/>
      </w:pPr>
      <w:r>
        <w:t>(</w:t>
      </w:r>
      <w:proofErr w:type="gramStart"/>
      <w:r>
        <w:t>GMT )</w:t>
      </w:r>
      <w:proofErr w:type="gramEnd"/>
      <w:r>
        <w:t xml:space="preserve"> </w:t>
      </w:r>
    </w:p>
    <w:p w14:paraId="6357B08D" w14:textId="77777777" w:rsidR="00000000" w:rsidRDefault="00A568A1">
      <w:pPr>
        <w:pStyle w:val="TitlePage"/>
      </w:pPr>
    </w:p>
    <w:p w14:paraId="361CF7A7" w14:textId="77777777" w:rsidR="00000000" w:rsidRDefault="00A568A1">
      <w:pPr>
        <w:pStyle w:val="TitlePage"/>
      </w:pPr>
    </w:p>
    <w:p w14:paraId="105580C3" w14:textId="77777777" w:rsidR="00000000" w:rsidRDefault="00A568A1">
      <w:pPr>
        <w:pStyle w:val="TitlePage"/>
      </w:pPr>
    </w:p>
    <w:p w14:paraId="3B396A11" w14:textId="77777777" w:rsidR="00000000" w:rsidRDefault="00A568A1">
      <w:pPr>
        <w:pStyle w:val="TitlePage"/>
      </w:pPr>
    </w:p>
    <w:p w14:paraId="24A6F4FB" w14:textId="77777777" w:rsidR="00000000" w:rsidRDefault="00A568A1">
      <w:pPr>
        <w:pStyle w:val="TitlePage"/>
      </w:pPr>
    </w:p>
    <w:p w14:paraId="3410FCC1" w14:textId="77777777" w:rsidR="00000000" w:rsidRDefault="00A568A1">
      <w:pPr>
        <w:pStyle w:val="TITLEMAJOR"/>
      </w:pPr>
      <w:r>
        <w:t>Release Notes</w:t>
      </w:r>
    </w:p>
    <w:p w14:paraId="0ABD3B1A" w14:textId="77777777" w:rsidR="00000000" w:rsidRDefault="00A568A1">
      <w:pPr>
        <w:pStyle w:val="TitlePage"/>
      </w:pPr>
    </w:p>
    <w:p w14:paraId="189116C2" w14:textId="77777777" w:rsidR="00000000" w:rsidRDefault="00A568A1">
      <w:pPr>
        <w:pStyle w:val="TitlePage"/>
      </w:pPr>
    </w:p>
    <w:p w14:paraId="1122E0CE" w14:textId="77777777" w:rsidR="00000000" w:rsidRDefault="00A568A1">
      <w:pPr>
        <w:pStyle w:val="TitlePage"/>
      </w:pPr>
    </w:p>
    <w:p w14:paraId="0216E787" w14:textId="77777777" w:rsidR="00000000" w:rsidRDefault="00A568A1">
      <w:pPr>
        <w:pStyle w:val="TitlePage"/>
      </w:pPr>
    </w:p>
    <w:p w14:paraId="43BCCB5B" w14:textId="77777777" w:rsidR="00000000" w:rsidRDefault="00A568A1">
      <w:pPr>
        <w:pStyle w:val="TitlePage"/>
      </w:pPr>
    </w:p>
    <w:p w14:paraId="3CD24D6F" w14:textId="77777777" w:rsidR="00000000" w:rsidRDefault="00A568A1">
      <w:pPr>
        <w:pStyle w:val="TITLEMINOR"/>
      </w:pPr>
      <w:r>
        <w:t>IVMB*2*686</w:t>
      </w:r>
    </w:p>
    <w:p w14:paraId="6AF170F7" w14:textId="77777777" w:rsidR="00000000" w:rsidRDefault="00A568A1">
      <w:pPr>
        <w:pStyle w:val="TitlePage"/>
      </w:pPr>
    </w:p>
    <w:p w14:paraId="4B87A52C" w14:textId="77777777" w:rsidR="00000000" w:rsidRDefault="00A568A1">
      <w:pPr>
        <w:pStyle w:val="TitlePage"/>
      </w:pPr>
    </w:p>
    <w:p w14:paraId="2DD86320" w14:textId="77777777" w:rsidR="00000000" w:rsidRDefault="00A568A1">
      <w:pPr>
        <w:pStyle w:val="TitlePage"/>
      </w:pPr>
    </w:p>
    <w:p w14:paraId="615F89CE" w14:textId="77777777" w:rsidR="00000000" w:rsidRDefault="00A568A1">
      <w:pPr>
        <w:pStyle w:val="TITLEMINOR"/>
      </w:pPr>
      <w:r>
        <w:t>December 2002</w:t>
      </w:r>
    </w:p>
    <w:p w14:paraId="2936931B" w14:textId="77777777" w:rsidR="00000000" w:rsidRDefault="00A568A1">
      <w:pPr>
        <w:pStyle w:val="TitlePage"/>
      </w:pPr>
    </w:p>
    <w:p w14:paraId="2DB64289" w14:textId="77777777" w:rsidR="00000000" w:rsidRDefault="00A568A1">
      <w:pPr>
        <w:pStyle w:val="TitlePage"/>
      </w:pPr>
    </w:p>
    <w:p w14:paraId="44233F70" w14:textId="77777777" w:rsidR="00000000" w:rsidRDefault="00A568A1">
      <w:pPr>
        <w:pStyle w:val="TitlePage"/>
      </w:pPr>
    </w:p>
    <w:p w14:paraId="174571F9" w14:textId="77777777" w:rsidR="00000000" w:rsidRDefault="00A568A1">
      <w:pPr>
        <w:pStyle w:val="TitlePage"/>
      </w:pPr>
    </w:p>
    <w:p w14:paraId="5E321F78" w14:textId="77777777" w:rsidR="00000000" w:rsidRDefault="00A568A1">
      <w:pPr>
        <w:pStyle w:val="TitlePage"/>
      </w:pPr>
    </w:p>
    <w:p w14:paraId="43EE1968" w14:textId="77777777" w:rsidR="00000000" w:rsidRDefault="00A568A1">
      <w:pPr>
        <w:pStyle w:val="TitlePage"/>
      </w:pPr>
    </w:p>
    <w:p w14:paraId="20518A51" w14:textId="77777777" w:rsidR="00000000" w:rsidRDefault="00A568A1">
      <w:pPr>
        <w:pStyle w:val="TitlePage"/>
      </w:pPr>
    </w:p>
    <w:p w14:paraId="73340F9A" w14:textId="77777777" w:rsidR="00000000" w:rsidRDefault="00A568A1">
      <w:pPr>
        <w:pStyle w:val="TitlePage"/>
      </w:pPr>
    </w:p>
    <w:p w14:paraId="2F478068" w14:textId="77777777" w:rsidR="00000000" w:rsidRDefault="00A568A1">
      <w:pPr>
        <w:pStyle w:val="TitlePage"/>
      </w:pPr>
      <w:r>
        <w:t>Department of Veterans Affairs</w:t>
      </w:r>
    </w:p>
    <w:p w14:paraId="6515DA30" w14:textId="77777777" w:rsidR="00000000" w:rsidRDefault="00A568A1">
      <w:pPr>
        <w:sectPr w:rsidR="00000000">
          <w:pgSz w:w="12240" w:h="15840"/>
          <w:pgMar w:top="1440" w:right="1440" w:bottom="1440" w:left="1440" w:header="720" w:footer="720" w:gutter="0"/>
          <w:cols w:space="720"/>
          <w:docGrid w:linePitch="360"/>
        </w:sectPr>
      </w:pPr>
    </w:p>
    <w:p w14:paraId="12605D6D" w14:textId="77777777" w:rsidR="00000000" w:rsidRDefault="00A568A1">
      <w:pPr>
        <w:rPr>
          <w:rFonts w:ascii="Arial" w:hAnsi="Arial" w:cs="Arial"/>
          <w:sz w:val="36"/>
        </w:rPr>
      </w:pPr>
      <w:r>
        <w:rPr>
          <w:rFonts w:ascii="Arial" w:hAnsi="Arial" w:cs="Arial"/>
          <w:sz w:val="36"/>
        </w:rPr>
        <w:lastRenderedPageBreak/>
        <w:t>Table of Contents</w:t>
      </w:r>
    </w:p>
    <w:p w14:paraId="15ECC6FD" w14:textId="77777777" w:rsidR="00000000" w:rsidRDefault="00A568A1"/>
    <w:p w14:paraId="379A87B7" w14:textId="1159972D" w:rsidR="00000000" w:rsidRDefault="00A568A1">
      <w:pPr>
        <w:pStyle w:val="TOC1"/>
        <w:tabs>
          <w:tab w:val="right" w:leader="dot" w:pos="9350"/>
        </w:tabs>
        <w:rPr>
          <w:b w:val="0"/>
          <w:bCs w:val="0"/>
          <w:caps w:val="0"/>
          <w:noProof/>
        </w:rPr>
      </w:pPr>
      <w:r>
        <w:fldChar w:fldCharType="begin"/>
      </w:r>
      <w:r>
        <w:instrText xml:space="preserve"> TOC \o "2-3" \h \z \t "Heading 1,1" </w:instrText>
      </w:r>
      <w:r>
        <w:fldChar w:fldCharType="separate"/>
      </w:r>
      <w:hyperlink w:anchor="_Toc22544638" w:history="1">
        <w:r>
          <w:rPr>
            <w:rStyle w:val="Hyperlink"/>
            <w:noProof/>
            <w:szCs w:val="36"/>
          </w:rPr>
          <w:t>Introduction</w:t>
        </w:r>
        <w:r>
          <w:rPr>
            <w:noProof/>
            <w:webHidden/>
          </w:rPr>
          <w:tab/>
        </w:r>
        <w:r>
          <w:rPr>
            <w:noProof/>
            <w:webHidden/>
          </w:rPr>
          <w:fldChar w:fldCharType="begin"/>
        </w:r>
        <w:r>
          <w:rPr>
            <w:noProof/>
            <w:webHidden/>
          </w:rPr>
          <w:instrText xml:space="preserve"> PAGEREF _Toc22544638 \h </w:instrText>
        </w:r>
        <w:r>
          <w:rPr>
            <w:noProof/>
          </w:rPr>
        </w:r>
        <w:r>
          <w:rPr>
            <w:noProof/>
            <w:webHidden/>
          </w:rPr>
          <w:fldChar w:fldCharType="separate"/>
        </w:r>
        <w:r w:rsidR="006B3FD1">
          <w:rPr>
            <w:noProof/>
            <w:webHidden/>
          </w:rPr>
          <w:t>1</w:t>
        </w:r>
        <w:r>
          <w:rPr>
            <w:noProof/>
            <w:webHidden/>
          </w:rPr>
          <w:fldChar w:fldCharType="end"/>
        </w:r>
      </w:hyperlink>
    </w:p>
    <w:p w14:paraId="3E554CF9" w14:textId="5356D3AE" w:rsidR="00000000" w:rsidRDefault="00A568A1">
      <w:pPr>
        <w:pStyle w:val="TOC2"/>
        <w:tabs>
          <w:tab w:val="right" w:leader="dot" w:pos="9350"/>
        </w:tabs>
        <w:rPr>
          <w:smallCaps w:val="0"/>
          <w:noProof/>
        </w:rPr>
      </w:pPr>
      <w:hyperlink w:anchor="_Toc22544639" w:history="1">
        <w:r>
          <w:rPr>
            <w:rStyle w:val="Hyperlink"/>
            <w:noProof/>
          </w:rPr>
          <w:t>Overview</w:t>
        </w:r>
        <w:r>
          <w:rPr>
            <w:noProof/>
            <w:webHidden/>
          </w:rPr>
          <w:tab/>
        </w:r>
        <w:r>
          <w:rPr>
            <w:noProof/>
            <w:webHidden/>
          </w:rPr>
          <w:fldChar w:fldCharType="begin"/>
        </w:r>
        <w:r>
          <w:rPr>
            <w:noProof/>
            <w:webHidden/>
          </w:rPr>
          <w:instrText xml:space="preserve"> PAGEREF _Toc22544639 \h </w:instrText>
        </w:r>
        <w:r>
          <w:rPr>
            <w:noProof/>
          </w:rPr>
        </w:r>
        <w:r>
          <w:rPr>
            <w:noProof/>
            <w:webHidden/>
          </w:rPr>
          <w:fldChar w:fldCharType="separate"/>
        </w:r>
        <w:r w:rsidR="006B3FD1">
          <w:rPr>
            <w:noProof/>
            <w:webHidden/>
          </w:rPr>
          <w:t>1</w:t>
        </w:r>
        <w:r>
          <w:rPr>
            <w:noProof/>
            <w:webHidden/>
          </w:rPr>
          <w:fldChar w:fldCharType="end"/>
        </w:r>
      </w:hyperlink>
    </w:p>
    <w:p w14:paraId="6976CFF6" w14:textId="33E398F3" w:rsidR="00000000" w:rsidRDefault="00A568A1">
      <w:pPr>
        <w:pStyle w:val="TOC2"/>
        <w:tabs>
          <w:tab w:val="right" w:leader="dot" w:pos="9350"/>
        </w:tabs>
        <w:rPr>
          <w:smallCaps w:val="0"/>
          <w:noProof/>
        </w:rPr>
      </w:pPr>
      <w:hyperlink w:anchor="_Toc22544640" w:history="1">
        <w:r>
          <w:rPr>
            <w:rStyle w:val="Hyperlink"/>
            <w:noProof/>
          </w:rPr>
          <w:t>Purpose of this Manual</w:t>
        </w:r>
        <w:r>
          <w:rPr>
            <w:noProof/>
            <w:webHidden/>
          </w:rPr>
          <w:tab/>
        </w:r>
        <w:r>
          <w:rPr>
            <w:noProof/>
            <w:webHidden/>
          </w:rPr>
          <w:fldChar w:fldCharType="begin"/>
        </w:r>
        <w:r>
          <w:rPr>
            <w:noProof/>
            <w:webHidden/>
          </w:rPr>
          <w:instrText xml:space="preserve"> PAGEREF _Toc22544640 \h </w:instrText>
        </w:r>
        <w:r>
          <w:rPr>
            <w:noProof/>
          </w:rPr>
        </w:r>
        <w:r>
          <w:rPr>
            <w:noProof/>
            <w:webHidden/>
          </w:rPr>
          <w:fldChar w:fldCharType="separate"/>
        </w:r>
        <w:r w:rsidR="006B3FD1">
          <w:rPr>
            <w:noProof/>
            <w:webHidden/>
          </w:rPr>
          <w:t>1</w:t>
        </w:r>
        <w:r>
          <w:rPr>
            <w:noProof/>
            <w:webHidden/>
          </w:rPr>
          <w:fldChar w:fldCharType="end"/>
        </w:r>
      </w:hyperlink>
    </w:p>
    <w:p w14:paraId="0E14F29A" w14:textId="77782DE6" w:rsidR="00000000" w:rsidRDefault="00A568A1">
      <w:pPr>
        <w:pStyle w:val="TOC2"/>
        <w:tabs>
          <w:tab w:val="right" w:leader="dot" w:pos="9350"/>
        </w:tabs>
        <w:rPr>
          <w:smallCaps w:val="0"/>
          <w:noProof/>
        </w:rPr>
      </w:pPr>
      <w:hyperlink w:anchor="_Toc22544641" w:history="1">
        <w:r>
          <w:rPr>
            <w:rStyle w:val="Hyperlink"/>
            <w:noProof/>
          </w:rPr>
          <w:t>Related Document</w:t>
        </w:r>
        <w:r>
          <w:rPr>
            <w:rStyle w:val="Hyperlink"/>
            <w:noProof/>
          </w:rPr>
          <w:t>s</w:t>
        </w:r>
        <w:r>
          <w:rPr>
            <w:noProof/>
            <w:webHidden/>
          </w:rPr>
          <w:tab/>
        </w:r>
        <w:r>
          <w:rPr>
            <w:noProof/>
            <w:webHidden/>
          </w:rPr>
          <w:fldChar w:fldCharType="begin"/>
        </w:r>
        <w:r>
          <w:rPr>
            <w:noProof/>
            <w:webHidden/>
          </w:rPr>
          <w:instrText xml:space="preserve"> PAGEREF _Toc22544641 \h </w:instrText>
        </w:r>
        <w:r>
          <w:rPr>
            <w:noProof/>
          </w:rPr>
        </w:r>
        <w:r>
          <w:rPr>
            <w:noProof/>
            <w:webHidden/>
          </w:rPr>
          <w:fldChar w:fldCharType="separate"/>
        </w:r>
        <w:r w:rsidR="006B3FD1">
          <w:rPr>
            <w:noProof/>
            <w:webHidden/>
          </w:rPr>
          <w:t>1</w:t>
        </w:r>
        <w:r>
          <w:rPr>
            <w:noProof/>
            <w:webHidden/>
          </w:rPr>
          <w:fldChar w:fldCharType="end"/>
        </w:r>
      </w:hyperlink>
    </w:p>
    <w:p w14:paraId="54ABB671" w14:textId="1D1A1D18" w:rsidR="00000000" w:rsidRDefault="00A568A1">
      <w:pPr>
        <w:pStyle w:val="TOC2"/>
        <w:tabs>
          <w:tab w:val="right" w:leader="dot" w:pos="9350"/>
        </w:tabs>
        <w:rPr>
          <w:smallCaps w:val="0"/>
          <w:noProof/>
        </w:rPr>
      </w:pPr>
      <w:hyperlink w:anchor="_Toc22544642" w:history="1">
        <w:r>
          <w:rPr>
            <w:rStyle w:val="Hyperlink"/>
            <w:noProof/>
          </w:rPr>
          <w:t>Acronyms and Definitions</w:t>
        </w:r>
        <w:r>
          <w:rPr>
            <w:noProof/>
            <w:webHidden/>
          </w:rPr>
          <w:tab/>
        </w:r>
        <w:r>
          <w:rPr>
            <w:noProof/>
            <w:webHidden/>
          </w:rPr>
          <w:fldChar w:fldCharType="begin"/>
        </w:r>
        <w:r>
          <w:rPr>
            <w:noProof/>
            <w:webHidden/>
          </w:rPr>
          <w:instrText xml:space="preserve"> PAGEREF _Toc22544642 \h </w:instrText>
        </w:r>
        <w:r>
          <w:rPr>
            <w:noProof/>
          </w:rPr>
        </w:r>
        <w:r>
          <w:rPr>
            <w:noProof/>
            <w:webHidden/>
          </w:rPr>
          <w:fldChar w:fldCharType="separate"/>
        </w:r>
        <w:r w:rsidR="006B3FD1">
          <w:rPr>
            <w:noProof/>
            <w:webHidden/>
          </w:rPr>
          <w:t>2</w:t>
        </w:r>
        <w:r>
          <w:rPr>
            <w:noProof/>
            <w:webHidden/>
          </w:rPr>
          <w:fldChar w:fldCharType="end"/>
        </w:r>
      </w:hyperlink>
    </w:p>
    <w:p w14:paraId="5A82E53D" w14:textId="1FDB4935" w:rsidR="00000000" w:rsidRDefault="00A568A1">
      <w:pPr>
        <w:pStyle w:val="TOC1"/>
        <w:tabs>
          <w:tab w:val="right" w:leader="dot" w:pos="9350"/>
        </w:tabs>
        <w:rPr>
          <w:b w:val="0"/>
          <w:bCs w:val="0"/>
          <w:caps w:val="0"/>
          <w:noProof/>
        </w:rPr>
      </w:pPr>
      <w:hyperlink w:anchor="_Toc22544643" w:history="1">
        <w:r>
          <w:rPr>
            <w:rStyle w:val="Hyperlink"/>
            <w:noProof/>
            <w:szCs w:val="36"/>
          </w:rPr>
          <w:t>User Release Notes</w:t>
        </w:r>
        <w:r>
          <w:rPr>
            <w:noProof/>
            <w:webHidden/>
          </w:rPr>
          <w:tab/>
        </w:r>
        <w:r>
          <w:rPr>
            <w:noProof/>
            <w:webHidden/>
          </w:rPr>
          <w:fldChar w:fldCharType="begin"/>
        </w:r>
        <w:r>
          <w:rPr>
            <w:noProof/>
            <w:webHidden/>
          </w:rPr>
          <w:instrText xml:space="preserve"> PAGEREF _Toc22544643 \h </w:instrText>
        </w:r>
        <w:r>
          <w:rPr>
            <w:noProof/>
          </w:rPr>
        </w:r>
        <w:r>
          <w:rPr>
            <w:noProof/>
            <w:webHidden/>
          </w:rPr>
          <w:fldChar w:fldCharType="separate"/>
        </w:r>
        <w:r w:rsidR="006B3FD1">
          <w:rPr>
            <w:noProof/>
            <w:webHidden/>
          </w:rPr>
          <w:t>3</w:t>
        </w:r>
        <w:r>
          <w:rPr>
            <w:noProof/>
            <w:webHidden/>
          </w:rPr>
          <w:fldChar w:fldCharType="end"/>
        </w:r>
      </w:hyperlink>
    </w:p>
    <w:p w14:paraId="6AA14D58" w14:textId="64CEF18A" w:rsidR="00000000" w:rsidRDefault="00A568A1">
      <w:pPr>
        <w:pStyle w:val="TOC2"/>
        <w:tabs>
          <w:tab w:val="right" w:leader="dot" w:pos="9350"/>
        </w:tabs>
        <w:rPr>
          <w:smallCaps w:val="0"/>
          <w:noProof/>
        </w:rPr>
      </w:pPr>
      <w:hyperlink w:anchor="_Toc22544644" w:history="1">
        <w:r>
          <w:rPr>
            <w:rStyle w:val="Hyperlink"/>
            <w:noProof/>
          </w:rPr>
          <w:t>HUD Indices (a.k.a</w:t>
        </w:r>
        <w:r>
          <w:rPr>
            <w:rStyle w:val="Hyperlink"/>
            <w:noProof/>
          </w:rPr>
          <w:t>. Geographic Means Test [GMT] Thresholds)</w:t>
        </w:r>
        <w:r>
          <w:rPr>
            <w:noProof/>
            <w:webHidden/>
          </w:rPr>
          <w:tab/>
        </w:r>
        <w:r>
          <w:rPr>
            <w:noProof/>
            <w:webHidden/>
          </w:rPr>
          <w:fldChar w:fldCharType="begin"/>
        </w:r>
        <w:r>
          <w:rPr>
            <w:noProof/>
            <w:webHidden/>
          </w:rPr>
          <w:instrText xml:space="preserve"> PAGEREF _Toc22544644 \h </w:instrText>
        </w:r>
        <w:r>
          <w:rPr>
            <w:noProof/>
          </w:rPr>
        </w:r>
        <w:r>
          <w:rPr>
            <w:noProof/>
            <w:webHidden/>
          </w:rPr>
          <w:fldChar w:fldCharType="separate"/>
        </w:r>
        <w:r w:rsidR="006B3FD1">
          <w:rPr>
            <w:noProof/>
            <w:webHidden/>
          </w:rPr>
          <w:t>3</w:t>
        </w:r>
        <w:r>
          <w:rPr>
            <w:noProof/>
            <w:webHidden/>
          </w:rPr>
          <w:fldChar w:fldCharType="end"/>
        </w:r>
      </w:hyperlink>
    </w:p>
    <w:p w14:paraId="4921104B" w14:textId="2F1177C6" w:rsidR="00000000" w:rsidRDefault="00A568A1">
      <w:pPr>
        <w:pStyle w:val="TOC2"/>
        <w:tabs>
          <w:tab w:val="right" w:leader="dot" w:pos="9350"/>
        </w:tabs>
        <w:rPr>
          <w:smallCaps w:val="0"/>
          <w:noProof/>
        </w:rPr>
      </w:pPr>
      <w:hyperlink w:anchor="_Toc22544645" w:history="1">
        <w:r>
          <w:rPr>
            <w:rStyle w:val="Hyperlink"/>
            <w:noProof/>
          </w:rPr>
          <w:t>GMT Copay Required Status</w:t>
        </w:r>
        <w:r>
          <w:rPr>
            <w:noProof/>
            <w:webHidden/>
          </w:rPr>
          <w:tab/>
        </w:r>
        <w:r>
          <w:rPr>
            <w:noProof/>
            <w:webHidden/>
          </w:rPr>
          <w:fldChar w:fldCharType="begin"/>
        </w:r>
        <w:r>
          <w:rPr>
            <w:noProof/>
            <w:webHidden/>
          </w:rPr>
          <w:instrText xml:space="preserve"> PAGEREF _Toc22544645 \h </w:instrText>
        </w:r>
        <w:r>
          <w:rPr>
            <w:noProof/>
          </w:rPr>
        </w:r>
        <w:r>
          <w:rPr>
            <w:noProof/>
            <w:webHidden/>
          </w:rPr>
          <w:fldChar w:fldCharType="separate"/>
        </w:r>
        <w:r w:rsidR="006B3FD1">
          <w:rPr>
            <w:noProof/>
            <w:webHidden/>
          </w:rPr>
          <w:t>3</w:t>
        </w:r>
        <w:r>
          <w:rPr>
            <w:noProof/>
            <w:webHidden/>
          </w:rPr>
          <w:fldChar w:fldCharType="end"/>
        </w:r>
      </w:hyperlink>
    </w:p>
    <w:p w14:paraId="147AF998" w14:textId="6C4DD2D7" w:rsidR="00000000" w:rsidRDefault="00A568A1">
      <w:pPr>
        <w:pStyle w:val="TOC2"/>
        <w:tabs>
          <w:tab w:val="right" w:leader="dot" w:pos="9350"/>
        </w:tabs>
        <w:rPr>
          <w:smallCaps w:val="0"/>
          <w:noProof/>
        </w:rPr>
      </w:pPr>
      <w:hyperlink w:anchor="_Toc22544646" w:history="1">
        <w:r>
          <w:rPr>
            <w:rStyle w:val="Hyperlink"/>
            <w:noProof/>
          </w:rPr>
          <w:t>New User Options for GMT Threshold Lookups</w:t>
        </w:r>
        <w:r>
          <w:rPr>
            <w:noProof/>
            <w:webHidden/>
          </w:rPr>
          <w:tab/>
        </w:r>
        <w:r>
          <w:rPr>
            <w:noProof/>
            <w:webHidden/>
          </w:rPr>
          <w:fldChar w:fldCharType="begin"/>
        </w:r>
        <w:r>
          <w:rPr>
            <w:noProof/>
            <w:webHidden/>
          </w:rPr>
          <w:instrText xml:space="preserve"> PAGEREF _Toc225</w:instrText>
        </w:r>
        <w:r>
          <w:rPr>
            <w:noProof/>
            <w:webHidden/>
          </w:rPr>
          <w:instrText xml:space="preserve">44646 \h </w:instrText>
        </w:r>
        <w:r>
          <w:rPr>
            <w:noProof/>
          </w:rPr>
        </w:r>
        <w:r>
          <w:rPr>
            <w:noProof/>
            <w:webHidden/>
          </w:rPr>
          <w:fldChar w:fldCharType="separate"/>
        </w:r>
        <w:r w:rsidR="006B3FD1">
          <w:rPr>
            <w:noProof/>
            <w:webHidden/>
          </w:rPr>
          <w:t>4</w:t>
        </w:r>
        <w:r>
          <w:rPr>
            <w:noProof/>
            <w:webHidden/>
          </w:rPr>
          <w:fldChar w:fldCharType="end"/>
        </w:r>
      </w:hyperlink>
    </w:p>
    <w:p w14:paraId="4CC608B8" w14:textId="58288E6A" w:rsidR="00000000" w:rsidRDefault="00A568A1">
      <w:pPr>
        <w:pStyle w:val="TOC2"/>
        <w:tabs>
          <w:tab w:val="right" w:leader="dot" w:pos="9350"/>
        </w:tabs>
        <w:rPr>
          <w:smallCaps w:val="0"/>
          <w:noProof/>
        </w:rPr>
      </w:pPr>
      <w:hyperlink w:anchor="_Toc22544647" w:history="1">
        <w:r>
          <w:rPr>
            <w:rStyle w:val="Hyperlink"/>
            <w:noProof/>
          </w:rPr>
          <w:t>Modify Enrollment Priority Group 7</w:t>
        </w:r>
        <w:r>
          <w:rPr>
            <w:noProof/>
            <w:webHidden/>
          </w:rPr>
          <w:tab/>
        </w:r>
        <w:r>
          <w:rPr>
            <w:noProof/>
            <w:webHidden/>
          </w:rPr>
          <w:fldChar w:fldCharType="begin"/>
        </w:r>
        <w:r>
          <w:rPr>
            <w:noProof/>
            <w:webHidden/>
          </w:rPr>
          <w:instrText xml:space="preserve"> PAGEREF _Toc22544647 \h </w:instrText>
        </w:r>
        <w:r>
          <w:rPr>
            <w:noProof/>
          </w:rPr>
        </w:r>
        <w:r>
          <w:rPr>
            <w:noProof/>
            <w:webHidden/>
          </w:rPr>
          <w:fldChar w:fldCharType="separate"/>
        </w:r>
        <w:r w:rsidR="006B3FD1">
          <w:rPr>
            <w:noProof/>
            <w:webHidden/>
          </w:rPr>
          <w:t>4</w:t>
        </w:r>
        <w:r>
          <w:rPr>
            <w:noProof/>
            <w:webHidden/>
          </w:rPr>
          <w:fldChar w:fldCharType="end"/>
        </w:r>
      </w:hyperlink>
    </w:p>
    <w:p w14:paraId="64496624" w14:textId="571C6F8E" w:rsidR="00000000" w:rsidRDefault="00A568A1">
      <w:pPr>
        <w:pStyle w:val="TOC2"/>
        <w:tabs>
          <w:tab w:val="right" w:leader="dot" w:pos="9350"/>
        </w:tabs>
        <w:rPr>
          <w:smallCaps w:val="0"/>
          <w:noProof/>
        </w:rPr>
      </w:pPr>
      <w:hyperlink w:anchor="_Toc22544648" w:history="1">
        <w:r>
          <w:rPr>
            <w:rStyle w:val="Hyperlink"/>
            <w:noProof/>
          </w:rPr>
          <w:t>Create Enrollment Priority Group 8</w:t>
        </w:r>
        <w:r>
          <w:rPr>
            <w:noProof/>
            <w:webHidden/>
          </w:rPr>
          <w:tab/>
        </w:r>
        <w:r>
          <w:rPr>
            <w:noProof/>
            <w:webHidden/>
          </w:rPr>
          <w:fldChar w:fldCharType="begin"/>
        </w:r>
        <w:r>
          <w:rPr>
            <w:noProof/>
            <w:webHidden/>
          </w:rPr>
          <w:instrText xml:space="preserve"> PAGEREF _Toc22544648 \h </w:instrText>
        </w:r>
        <w:r>
          <w:rPr>
            <w:noProof/>
          </w:rPr>
        </w:r>
        <w:r>
          <w:rPr>
            <w:noProof/>
            <w:webHidden/>
          </w:rPr>
          <w:fldChar w:fldCharType="separate"/>
        </w:r>
        <w:r w:rsidR="006B3FD1">
          <w:rPr>
            <w:noProof/>
            <w:webHidden/>
          </w:rPr>
          <w:t>5</w:t>
        </w:r>
        <w:r>
          <w:rPr>
            <w:noProof/>
            <w:webHidden/>
          </w:rPr>
          <w:fldChar w:fldCharType="end"/>
        </w:r>
      </w:hyperlink>
    </w:p>
    <w:p w14:paraId="6EE0511C" w14:textId="3F63E098" w:rsidR="00000000" w:rsidRDefault="00A568A1">
      <w:pPr>
        <w:pStyle w:val="TOC2"/>
        <w:tabs>
          <w:tab w:val="right" w:leader="dot" w:pos="9350"/>
        </w:tabs>
        <w:rPr>
          <w:smallCaps w:val="0"/>
          <w:noProof/>
        </w:rPr>
      </w:pPr>
      <w:hyperlink w:anchor="_Toc22544649" w:history="1">
        <w:r>
          <w:rPr>
            <w:rStyle w:val="Hyperlink"/>
            <w:noProof/>
          </w:rPr>
          <w:t>Reset the E</w:t>
        </w:r>
        <w:r>
          <w:rPr>
            <w:rStyle w:val="Hyperlink"/>
            <w:noProof/>
          </w:rPr>
          <w:t>nrollment Group Threshold (EGT)</w:t>
        </w:r>
        <w:r>
          <w:rPr>
            <w:noProof/>
            <w:webHidden/>
          </w:rPr>
          <w:tab/>
        </w:r>
        <w:r>
          <w:rPr>
            <w:noProof/>
            <w:webHidden/>
          </w:rPr>
          <w:fldChar w:fldCharType="begin"/>
        </w:r>
        <w:r>
          <w:rPr>
            <w:noProof/>
            <w:webHidden/>
          </w:rPr>
          <w:instrText xml:space="preserve"> PAGEREF _Toc22544649 \h </w:instrText>
        </w:r>
        <w:r>
          <w:rPr>
            <w:noProof/>
          </w:rPr>
        </w:r>
        <w:r>
          <w:rPr>
            <w:noProof/>
            <w:webHidden/>
          </w:rPr>
          <w:fldChar w:fldCharType="separate"/>
        </w:r>
        <w:r w:rsidR="006B3FD1">
          <w:rPr>
            <w:noProof/>
            <w:webHidden/>
          </w:rPr>
          <w:t>5</w:t>
        </w:r>
        <w:r>
          <w:rPr>
            <w:noProof/>
            <w:webHidden/>
          </w:rPr>
          <w:fldChar w:fldCharType="end"/>
        </w:r>
      </w:hyperlink>
    </w:p>
    <w:p w14:paraId="2E949DCD" w14:textId="600B0CA4" w:rsidR="00000000" w:rsidRDefault="00A568A1">
      <w:pPr>
        <w:pStyle w:val="TOC2"/>
        <w:tabs>
          <w:tab w:val="right" w:leader="dot" w:pos="9350"/>
        </w:tabs>
        <w:rPr>
          <w:smallCaps w:val="0"/>
          <w:noProof/>
        </w:rPr>
      </w:pPr>
      <w:hyperlink w:anchor="_Toc22544650" w:history="1">
        <w:r>
          <w:rPr>
            <w:rStyle w:val="Hyperlink"/>
            <w:noProof/>
          </w:rPr>
          <w:t>Changes to Category A and Category C References</w:t>
        </w:r>
        <w:r>
          <w:rPr>
            <w:noProof/>
            <w:webHidden/>
          </w:rPr>
          <w:tab/>
        </w:r>
        <w:r>
          <w:rPr>
            <w:noProof/>
            <w:webHidden/>
          </w:rPr>
          <w:fldChar w:fldCharType="begin"/>
        </w:r>
        <w:r>
          <w:rPr>
            <w:noProof/>
            <w:webHidden/>
          </w:rPr>
          <w:instrText xml:space="preserve"> PAGEREF _Toc22544650 \h </w:instrText>
        </w:r>
        <w:r>
          <w:rPr>
            <w:noProof/>
          </w:rPr>
        </w:r>
        <w:r>
          <w:rPr>
            <w:noProof/>
            <w:webHidden/>
          </w:rPr>
          <w:fldChar w:fldCharType="separate"/>
        </w:r>
        <w:r w:rsidR="006B3FD1">
          <w:rPr>
            <w:noProof/>
            <w:webHidden/>
          </w:rPr>
          <w:t>5</w:t>
        </w:r>
        <w:r>
          <w:rPr>
            <w:noProof/>
            <w:webHidden/>
          </w:rPr>
          <w:fldChar w:fldCharType="end"/>
        </w:r>
      </w:hyperlink>
    </w:p>
    <w:p w14:paraId="16769A6A" w14:textId="0C65C8C9" w:rsidR="00000000" w:rsidRDefault="00A568A1">
      <w:pPr>
        <w:pStyle w:val="TOC1"/>
        <w:tabs>
          <w:tab w:val="right" w:leader="dot" w:pos="9350"/>
        </w:tabs>
        <w:rPr>
          <w:b w:val="0"/>
          <w:bCs w:val="0"/>
          <w:caps w:val="0"/>
          <w:noProof/>
        </w:rPr>
      </w:pPr>
      <w:hyperlink w:anchor="_Toc22544651" w:history="1">
        <w:r>
          <w:rPr>
            <w:rStyle w:val="Hyperlink"/>
            <w:noProof/>
            <w:szCs w:val="36"/>
          </w:rPr>
          <w:t>Technical Release Notes</w:t>
        </w:r>
        <w:r>
          <w:rPr>
            <w:noProof/>
            <w:webHidden/>
          </w:rPr>
          <w:tab/>
        </w:r>
        <w:r>
          <w:rPr>
            <w:noProof/>
            <w:webHidden/>
          </w:rPr>
          <w:fldChar w:fldCharType="begin"/>
        </w:r>
        <w:r>
          <w:rPr>
            <w:noProof/>
            <w:webHidden/>
          </w:rPr>
          <w:instrText xml:space="preserve"> PAGEREF _Toc22544651 \</w:instrText>
        </w:r>
        <w:r>
          <w:rPr>
            <w:noProof/>
            <w:webHidden/>
          </w:rPr>
          <w:instrText xml:space="preserve">h </w:instrText>
        </w:r>
        <w:r>
          <w:rPr>
            <w:noProof/>
          </w:rPr>
        </w:r>
        <w:r>
          <w:rPr>
            <w:noProof/>
            <w:webHidden/>
          </w:rPr>
          <w:fldChar w:fldCharType="separate"/>
        </w:r>
        <w:r w:rsidR="006B3FD1">
          <w:rPr>
            <w:noProof/>
            <w:webHidden/>
          </w:rPr>
          <w:t>6</w:t>
        </w:r>
        <w:r>
          <w:rPr>
            <w:noProof/>
            <w:webHidden/>
          </w:rPr>
          <w:fldChar w:fldCharType="end"/>
        </w:r>
      </w:hyperlink>
    </w:p>
    <w:p w14:paraId="5F0E9F49" w14:textId="6DE4E660" w:rsidR="00000000" w:rsidRDefault="00A568A1">
      <w:pPr>
        <w:pStyle w:val="TOC2"/>
        <w:tabs>
          <w:tab w:val="right" w:leader="dot" w:pos="9350"/>
        </w:tabs>
        <w:rPr>
          <w:smallCaps w:val="0"/>
          <w:noProof/>
        </w:rPr>
      </w:pPr>
      <w:hyperlink w:anchor="_Toc22544652" w:history="1">
        <w:r>
          <w:rPr>
            <w:rStyle w:val="Hyperlink"/>
            <w:noProof/>
            <w:szCs w:val="32"/>
          </w:rPr>
          <w:t>Patch Installation Sequence</w:t>
        </w:r>
        <w:r>
          <w:rPr>
            <w:noProof/>
            <w:webHidden/>
          </w:rPr>
          <w:tab/>
        </w:r>
        <w:r>
          <w:rPr>
            <w:noProof/>
            <w:webHidden/>
          </w:rPr>
          <w:fldChar w:fldCharType="begin"/>
        </w:r>
        <w:r>
          <w:rPr>
            <w:noProof/>
            <w:webHidden/>
          </w:rPr>
          <w:instrText xml:space="preserve"> PAGEREF _Toc22544652 \h </w:instrText>
        </w:r>
        <w:r>
          <w:rPr>
            <w:noProof/>
          </w:rPr>
        </w:r>
        <w:r>
          <w:rPr>
            <w:noProof/>
            <w:webHidden/>
          </w:rPr>
          <w:fldChar w:fldCharType="separate"/>
        </w:r>
        <w:r w:rsidR="006B3FD1">
          <w:rPr>
            <w:noProof/>
            <w:webHidden/>
          </w:rPr>
          <w:t>6</w:t>
        </w:r>
        <w:r>
          <w:rPr>
            <w:noProof/>
            <w:webHidden/>
          </w:rPr>
          <w:fldChar w:fldCharType="end"/>
        </w:r>
      </w:hyperlink>
    </w:p>
    <w:p w14:paraId="4F0197FF" w14:textId="623900AC" w:rsidR="00000000" w:rsidRDefault="00A568A1">
      <w:pPr>
        <w:pStyle w:val="TOC2"/>
        <w:tabs>
          <w:tab w:val="right" w:leader="dot" w:pos="9350"/>
        </w:tabs>
        <w:rPr>
          <w:smallCaps w:val="0"/>
          <w:noProof/>
        </w:rPr>
      </w:pPr>
      <w:hyperlink w:anchor="_Toc22544653" w:history="1">
        <w:r>
          <w:rPr>
            <w:rStyle w:val="Hyperlink"/>
            <w:noProof/>
          </w:rPr>
          <w:t>Address Indexing (AI)</w:t>
        </w:r>
        <w:r>
          <w:rPr>
            <w:noProof/>
            <w:webHidden/>
          </w:rPr>
          <w:tab/>
        </w:r>
        <w:r>
          <w:rPr>
            <w:noProof/>
            <w:webHidden/>
          </w:rPr>
          <w:fldChar w:fldCharType="begin"/>
        </w:r>
        <w:r>
          <w:rPr>
            <w:noProof/>
            <w:webHidden/>
          </w:rPr>
          <w:instrText xml:space="preserve"> PAGEREF _Toc22544653 \h </w:instrText>
        </w:r>
        <w:r>
          <w:rPr>
            <w:noProof/>
          </w:rPr>
        </w:r>
        <w:r>
          <w:rPr>
            <w:noProof/>
            <w:webHidden/>
          </w:rPr>
          <w:fldChar w:fldCharType="separate"/>
        </w:r>
        <w:r w:rsidR="006B3FD1">
          <w:rPr>
            <w:noProof/>
            <w:webHidden/>
          </w:rPr>
          <w:t>7</w:t>
        </w:r>
        <w:r>
          <w:rPr>
            <w:noProof/>
            <w:webHidden/>
          </w:rPr>
          <w:fldChar w:fldCharType="end"/>
        </w:r>
      </w:hyperlink>
    </w:p>
    <w:p w14:paraId="0B3101BC" w14:textId="67661001" w:rsidR="00000000" w:rsidRDefault="00A568A1">
      <w:pPr>
        <w:pStyle w:val="TOC2"/>
        <w:tabs>
          <w:tab w:val="right" w:leader="dot" w:pos="9350"/>
        </w:tabs>
        <w:rPr>
          <w:smallCaps w:val="0"/>
          <w:noProof/>
        </w:rPr>
      </w:pPr>
      <w:hyperlink w:anchor="_Toc22544654" w:history="1">
        <w:r>
          <w:rPr>
            <w:rStyle w:val="Hyperlink"/>
            <w:noProof/>
          </w:rPr>
          <w:t>HL7 Messaging Changes</w:t>
        </w:r>
        <w:r>
          <w:rPr>
            <w:noProof/>
            <w:webHidden/>
          </w:rPr>
          <w:tab/>
        </w:r>
        <w:r>
          <w:rPr>
            <w:noProof/>
            <w:webHidden/>
          </w:rPr>
          <w:fldChar w:fldCharType="begin"/>
        </w:r>
        <w:r>
          <w:rPr>
            <w:noProof/>
            <w:webHidden/>
          </w:rPr>
          <w:instrText xml:space="preserve"> PAGEREF _Toc22</w:instrText>
        </w:r>
        <w:r>
          <w:rPr>
            <w:noProof/>
            <w:webHidden/>
          </w:rPr>
          <w:instrText xml:space="preserve">544654 \h </w:instrText>
        </w:r>
        <w:r>
          <w:rPr>
            <w:noProof/>
          </w:rPr>
        </w:r>
        <w:r>
          <w:rPr>
            <w:noProof/>
            <w:webHidden/>
          </w:rPr>
          <w:fldChar w:fldCharType="separate"/>
        </w:r>
        <w:r w:rsidR="006B3FD1">
          <w:rPr>
            <w:noProof/>
            <w:webHidden/>
          </w:rPr>
          <w:t>7</w:t>
        </w:r>
        <w:r>
          <w:rPr>
            <w:noProof/>
            <w:webHidden/>
          </w:rPr>
          <w:fldChar w:fldCharType="end"/>
        </w:r>
      </w:hyperlink>
    </w:p>
    <w:p w14:paraId="721C3294" w14:textId="55F3EA3C" w:rsidR="00000000" w:rsidRDefault="00A568A1">
      <w:pPr>
        <w:pStyle w:val="TOC3"/>
        <w:tabs>
          <w:tab w:val="right" w:leader="dot" w:pos="9350"/>
        </w:tabs>
        <w:rPr>
          <w:i w:val="0"/>
          <w:iCs w:val="0"/>
          <w:noProof/>
        </w:rPr>
      </w:pPr>
      <w:hyperlink w:anchor="_Toc22544655" w:history="1">
        <w:r>
          <w:rPr>
            <w:rStyle w:val="Hyperlink"/>
            <w:noProof/>
            <w:szCs w:val="28"/>
          </w:rPr>
          <w:t>Z05, Demographic Data Transmission</w:t>
        </w:r>
        <w:r>
          <w:rPr>
            <w:noProof/>
            <w:webHidden/>
          </w:rPr>
          <w:tab/>
        </w:r>
        <w:r>
          <w:rPr>
            <w:noProof/>
            <w:webHidden/>
          </w:rPr>
          <w:fldChar w:fldCharType="begin"/>
        </w:r>
        <w:r>
          <w:rPr>
            <w:noProof/>
            <w:webHidden/>
          </w:rPr>
          <w:instrText xml:space="preserve"> PAGEREF _Toc22544655 \h </w:instrText>
        </w:r>
        <w:r>
          <w:rPr>
            <w:noProof/>
          </w:rPr>
        </w:r>
        <w:r>
          <w:rPr>
            <w:noProof/>
            <w:webHidden/>
          </w:rPr>
          <w:fldChar w:fldCharType="separate"/>
        </w:r>
        <w:r w:rsidR="006B3FD1">
          <w:rPr>
            <w:noProof/>
            <w:webHidden/>
          </w:rPr>
          <w:t>7</w:t>
        </w:r>
        <w:r>
          <w:rPr>
            <w:noProof/>
            <w:webHidden/>
          </w:rPr>
          <w:fldChar w:fldCharType="end"/>
        </w:r>
      </w:hyperlink>
    </w:p>
    <w:p w14:paraId="3ECD5B31" w14:textId="56939044" w:rsidR="00000000" w:rsidRDefault="00A568A1">
      <w:pPr>
        <w:pStyle w:val="TOC3"/>
        <w:tabs>
          <w:tab w:val="right" w:leader="dot" w:pos="9350"/>
        </w:tabs>
        <w:rPr>
          <w:i w:val="0"/>
          <w:iCs w:val="0"/>
          <w:noProof/>
        </w:rPr>
      </w:pPr>
      <w:hyperlink w:anchor="_Toc22544656" w:history="1">
        <w:r>
          <w:rPr>
            <w:rStyle w:val="Hyperlink"/>
            <w:noProof/>
            <w:szCs w:val="28"/>
          </w:rPr>
          <w:t>Z07, Full Data Transmission from VAMC to HEC</w:t>
        </w:r>
        <w:r>
          <w:rPr>
            <w:noProof/>
            <w:webHidden/>
          </w:rPr>
          <w:tab/>
        </w:r>
        <w:r>
          <w:rPr>
            <w:noProof/>
            <w:webHidden/>
          </w:rPr>
          <w:fldChar w:fldCharType="begin"/>
        </w:r>
        <w:r>
          <w:rPr>
            <w:noProof/>
            <w:webHidden/>
          </w:rPr>
          <w:instrText xml:space="preserve"> PAGEREF _Toc22544656 \h </w:instrText>
        </w:r>
        <w:r>
          <w:rPr>
            <w:noProof/>
          </w:rPr>
        </w:r>
        <w:r>
          <w:rPr>
            <w:noProof/>
            <w:webHidden/>
          </w:rPr>
          <w:fldChar w:fldCharType="separate"/>
        </w:r>
        <w:r w:rsidR="006B3FD1">
          <w:rPr>
            <w:noProof/>
            <w:webHidden/>
          </w:rPr>
          <w:t>7</w:t>
        </w:r>
        <w:r>
          <w:rPr>
            <w:noProof/>
            <w:webHidden/>
          </w:rPr>
          <w:fldChar w:fldCharType="end"/>
        </w:r>
      </w:hyperlink>
    </w:p>
    <w:p w14:paraId="6730315A" w14:textId="390B9976" w:rsidR="00000000" w:rsidRDefault="00A568A1">
      <w:pPr>
        <w:pStyle w:val="TOC3"/>
        <w:tabs>
          <w:tab w:val="right" w:leader="dot" w:pos="9350"/>
        </w:tabs>
        <w:rPr>
          <w:i w:val="0"/>
          <w:iCs w:val="0"/>
          <w:noProof/>
        </w:rPr>
      </w:pPr>
      <w:hyperlink w:anchor="_Toc22544657" w:history="1">
        <w:r>
          <w:rPr>
            <w:rStyle w:val="Hyperlink"/>
            <w:noProof/>
            <w:szCs w:val="28"/>
          </w:rPr>
          <w:t>Z10, Income Test Data Transmission from HEC to VAMC</w:t>
        </w:r>
        <w:r>
          <w:rPr>
            <w:noProof/>
            <w:webHidden/>
          </w:rPr>
          <w:tab/>
        </w:r>
        <w:r>
          <w:rPr>
            <w:noProof/>
            <w:webHidden/>
          </w:rPr>
          <w:fldChar w:fldCharType="begin"/>
        </w:r>
        <w:r>
          <w:rPr>
            <w:noProof/>
            <w:webHidden/>
          </w:rPr>
          <w:instrText xml:space="preserve"> PAGEREF _Toc22544657 \h </w:instrText>
        </w:r>
        <w:r>
          <w:rPr>
            <w:noProof/>
          </w:rPr>
        </w:r>
        <w:r>
          <w:rPr>
            <w:noProof/>
            <w:webHidden/>
          </w:rPr>
          <w:fldChar w:fldCharType="separate"/>
        </w:r>
        <w:r w:rsidR="006B3FD1">
          <w:rPr>
            <w:noProof/>
            <w:webHidden/>
          </w:rPr>
          <w:t>7</w:t>
        </w:r>
        <w:r>
          <w:rPr>
            <w:noProof/>
            <w:webHidden/>
          </w:rPr>
          <w:fldChar w:fldCharType="end"/>
        </w:r>
      </w:hyperlink>
    </w:p>
    <w:p w14:paraId="3EE23FA2" w14:textId="7EDB7649" w:rsidR="00000000" w:rsidRDefault="00A568A1">
      <w:pPr>
        <w:pStyle w:val="TOC2"/>
        <w:tabs>
          <w:tab w:val="right" w:leader="dot" w:pos="9350"/>
        </w:tabs>
        <w:rPr>
          <w:smallCaps w:val="0"/>
          <w:noProof/>
        </w:rPr>
      </w:pPr>
      <w:hyperlink w:anchor="_Toc22544658" w:history="1">
        <w:r>
          <w:rPr>
            <w:rStyle w:val="Hyperlink"/>
            <w:noProof/>
          </w:rPr>
          <w:t>One-time Conversion</w:t>
        </w:r>
        <w:r>
          <w:rPr>
            <w:noProof/>
            <w:webHidden/>
          </w:rPr>
          <w:tab/>
        </w:r>
        <w:r>
          <w:rPr>
            <w:noProof/>
            <w:webHidden/>
          </w:rPr>
          <w:fldChar w:fldCharType="begin"/>
        </w:r>
        <w:r>
          <w:rPr>
            <w:noProof/>
            <w:webHidden/>
          </w:rPr>
          <w:instrText xml:space="preserve"> PAGEREF _Toc22544658 \h </w:instrText>
        </w:r>
        <w:r>
          <w:rPr>
            <w:noProof/>
          </w:rPr>
        </w:r>
        <w:r>
          <w:rPr>
            <w:noProof/>
            <w:webHidden/>
          </w:rPr>
          <w:fldChar w:fldCharType="separate"/>
        </w:r>
        <w:r w:rsidR="006B3FD1">
          <w:rPr>
            <w:noProof/>
            <w:webHidden/>
          </w:rPr>
          <w:t>8</w:t>
        </w:r>
        <w:r>
          <w:rPr>
            <w:noProof/>
            <w:webHidden/>
          </w:rPr>
          <w:fldChar w:fldCharType="end"/>
        </w:r>
      </w:hyperlink>
    </w:p>
    <w:p w14:paraId="08AFFFF3" w14:textId="28533EB3" w:rsidR="00000000" w:rsidRDefault="00A568A1">
      <w:pPr>
        <w:pStyle w:val="TOC2"/>
        <w:tabs>
          <w:tab w:val="right" w:leader="dot" w:pos="9350"/>
        </w:tabs>
        <w:rPr>
          <w:smallCaps w:val="0"/>
          <w:noProof/>
        </w:rPr>
      </w:pPr>
      <w:hyperlink w:anchor="_Toc22544659" w:history="1">
        <w:r>
          <w:rPr>
            <w:rStyle w:val="Hyperlink"/>
            <w:noProof/>
          </w:rPr>
          <w:t>Conversion Rep</w:t>
        </w:r>
        <w:r>
          <w:rPr>
            <w:rStyle w:val="Hyperlink"/>
            <w:noProof/>
          </w:rPr>
          <w:t>o</w:t>
        </w:r>
        <w:r>
          <w:rPr>
            <w:rStyle w:val="Hyperlink"/>
            <w:noProof/>
          </w:rPr>
          <w:t>rt</w:t>
        </w:r>
        <w:r>
          <w:rPr>
            <w:noProof/>
            <w:webHidden/>
          </w:rPr>
          <w:tab/>
        </w:r>
        <w:r>
          <w:rPr>
            <w:noProof/>
            <w:webHidden/>
          </w:rPr>
          <w:fldChar w:fldCharType="begin"/>
        </w:r>
        <w:r>
          <w:rPr>
            <w:noProof/>
            <w:webHidden/>
          </w:rPr>
          <w:instrText xml:space="preserve"> PAGEREF _Toc22544659 \h </w:instrText>
        </w:r>
        <w:r>
          <w:rPr>
            <w:noProof/>
          </w:rPr>
        </w:r>
        <w:r>
          <w:rPr>
            <w:noProof/>
            <w:webHidden/>
          </w:rPr>
          <w:fldChar w:fldCharType="separate"/>
        </w:r>
        <w:r w:rsidR="006B3FD1">
          <w:rPr>
            <w:noProof/>
            <w:webHidden/>
          </w:rPr>
          <w:t>8</w:t>
        </w:r>
        <w:r>
          <w:rPr>
            <w:noProof/>
            <w:webHidden/>
          </w:rPr>
          <w:fldChar w:fldCharType="end"/>
        </w:r>
      </w:hyperlink>
    </w:p>
    <w:p w14:paraId="62FAB570" w14:textId="3B8C2878" w:rsidR="00000000" w:rsidRDefault="00A568A1">
      <w:pPr>
        <w:pStyle w:val="TOC1"/>
        <w:tabs>
          <w:tab w:val="right" w:leader="dot" w:pos="9350"/>
        </w:tabs>
        <w:rPr>
          <w:b w:val="0"/>
          <w:bCs w:val="0"/>
          <w:caps w:val="0"/>
          <w:noProof/>
        </w:rPr>
      </w:pPr>
      <w:hyperlink w:anchor="_Toc22544660" w:history="1">
        <w:r>
          <w:rPr>
            <w:rStyle w:val="Hyperlink"/>
            <w:noProof/>
            <w:szCs w:val="36"/>
          </w:rPr>
          <w:t xml:space="preserve">Appendix A – GMT Enrollment Priority / Copayment Status Matrix  </w:t>
        </w:r>
        <w:r>
          <w:rPr>
            <w:noProof/>
            <w:webHidden/>
          </w:rPr>
          <w:tab/>
        </w:r>
        <w:r>
          <w:rPr>
            <w:noProof/>
            <w:webHidden/>
          </w:rPr>
          <w:fldChar w:fldCharType="begin"/>
        </w:r>
        <w:r>
          <w:rPr>
            <w:noProof/>
            <w:webHidden/>
          </w:rPr>
          <w:instrText xml:space="preserve"> PAGEREF _Toc22544660 \h </w:instrText>
        </w:r>
        <w:r>
          <w:rPr>
            <w:noProof/>
          </w:rPr>
        </w:r>
        <w:r>
          <w:rPr>
            <w:noProof/>
            <w:webHidden/>
          </w:rPr>
          <w:fldChar w:fldCharType="separate"/>
        </w:r>
        <w:r w:rsidR="006B3FD1">
          <w:rPr>
            <w:noProof/>
            <w:webHidden/>
          </w:rPr>
          <w:t>9</w:t>
        </w:r>
        <w:r>
          <w:rPr>
            <w:noProof/>
            <w:webHidden/>
          </w:rPr>
          <w:fldChar w:fldCharType="end"/>
        </w:r>
      </w:hyperlink>
    </w:p>
    <w:p w14:paraId="470F7150" w14:textId="1A1AED2A" w:rsidR="00000000" w:rsidRDefault="00A568A1">
      <w:pPr>
        <w:pStyle w:val="TOC1"/>
        <w:tabs>
          <w:tab w:val="right" w:leader="dot" w:pos="9350"/>
        </w:tabs>
        <w:rPr>
          <w:b w:val="0"/>
          <w:bCs w:val="0"/>
          <w:caps w:val="0"/>
          <w:noProof/>
        </w:rPr>
      </w:pPr>
      <w:hyperlink w:anchor="_Toc22544661" w:history="1">
        <w:r>
          <w:rPr>
            <w:rStyle w:val="Hyperlink"/>
            <w:noProof/>
            <w:szCs w:val="36"/>
          </w:rPr>
          <w:t xml:space="preserve">Appendix B – Conversion Matrix for MT Copay Required Veterans  </w:t>
        </w:r>
        <w:r>
          <w:rPr>
            <w:noProof/>
            <w:webHidden/>
          </w:rPr>
          <w:tab/>
        </w:r>
        <w:r>
          <w:rPr>
            <w:noProof/>
            <w:webHidden/>
          </w:rPr>
          <w:fldChar w:fldCharType="begin"/>
        </w:r>
        <w:r>
          <w:rPr>
            <w:noProof/>
            <w:webHidden/>
          </w:rPr>
          <w:instrText xml:space="preserve"> PAGEREF _Toc22544661 \h </w:instrText>
        </w:r>
        <w:r>
          <w:rPr>
            <w:noProof/>
          </w:rPr>
        </w:r>
        <w:r>
          <w:rPr>
            <w:noProof/>
            <w:webHidden/>
          </w:rPr>
          <w:fldChar w:fldCharType="separate"/>
        </w:r>
        <w:r w:rsidR="006B3FD1">
          <w:rPr>
            <w:noProof/>
            <w:webHidden/>
          </w:rPr>
          <w:t>10</w:t>
        </w:r>
        <w:r>
          <w:rPr>
            <w:noProof/>
            <w:webHidden/>
          </w:rPr>
          <w:fldChar w:fldCharType="end"/>
        </w:r>
      </w:hyperlink>
    </w:p>
    <w:p w14:paraId="367AEBEB" w14:textId="77777777" w:rsidR="00000000" w:rsidRDefault="00A568A1">
      <w:r>
        <w:fldChar w:fldCharType="end"/>
      </w:r>
    </w:p>
    <w:p w14:paraId="24B978C1" w14:textId="77777777" w:rsidR="00000000" w:rsidRDefault="00A568A1"/>
    <w:p w14:paraId="7A5A4A8B" w14:textId="77777777" w:rsidR="00000000" w:rsidRDefault="00A568A1">
      <w:pPr>
        <w:sectPr w:rsidR="00000000">
          <w:footerReference w:type="default" r:id="rId7"/>
          <w:footerReference w:type="first" r:id="rId8"/>
          <w:pgSz w:w="12240" w:h="15840"/>
          <w:pgMar w:top="1440" w:right="1440" w:bottom="1440" w:left="1440" w:header="720" w:footer="720" w:gutter="0"/>
          <w:pgNumType w:fmt="lowerRoman" w:start="1"/>
          <w:cols w:space="720"/>
          <w:titlePg/>
          <w:docGrid w:linePitch="360"/>
        </w:sectPr>
      </w:pPr>
    </w:p>
    <w:p w14:paraId="74EAACCE" w14:textId="77777777" w:rsidR="00000000" w:rsidRDefault="00A568A1">
      <w:pPr>
        <w:pStyle w:val="Heading1"/>
      </w:pPr>
      <w:bookmarkStart w:id="0" w:name="_Toc22544638"/>
      <w:r>
        <w:lastRenderedPageBreak/>
        <w:t>Introduction</w:t>
      </w:r>
      <w:bookmarkEnd w:id="0"/>
    </w:p>
    <w:p w14:paraId="69F453D8" w14:textId="77777777" w:rsidR="00000000" w:rsidRDefault="00A568A1"/>
    <w:p w14:paraId="5D416CCB" w14:textId="77777777" w:rsidR="00000000" w:rsidRDefault="00A568A1">
      <w:pPr>
        <w:pStyle w:val="Heading2"/>
      </w:pPr>
      <w:bookmarkStart w:id="1" w:name="_Toc22544639"/>
      <w:r>
        <w:t>Overview</w:t>
      </w:r>
      <w:bookmarkEnd w:id="1"/>
    </w:p>
    <w:p w14:paraId="31F79418" w14:textId="77777777" w:rsidR="00000000" w:rsidRDefault="00A568A1"/>
    <w:p w14:paraId="01F9293A" w14:textId="77777777" w:rsidR="00000000" w:rsidRDefault="00A568A1">
      <w:r>
        <w:t xml:space="preserve">On January 23, 2002, President Bush signed into law Public Law 107-135, </w:t>
      </w:r>
      <w:r>
        <w:rPr>
          <w:i/>
          <w:iCs/>
        </w:rPr>
        <w:t>The Department of Veterans Affairs Health Care Programs Enhancement Act of 2001</w:t>
      </w:r>
      <w:r>
        <w:t>.  Section 202 of this Act requires the implementation of HUD indices to determin</w:t>
      </w:r>
      <w:r>
        <w:t>e geographic income thresholds in support of more discrete means testing.  Veterans in Priority Group 7 are eligible for treatment as a low-income family under section 3(b) of the United States Housing Act of 1973 (42 U.S.C. 1437a(b)) for the area in which</w:t>
      </w:r>
      <w:r>
        <w:t xml:space="preserve"> such veterans reside, regardless of whether such veterans are treated as single person families under paragraph (3)(A) of such section 3(b) or as families under paragraph (3)(b).  This Act also established Priority Group 8 for any veterans described in se</w:t>
      </w:r>
      <w:r>
        <w:t xml:space="preserve">ction 1710(a)(3) of titles 38 U.S.C. who are not covered by Priority Group 7.  Refer to Appendix A for a GMT Enrollment Priority / Copayment Status Matrix.  </w:t>
      </w:r>
    </w:p>
    <w:p w14:paraId="4EAF34A4" w14:textId="77777777" w:rsidR="00000000" w:rsidRDefault="00A568A1"/>
    <w:p w14:paraId="3283559E" w14:textId="77777777" w:rsidR="00000000" w:rsidRDefault="00A568A1">
      <w:r>
        <w:t>Development of the GMT software is a combined effort on the part of Office of Policy and Planning</w:t>
      </w:r>
      <w:r>
        <w:t xml:space="preserve"> (OPP), Office of Information (OI), and Chief Business Office (CBO).  </w:t>
      </w:r>
    </w:p>
    <w:p w14:paraId="7378574D" w14:textId="77777777" w:rsidR="00000000" w:rsidRDefault="00A568A1"/>
    <w:p w14:paraId="6ABA1B0F" w14:textId="77777777" w:rsidR="00000000" w:rsidRDefault="00A568A1">
      <w:r>
        <w:t xml:space="preserve">A one-time conversion of </w:t>
      </w:r>
      <w:r>
        <w:t xml:space="preserve">Means Test Copay Required </w:t>
      </w:r>
      <w:r>
        <w:t>veterans who declined to provide income information</w:t>
      </w:r>
      <w:r>
        <w:t>, whose means test is greater than one year old</w:t>
      </w:r>
      <w:r>
        <w:t xml:space="preserve"> or whose</w:t>
      </w:r>
      <w:r>
        <w:t xml:space="preserve"> current</w:t>
      </w:r>
      <w:r>
        <w:t xml:space="preserve"> income is greater</w:t>
      </w:r>
      <w:r>
        <w:t xml:space="preserve"> than the MT threshold will occur only in the HEC Legacy system upon implementation of the GMT software.  This conversion will determine whether these veterans should be placed in the new Priority Group 8 or the new GMT Copay Required means test status.  T</w:t>
      </w:r>
      <w:r>
        <w:t xml:space="preserve">he results of the conversion will be transmitted to all applicable VAMCs upon completion of the process.  Refer to Appendix B of this document for a conversion matrix for MT Copay Required veterans.  </w:t>
      </w:r>
    </w:p>
    <w:p w14:paraId="00ACF27C" w14:textId="77777777" w:rsidR="00000000" w:rsidRDefault="00A568A1"/>
    <w:p w14:paraId="05DF1EF8" w14:textId="77777777" w:rsidR="00000000" w:rsidRDefault="00A568A1">
      <w:r>
        <w:t>During the processing of the GMT Conversion, a HEC use</w:t>
      </w:r>
      <w:r>
        <w:t xml:space="preserve">r can monitor the progress by running the GMT Conversion Processing Report.  Refer to the GMT Technical Manual for information about how to generate and use this report.  </w:t>
      </w:r>
    </w:p>
    <w:p w14:paraId="5BB3D21B" w14:textId="77777777" w:rsidR="00000000" w:rsidRDefault="00A568A1"/>
    <w:p w14:paraId="1C903C1F" w14:textId="77777777" w:rsidR="00000000" w:rsidRDefault="00A568A1">
      <w:pPr>
        <w:pStyle w:val="Heading2"/>
      </w:pPr>
      <w:bookmarkStart w:id="2" w:name="_Toc22544640"/>
      <w:r>
        <w:t>Purpose of this Manual</w:t>
      </w:r>
      <w:bookmarkEnd w:id="2"/>
    </w:p>
    <w:p w14:paraId="645F3179" w14:textId="77777777" w:rsidR="00000000" w:rsidRDefault="00A568A1"/>
    <w:p w14:paraId="32F9E259" w14:textId="77777777" w:rsidR="00000000" w:rsidRDefault="00A568A1">
      <w:r>
        <w:t>The purpose of this Release Notes document is to provide hi</w:t>
      </w:r>
      <w:r>
        <w:t xml:space="preserve">gh-level user and technical information about Enrollment-related GMT functionality.  </w:t>
      </w:r>
    </w:p>
    <w:p w14:paraId="376D3FAF" w14:textId="77777777" w:rsidR="00000000" w:rsidRDefault="00A568A1"/>
    <w:p w14:paraId="7530DDC2" w14:textId="77777777" w:rsidR="00000000" w:rsidRDefault="00A568A1">
      <w:pPr>
        <w:pStyle w:val="Heading2"/>
      </w:pPr>
      <w:bookmarkStart w:id="3" w:name="_Toc22544641"/>
      <w:r>
        <w:t>Related Documents</w:t>
      </w:r>
      <w:bookmarkEnd w:id="3"/>
    </w:p>
    <w:p w14:paraId="6EB85CBA" w14:textId="77777777" w:rsidR="00000000" w:rsidRDefault="00A568A1"/>
    <w:p w14:paraId="31CA3226" w14:textId="77777777" w:rsidR="00000000" w:rsidRDefault="00A568A1" w:rsidP="00A568A1">
      <w:pPr>
        <w:numPr>
          <w:ilvl w:val="0"/>
          <w:numId w:val="20"/>
        </w:numPr>
      </w:pPr>
      <w:r>
        <w:t>GMT User Manual (IVMB_2_P686_UM.PDF)</w:t>
      </w:r>
    </w:p>
    <w:p w14:paraId="34F2A8E8" w14:textId="77777777" w:rsidR="00000000" w:rsidRDefault="00A568A1" w:rsidP="00A568A1">
      <w:pPr>
        <w:numPr>
          <w:ilvl w:val="0"/>
          <w:numId w:val="20"/>
        </w:numPr>
      </w:pPr>
      <w:r>
        <w:t>GMT Technical Manual (IVMB_2_P686_TM.PDF)</w:t>
      </w:r>
    </w:p>
    <w:p w14:paraId="5C46A299" w14:textId="77777777" w:rsidR="00000000" w:rsidRDefault="00A568A1" w:rsidP="00A568A1">
      <w:pPr>
        <w:numPr>
          <w:ilvl w:val="0"/>
          <w:numId w:val="20"/>
        </w:numPr>
      </w:pPr>
      <w:r>
        <w:t>GMT Installation Guide (IVMB_2_P686_IG.PDF)</w:t>
      </w:r>
    </w:p>
    <w:p w14:paraId="1CD8AB04" w14:textId="77777777" w:rsidR="00000000" w:rsidRDefault="00A568A1"/>
    <w:p w14:paraId="3F256D5A" w14:textId="77777777" w:rsidR="00000000" w:rsidRDefault="00A568A1">
      <w:pPr>
        <w:pStyle w:val="Heading2"/>
      </w:pPr>
      <w:r>
        <w:br w:type="page"/>
      </w:r>
      <w:bookmarkStart w:id="4" w:name="_Toc22544642"/>
      <w:r>
        <w:lastRenderedPageBreak/>
        <w:t>Acronyms and Definitions</w:t>
      </w:r>
      <w:bookmarkEnd w:id="4"/>
    </w:p>
    <w:p w14:paraId="19E0F8AE" w14:textId="77777777" w:rsidR="00000000" w:rsidRDefault="00A568A1">
      <w:pPr>
        <w:pStyle w:val="HEADING40"/>
        <w:rPr>
          <w:rFonts w:ascii="Times New Roman" w:hAnsi="Times New Roman"/>
        </w:rPr>
      </w:pPr>
    </w:p>
    <w:p w14:paraId="66B0DCA9" w14:textId="77777777" w:rsidR="00000000" w:rsidRDefault="00A568A1">
      <w:r>
        <w:t xml:space="preserve">Acronyms </w:t>
      </w:r>
    </w:p>
    <w:p w14:paraId="2A0E3B1A" w14:textId="77777777" w:rsidR="00000000" w:rsidRDefault="00A568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7650"/>
      </w:tblGrid>
      <w:tr w:rsidR="00000000" w14:paraId="1B5C3580" w14:textId="77777777">
        <w:tblPrEx>
          <w:tblCellMar>
            <w:top w:w="0" w:type="dxa"/>
            <w:bottom w:w="0" w:type="dxa"/>
          </w:tblCellMar>
        </w:tblPrEx>
        <w:tc>
          <w:tcPr>
            <w:tcW w:w="1908" w:type="dxa"/>
          </w:tcPr>
          <w:p w14:paraId="7EFE2A03" w14:textId="77777777" w:rsidR="00000000" w:rsidRDefault="00A568A1">
            <w:pPr>
              <w:rPr>
                <w:rStyle w:val="TABLEHEADING"/>
              </w:rPr>
            </w:pPr>
            <w:r>
              <w:rPr>
                <w:rStyle w:val="TABLEHEADING"/>
              </w:rPr>
              <w:t>Acronym</w:t>
            </w:r>
          </w:p>
        </w:tc>
        <w:tc>
          <w:tcPr>
            <w:tcW w:w="7650" w:type="dxa"/>
          </w:tcPr>
          <w:p w14:paraId="779E9F8F" w14:textId="77777777" w:rsidR="00000000" w:rsidRDefault="00A568A1">
            <w:pPr>
              <w:rPr>
                <w:rStyle w:val="TABLEHEADING"/>
              </w:rPr>
            </w:pPr>
            <w:r>
              <w:rPr>
                <w:rStyle w:val="TABLEHEADING"/>
              </w:rPr>
              <w:t>Description</w:t>
            </w:r>
          </w:p>
        </w:tc>
      </w:tr>
      <w:tr w:rsidR="00000000" w14:paraId="6A163F03" w14:textId="77777777">
        <w:tblPrEx>
          <w:tblCellMar>
            <w:top w:w="0" w:type="dxa"/>
            <w:bottom w:w="0" w:type="dxa"/>
          </w:tblCellMar>
        </w:tblPrEx>
        <w:tc>
          <w:tcPr>
            <w:tcW w:w="1908" w:type="dxa"/>
          </w:tcPr>
          <w:p w14:paraId="3B7D2F6A" w14:textId="77777777" w:rsidR="00000000" w:rsidRDefault="00A568A1">
            <w:pPr>
              <w:pStyle w:val="TABLEROW"/>
            </w:pPr>
            <w:r>
              <w:t>AI</w:t>
            </w:r>
          </w:p>
        </w:tc>
        <w:tc>
          <w:tcPr>
            <w:tcW w:w="7650" w:type="dxa"/>
          </w:tcPr>
          <w:p w14:paraId="4C90CD06" w14:textId="77777777" w:rsidR="00000000" w:rsidRDefault="00A568A1">
            <w:pPr>
              <w:pStyle w:val="TABLEROW"/>
            </w:pPr>
            <w:r>
              <w:t>Address Indexing</w:t>
            </w:r>
          </w:p>
        </w:tc>
      </w:tr>
      <w:tr w:rsidR="00000000" w14:paraId="082050FF" w14:textId="77777777">
        <w:tblPrEx>
          <w:tblCellMar>
            <w:top w:w="0" w:type="dxa"/>
            <w:bottom w:w="0" w:type="dxa"/>
          </w:tblCellMar>
        </w:tblPrEx>
        <w:tc>
          <w:tcPr>
            <w:tcW w:w="1908" w:type="dxa"/>
          </w:tcPr>
          <w:p w14:paraId="727C3C24" w14:textId="77777777" w:rsidR="00000000" w:rsidRDefault="00A568A1">
            <w:pPr>
              <w:pStyle w:val="TABLEROW"/>
            </w:pPr>
            <w:r>
              <w:t>AR</w:t>
            </w:r>
          </w:p>
        </w:tc>
        <w:tc>
          <w:tcPr>
            <w:tcW w:w="7650" w:type="dxa"/>
          </w:tcPr>
          <w:p w14:paraId="231C1A0E" w14:textId="77777777" w:rsidR="00000000" w:rsidRDefault="00A568A1">
            <w:pPr>
              <w:pStyle w:val="TABLEROW"/>
            </w:pPr>
            <w:r>
              <w:t>Accounts Receivable</w:t>
            </w:r>
          </w:p>
        </w:tc>
      </w:tr>
      <w:tr w:rsidR="00000000" w14:paraId="2BB4064B" w14:textId="77777777">
        <w:tblPrEx>
          <w:tblCellMar>
            <w:top w:w="0" w:type="dxa"/>
            <w:bottom w:w="0" w:type="dxa"/>
          </w:tblCellMar>
        </w:tblPrEx>
        <w:tc>
          <w:tcPr>
            <w:tcW w:w="1908" w:type="dxa"/>
          </w:tcPr>
          <w:p w14:paraId="5AD00C2B" w14:textId="77777777" w:rsidR="00000000" w:rsidRDefault="00A568A1">
            <w:pPr>
              <w:pStyle w:val="TABLEROW"/>
            </w:pPr>
            <w:r>
              <w:t>CBO</w:t>
            </w:r>
          </w:p>
        </w:tc>
        <w:tc>
          <w:tcPr>
            <w:tcW w:w="7650" w:type="dxa"/>
          </w:tcPr>
          <w:p w14:paraId="7A6FBD09" w14:textId="77777777" w:rsidR="00000000" w:rsidRDefault="00A568A1">
            <w:pPr>
              <w:pStyle w:val="TABLEROW"/>
            </w:pPr>
            <w:r>
              <w:t>Chief Business Office</w:t>
            </w:r>
          </w:p>
        </w:tc>
      </w:tr>
      <w:tr w:rsidR="00000000" w14:paraId="0D1B9E17" w14:textId="77777777">
        <w:tblPrEx>
          <w:tblCellMar>
            <w:top w:w="0" w:type="dxa"/>
            <w:bottom w:w="0" w:type="dxa"/>
          </w:tblCellMar>
        </w:tblPrEx>
        <w:tc>
          <w:tcPr>
            <w:tcW w:w="1908" w:type="dxa"/>
          </w:tcPr>
          <w:p w14:paraId="3462472F" w14:textId="77777777" w:rsidR="00000000" w:rsidRDefault="00A568A1">
            <w:pPr>
              <w:pStyle w:val="TABLEROW"/>
            </w:pPr>
            <w:r>
              <w:t>EGT</w:t>
            </w:r>
          </w:p>
        </w:tc>
        <w:tc>
          <w:tcPr>
            <w:tcW w:w="7650" w:type="dxa"/>
          </w:tcPr>
          <w:p w14:paraId="3951AB0B" w14:textId="77777777" w:rsidR="00000000" w:rsidRDefault="00A568A1">
            <w:pPr>
              <w:pStyle w:val="TABLEROW"/>
            </w:pPr>
            <w:r>
              <w:t>Enrollment Group Threshold</w:t>
            </w:r>
          </w:p>
        </w:tc>
      </w:tr>
      <w:tr w:rsidR="00000000" w14:paraId="7D3563D3" w14:textId="77777777">
        <w:tblPrEx>
          <w:tblCellMar>
            <w:top w:w="0" w:type="dxa"/>
            <w:bottom w:w="0" w:type="dxa"/>
          </w:tblCellMar>
        </w:tblPrEx>
        <w:tc>
          <w:tcPr>
            <w:tcW w:w="1908" w:type="dxa"/>
          </w:tcPr>
          <w:p w14:paraId="778C8AB4" w14:textId="77777777" w:rsidR="00000000" w:rsidRDefault="00A568A1">
            <w:pPr>
              <w:pStyle w:val="TABLEROW"/>
            </w:pPr>
            <w:r>
              <w:t>FIPS</w:t>
            </w:r>
          </w:p>
        </w:tc>
        <w:tc>
          <w:tcPr>
            <w:tcW w:w="7650" w:type="dxa"/>
          </w:tcPr>
          <w:p w14:paraId="65B21DFD" w14:textId="77777777" w:rsidR="00000000" w:rsidRDefault="00A568A1">
            <w:pPr>
              <w:pStyle w:val="TABLEROW"/>
            </w:pPr>
            <w:r>
              <w:t>Federal Information Processing Standard</w:t>
            </w:r>
          </w:p>
        </w:tc>
      </w:tr>
      <w:tr w:rsidR="00000000" w14:paraId="2643F98C" w14:textId="77777777">
        <w:tblPrEx>
          <w:tblCellMar>
            <w:top w:w="0" w:type="dxa"/>
            <w:bottom w:w="0" w:type="dxa"/>
          </w:tblCellMar>
        </w:tblPrEx>
        <w:tc>
          <w:tcPr>
            <w:tcW w:w="1908" w:type="dxa"/>
          </w:tcPr>
          <w:p w14:paraId="04438B98" w14:textId="77777777" w:rsidR="00000000" w:rsidRDefault="00A568A1">
            <w:pPr>
              <w:pStyle w:val="TABLEROW"/>
            </w:pPr>
            <w:r>
              <w:t>GMT</w:t>
            </w:r>
          </w:p>
        </w:tc>
        <w:tc>
          <w:tcPr>
            <w:tcW w:w="7650" w:type="dxa"/>
          </w:tcPr>
          <w:p w14:paraId="2E4EF619" w14:textId="77777777" w:rsidR="00000000" w:rsidRDefault="00A568A1">
            <w:pPr>
              <w:pStyle w:val="TABLEROW"/>
            </w:pPr>
            <w:r>
              <w:t>Geographic Means Test</w:t>
            </w:r>
          </w:p>
        </w:tc>
      </w:tr>
      <w:tr w:rsidR="00000000" w14:paraId="365C654F" w14:textId="77777777">
        <w:tblPrEx>
          <w:tblCellMar>
            <w:top w:w="0" w:type="dxa"/>
            <w:bottom w:w="0" w:type="dxa"/>
          </w:tblCellMar>
        </w:tblPrEx>
        <w:tc>
          <w:tcPr>
            <w:tcW w:w="1908" w:type="dxa"/>
          </w:tcPr>
          <w:p w14:paraId="18C928E2" w14:textId="77777777" w:rsidR="00000000" w:rsidRDefault="00A568A1">
            <w:pPr>
              <w:pStyle w:val="TABLEROW"/>
            </w:pPr>
            <w:r>
              <w:t>HUD</w:t>
            </w:r>
          </w:p>
        </w:tc>
        <w:tc>
          <w:tcPr>
            <w:tcW w:w="7650" w:type="dxa"/>
          </w:tcPr>
          <w:p w14:paraId="78322257" w14:textId="77777777" w:rsidR="00000000" w:rsidRDefault="00A568A1">
            <w:pPr>
              <w:pStyle w:val="TABLEROW"/>
            </w:pPr>
            <w:r>
              <w:t>U.S. Department of Housing and Urban Devel</w:t>
            </w:r>
            <w:r>
              <w:t>opment</w:t>
            </w:r>
          </w:p>
        </w:tc>
      </w:tr>
      <w:tr w:rsidR="00000000" w14:paraId="3BCE9497" w14:textId="77777777">
        <w:tblPrEx>
          <w:tblCellMar>
            <w:top w:w="0" w:type="dxa"/>
            <w:bottom w:w="0" w:type="dxa"/>
          </w:tblCellMar>
        </w:tblPrEx>
        <w:tc>
          <w:tcPr>
            <w:tcW w:w="1908" w:type="dxa"/>
          </w:tcPr>
          <w:p w14:paraId="11A74B5D" w14:textId="77777777" w:rsidR="00000000" w:rsidRDefault="00A568A1">
            <w:pPr>
              <w:pStyle w:val="TABLEROW"/>
            </w:pPr>
            <w:r>
              <w:t>IB</w:t>
            </w:r>
          </w:p>
        </w:tc>
        <w:tc>
          <w:tcPr>
            <w:tcW w:w="7650" w:type="dxa"/>
          </w:tcPr>
          <w:p w14:paraId="5A02E315" w14:textId="77777777" w:rsidR="00000000" w:rsidRDefault="00A568A1">
            <w:pPr>
              <w:pStyle w:val="TABLEROW"/>
            </w:pPr>
            <w:r>
              <w:t>Integrated Billing</w:t>
            </w:r>
          </w:p>
        </w:tc>
      </w:tr>
      <w:tr w:rsidR="00000000" w14:paraId="40813D88" w14:textId="77777777">
        <w:tblPrEx>
          <w:tblCellMar>
            <w:top w:w="0" w:type="dxa"/>
            <w:bottom w:w="0" w:type="dxa"/>
          </w:tblCellMar>
        </w:tblPrEx>
        <w:tc>
          <w:tcPr>
            <w:tcW w:w="1908" w:type="dxa"/>
          </w:tcPr>
          <w:p w14:paraId="7F273746" w14:textId="77777777" w:rsidR="00000000" w:rsidRDefault="00A568A1">
            <w:pPr>
              <w:pStyle w:val="TABLEROW"/>
            </w:pPr>
            <w:r>
              <w:t>MT</w:t>
            </w:r>
          </w:p>
        </w:tc>
        <w:tc>
          <w:tcPr>
            <w:tcW w:w="7650" w:type="dxa"/>
          </w:tcPr>
          <w:p w14:paraId="1E807124" w14:textId="77777777" w:rsidR="00000000" w:rsidRDefault="00A568A1">
            <w:pPr>
              <w:pStyle w:val="TABLEROW"/>
            </w:pPr>
            <w:r>
              <w:t>Means Test</w:t>
            </w:r>
          </w:p>
        </w:tc>
      </w:tr>
      <w:tr w:rsidR="00000000" w14:paraId="39782842" w14:textId="77777777">
        <w:tblPrEx>
          <w:tblCellMar>
            <w:top w:w="0" w:type="dxa"/>
            <w:bottom w:w="0" w:type="dxa"/>
          </w:tblCellMar>
        </w:tblPrEx>
        <w:tc>
          <w:tcPr>
            <w:tcW w:w="1908" w:type="dxa"/>
          </w:tcPr>
          <w:p w14:paraId="392260E0" w14:textId="77777777" w:rsidR="00000000" w:rsidRDefault="00A568A1">
            <w:pPr>
              <w:pStyle w:val="TABLEROW"/>
            </w:pPr>
            <w:r>
              <w:t>NVS</w:t>
            </w:r>
          </w:p>
        </w:tc>
        <w:tc>
          <w:tcPr>
            <w:tcW w:w="7650" w:type="dxa"/>
          </w:tcPr>
          <w:p w14:paraId="76EB3C60" w14:textId="77777777" w:rsidR="00000000" w:rsidRDefault="00A568A1">
            <w:pPr>
              <w:pStyle w:val="TABLEROW"/>
            </w:pPr>
            <w:r>
              <w:t xml:space="preserve">National </w:t>
            </w:r>
            <w:r>
              <w:rPr>
                <w:b/>
                <w:bCs/>
                <w:color w:val="000000"/>
                <w:sz w:val="24"/>
              </w:rPr>
              <w:t>V</w:t>
            </w:r>
            <w:r>
              <w:rPr>
                <w:i/>
                <w:iCs/>
                <w:color w:val="000000"/>
                <w:szCs w:val="20"/>
              </w:rPr>
              <w:t>IST</w:t>
            </w:r>
            <w:r>
              <w:rPr>
                <w:b/>
                <w:bCs/>
                <w:color w:val="000000"/>
                <w:sz w:val="24"/>
              </w:rPr>
              <w:t>A</w:t>
            </w:r>
            <w:r>
              <w:t xml:space="preserve"> Support</w:t>
            </w:r>
          </w:p>
        </w:tc>
      </w:tr>
      <w:tr w:rsidR="00000000" w14:paraId="6BA94489" w14:textId="77777777">
        <w:tblPrEx>
          <w:tblCellMar>
            <w:top w:w="0" w:type="dxa"/>
            <w:bottom w:w="0" w:type="dxa"/>
          </w:tblCellMar>
        </w:tblPrEx>
        <w:tc>
          <w:tcPr>
            <w:tcW w:w="1908" w:type="dxa"/>
          </w:tcPr>
          <w:p w14:paraId="51AD4FB5" w14:textId="77777777" w:rsidR="00000000" w:rsidRDefault="00A568A1">
            <w:pPr>
              <w:pStyle w:val="TABLEROW"/>
            </w:pPr>
            <w:r>
              <w:t>PIMS</w:t>
            </w:r>
          </w:p>
        </w:tc>
        <w:tc>
          <w:tcPr>
            <w:tcW w:w="7650" w:type="dxa"/>
          </w:tcPr>
          <w:p w14:paraId="00D7A388" w14:textId="77777777" w:rsidR="00000000" w:rsidRDefault="00A568A1">
            <w:pPr>
              <w:pStyle w:val="TABLEROW"/>
            </w:pPr>
            <w:r>
              <w:t>Patient Information Management System</w:t>
            </w:r>
          </w:p>
        </w:tc>
      </w:tr>
      <w:tr w:rsidR="00000000" w14:paraId="158E3F3B" w14:textId="77777777">
        <w:tblPrEx>
          <w:tblCellMar>
            <w:top w:w="0" w:type="dxa"/>
            <w:bottom w:w="0" w:type="dxa"/>
          </w:tblCellMar>
        </w:tblPrEx>
        <w:tc>
          <w:tcPr>
            <w:tcW w:w="1908" w:type="dxa"/>
          </w:tcPr>
          <w:p w14:paraId="57B73B73" w14:textId="77777777" w:rsidR="00000000" w:rsidRDefault="00A568A1">
            <w:pPr>
              <w:pStyle w:val="TABLEROW"/>
            </w:pPr>
            <w:r>
              <w:t>VAMC</w:t>
            </w:r>
          </w:p>
        </w:tc>
        <w:tc>
          <w:tcPr>
            <w:tcW w:w="7650" w:type="dxa"/>
          </w:tcPr>
          <w:p w14:paraId="2B707D93" w14:textId="77777777" w:rsidR="00000000" w:rsidRDefault="00A568A1">
            <w:pPr>
              <w:pStyle w:val="TABLEROW"/>
            </w:pPr>
            <w:r>
              <w:t>Veterans Administration Medical Center</w:t>
            </w:r>
          </w:p>
        </w:tc>
      </w:tr>
      <w:tr w:rsidR="00000000" w14:paraId="203D1102" w14:textId="77777777">
        <w:tblPrEx>
          <w:tblCellMar>
            <w:top w:w="0" w:type="dxa"/>
            <w:bottom w:w="0" w:type="dxa"/>
          </w:tblCellMar>
        </w:tblPrEx>
        <w:tc>
          <w:tcPr>
            <w:tcW w:w="1908" w:type="dxa"/>
          </w:tcPr>
          <w:p w14:paraId="0D1C7136" w14:textId="77777777" w:rsidR="00000000" w:rsidRDefault="00A568A1">
            <w:pPr>
              <w:pStyle w:val="TABLEROW"/>
            </w:pPr>
            <w:r>
              <w:t>OPP</w:t>
            </w:r>
          </w:p>
        </w:tc>
        <w:tc>
          <w:tcPr>
            <w:tcW w:w="7650" w:type="dxa"/>
          </w:tcPr>
          <w:p w14:paraId="172FCFA1" w14:textId="77777777" w:rsidR="00000000" w:rsidRDefault="00A568A1">
            <w:pPr>
              <w:pStyle w:val="TABLEROW"/>
            </w:pPr>
            <w:r>
              <w:t>Office of Policy and Planning</w:t>
            </w:r>
          </w:p>
        </w:tc>
      </w:tr>
      <w:tr w:rsidR="00000000" w14:paraId="30565199" w14:textId="77777777">
        <w:tblPrEx>
          <w:tblCellMar>
            <w:top w:w="0" w:type="dxa"/>
            <w:bottom w:w="0" w:type="dxa"/>
          </w:tblCellMar>
        </w:tblPrEx>
        <w:tc>
          <w:tcPr>
            <w:tcW w:w="1908" w:type="dxa"/>
          </w:tcPr>
          <w:p w14:paraId="61C23212" w14:textId="77777777" w:rsidR="00000000" w:rsidRDefault="00A568A1">
            <w:pPr>
              <w:pStyle w:val="TABLEROW"/>
            </w:pPr>
            <w:r>
              <w:t>OI</w:t>
            </w:r>
          </w:p>
        </w:tc>
        <w:tc>
          <w:tcPr>
            <w:tcW w:w="7650" w:type="dxa"/>
          </w:tcPr>
          <w:p w14:paraId="7207CD27" w14:textId="77777777" w:rsidR="00000000" w:rsidRDefault="00A568A1">
            <w:pPr>
              <w:pStyle w:val="TABLEROW"/>
            </w:pPr>
            <w:r>
              <w:t>Office of Information</w:t>
            </w:r>
          </w:p>
        </w:tc>
      </w:tr>
    </w:tbl>
    <w:p w14:paraId="7A851AF1" w14:textId="77777777" w:rsidR="00000000" w:rsidRDefault="00A568A1"/>
    <w:p w14:paraId="5F6790E0" w14:textId="77777777" w:rsidR="00000000" w:rsidRDefault="00A568A1"/>
    <w:p w14:paraId="232DCEFF" w14:textId="77777777" w:rsidR="00000000" w:rsidRDefault="00A568A1">
      <w:r>
        <w:t>Definitions</w:t>
      </w:r>
    </w:p>
    <w:p w14:paraId="2F6ADC83" w14:textId="77777777" w:rsidR="00000000" w:rsidRDefault="00A568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1"/>
        <w:gridCol w:w="7597"/>
      </w:tblGrid>
      <w:tr w:rsidR="00000000" w14:paraId="3F3B6104" w14:textId="77777777">
        <w:tblPrEx>
          <w:tblCellMar>
            <w:top w:w="0" w:type="dxa"/>
            <w:bottom w:w="0" w:type="dxa"/>
          </w:tblCellMar>
        </w:tblPrEx>
        <w:tc>
          <w:tcPr>
            <w:tcW w:w="1961" w:type="dxa"/>
          </w:tcPr>
          <w:p w14:paraId="319A5932" w14:textId="77777777" w:rsidR="00000000" w:rsidRDefault="00A568A1">
            <w:pPr>
              <w:rPr>
                <w:rStyle w:val="TABLEHEADING"/>
              </w:rPr>
            </w:pPr>
            <w:r>
              <w:rPr>
                <w:rStyle w:val="TABLEHEADING"/>
              </w:rPr>
              <w:t>Term</w:t>
            </w:r>
          </w:p>
        </w:tc>
        <w:tc>
          <w:tcPr>
            <w:tcW w:w="7597" w:type="dxa"/>
          </w:tcPr>
          <w:p w14:paraId="095C9135" w14:textId="77777777" w:rsidR="00000000" w:rsidRDefault="00A568A1">
            <w:pPr>
              <w:rPr>
                <w:rStyle w:val="TABLEHEADING"/>
              </w:rPr>
            </w:pPr>
            <w:r>
              <w:rPr>
                <w:rStyle w:val="TABLEHEADING"/>
              </w:rPr>
              <w:t xml:space="preserve">Definition </w:t>
            </w:r>
          </w:p>
        </w:tc>
      </w:tr>
      <w:tr w:rsidR="00000000" w14:paraId="2C20D59E" w14:textId="77777777">
        <w:tblPrEx>
          <w:tblCellMar>
            <w:top w:w="0" w:type="dxa"/>
            <w:bottom w:w="0" w:type="dxa"/>
          </w:tblCellMar>
        </w:tblPrEx>
        <w:tc>
          <w:tcPr>
            <w:tcW w:w="1961" w:type="dxa"/>
          </w:tcPr>
          <w:p w14:paraId="6405AA39" w14:textId="77777777" w:rsidR="00000000" w:rsidRDefault="00A568A1">
            <w:pPr>
              <w:pStyle w:val="TABLEROW"/>
            </w:pPr>
            <w:r>
              <w:t>Disenrollment</w:t>
            </w:r>
          </w:p>
        </w:tc>
        <w:tc>
          <w:tcPr>
            <w:tcW w:w="7597" w:type="dxa"/>
          </w:tcPr>
          <w:p w14:paraId="48602965" w14:textId="77777777" w:rsidR="00000000" w:rsidRDefault="00A568A1">
            <w:pPr>
              <w:pStyle w:val="TABLEROW"/>
            </w:pPr>
            <w:r>
              <w:t>Voluntary request from veteran to discontinue enrollment in the VA Health Care system</w:t>
            </w:r>
          </w:p>
        </w:tc>
      </w:tr>
      <w:tr w:rsidR="00000000" w14:paraId="19B61306" w14:textId="77777777">
        <w:tblPrEx>
          <w:tblCellMar>
            <w:top w:w="0" w:type="dxa"/>
            <w:bottom w:w="0" w:type="dxa"/>
          </w:tblCellMar>
        </w:tblPrEx>
        <w:tc>
          <w:tcPr>
            <w:tcW w:w="1961" w:type="dxa"/>
          </w:tcPr>
          <w:p w14:paraId="02AFE4A5" w14:textId="77777777" w:rsidR="00000000" w:rsidRDefault="00A568A1">
            <w:pPr>
              <w:pStyle w:val="TABLEROW"/>
            </w:pPr>
            <w:r>
              <w:t>GMT Thresholds</w:t>
            </w:r>
          </w:p>
        </w:tc>
        <w:tc>
          <w:tcPr>
            <w:tcW w:w="7597" w:type="dxa"/>
          </w:tcPr>
          <w:p w14:paraId="30E3440A" w14:textId="77777777" w:rsidR="00000000" w:rsidRDefault="00A568A1">
            <w:pPr>
              <w:pStyle w:val="TABLEROW"/>
            </w:pPr>
            <w:r>
              <w:t>a.k.a. HUD Indices.  Geographical income level thresholds set yearly by the U.S. Department of Housing and Urban Development</w:t>
            </w:r>
          </w:p>
        </w:tc>
      </w:tr>
      <w:tr w:rsidR="00000000" w14:paraId="0A7D328E" w14:textId="77777777">
        <w:tblPrEx>
          <w:tblCellMar>
            <w:top w:w="0" w:type="dxa"/>
            <w:bottom w:w="0" w:type="dxa"/>
          </w:tblCellMar>
        </w:tblPrEx>
        <w:tc>
          <w:tcPr>
            <w:tcW w:w="1961" w:type="dxa"/>
          </w:tcPr>
          <w:p w14:paraId="79047A0F" w14:textId="77777777" w:rsidR="00000000" w:rsidRDefault="00A568A1">
            <w:pPr>
              <w:pStyle w:val="TABLEROW"/>
            </w:pPr>
            <w:r>
              <w:t>MT Thresholds</w:t>
            </w:r>
          </w:p>
        </w:tc>
        <w:tc>
          <w:tcPr>
            <w:tcW w:w="7597" w:type="dxa"/>
          </w:tcPr>
          <w:p w14:paraId="3BCB8A16" w14:textId="77777777" w:rsidR="00000000" w:rsidRDefault="00A568A1">
            <w:pPr>
              <w:pStyle w:val="TABLEROW"/>
            </w:pPr>
            <w:r>
              <w:t>Income threshold levels set yearly within the VA for the purpose of establishing benefit levels for veterans</w:t>
            </w:r>
          </w:p>
        </w:tc>
      </w:tr>
      <w:tr w:rsidR="00000000" w14:paraId="72A4112C" w14:textId="77777777">
        <w:tblPrEx>
          <w:tblCellMar>
            <w:top w:w="0" w:type="dxa"/>
            <w:bottom w:w="0" w:type="dxa"/>
          </w:tblCellMar>
        </w:tblPrEx>
        <w:tc>
          <w:tcPr>
            <w:tcW w:w="1961" w:type="dxa"/>
          </w:tcPr>
          <w:p w14:paraId="00092CC9" w14:textId="77777777" w:rsidR="00000000" w:rsidRDefault="00A568A1">
            <w:pPr>
              <w:pStyle w:val="TABLEROW"/>
            </w:pPr>
            <w:r>
              <w:t>HEC Legacy System</w:t>
            </w:r>
          </w:p>
        </w:tc>
        <w:tc>
          <w:tcPr>
            <w:tcW w:w="7597" w:type="dxa"/>
          </w:tcPr>
          <w:p w14:paraId="7B07BB29" w14:textId="77777777" w:rsidR="00000000" w:rsidRDefault="00A568A1">
            <w:pPr>
              <w:pStyle w:val="TABLEROW"/>
            </w:pPr>
            <w:r>
              <w:t>M-based database currently in use</w:t>
            </w:r>
          </w:p>
        </w:tc>
      </w:tr>
    </w:tbl>
    <w:p w14:paraId="1B33C796" w14:textId="77777777" w:rsidR="00000000" w:rsidRDefault="00A568A1"/>
    <w:p w14:paraId="2C7C900C" w14:textId="77777777" w:rsidR="00000000" w:rsidRDefault="00A568A1">
      <w:pPr>
        <w:pStyle w:val="Heading4"/>
        <w:sectPr w:rsidR="00000000">
          <w:headerReference w:type="default" r:id="rId9"/>
          <w:footerReference w:type="default" r:id="rId10"/>
          <w:pgSz w:w="12240" w:h="15840"/>
          <w:pgMar w:top="1440" w:right="1440" w:bottom="1440" w:left="1440" w:header="720" w:footer="720" w:gutter="0"/>
          <w:pgNumType w:start="1"/>
          <w:cols w:space="720"/>
          <w:titlePg/>
          <w:docGrid w:linePitch="360"/>
        </w:sectPr>
      </w:pPr>
    </w:p>
    <w:p w14:paraId="41AEEBEF" w14:textId="77777777" w:rsidR="00000000" w:rsidRDefault="00A568A1">
      <w:pPr>
        <w:pStyle w:val="Heading1"/>
      </w:pPr>
      <w:bookmarkStart w:id="5" w:name="_Toc22544643"/>
      <w:r>
        <w:lastRenderedPageBreak/>
        <w:t>User Release Notes</w:t>
      </w:r>
      <w:bookmarkEnd w:id="5"/>
    </w:p>
    <w:p w14:paraId="6E9E05EA" w14:textId="77777777" w:rsidR="00000000" w:rsidRDefault="00A568A1"/>
    <w:p w14:paraId="3F55D6E5" w14:textId="77777777" w:rsidR="00000000" w:rsidRDefault="00A568A1">
      <w:pPr>
        <w:pStyle w:val="Heading2"/>
      </w:pPr>
      <w:bookmarkStart w:id="6" w:name="_Toc22544644"/>
      <w:r>
        <w:t>HUD Indices (a.k.a. Geographic Means Test [GMT] Thresholds)</w:t>
      </w:r>
      <w:bookmarkEnd w:id="6"/>
    </w:p>
    <w:p w14:paraId="5B21F6D1" w14:textId="77777777" w:rsidR="00000000" w:rsidRDefault="00A568A1"/>
    <w:p w14:paraId="410691C8" w14:textId="77777777" w:rsidR="00000000" w:rsidRDefault="00A568A1">
      <w:r>
        <w:t>On Januar</w:t>
      </w:r>
      <w:r>
        <w:t>y 23, 2002, President Bush signed into law H.R. 3477, The Department of Veterans Affairs Health Care Programs Enhancement Act of 2001.  Section 202 of this Act requires the implementation of U.S. Department of Housing and Urban Development (HUD) Indices to</w:t>
      </w:r>
      <w:r>
        <w:t xml:space="preserve"> determine geographic income thresholds in support of more discrete means testing.  A new GMT copayment status will identify veterans who qualify for a reduced inpatient copayment rate.  The effective date of the regulation to support this legislation is O</w:t>
      </w:r>
      <w:r>
        <w:t>ctober 1, 2002.  Like traditional Means Test thresholds, the GMT thresholds will be applied in a retrospective manner (i.e., HUD Indices published in Calendar Year 2002 will be used for Means Tests performed in Calendar Year 2003).  Information about HUD i</w:t>
      </w:r>
      <w:r>
        <w:t xml:space="preserve">ncome limits is available on the Data Sets Page of the HUD User Web Site at </w:t>
      </w:r>
      <w:hyperlink r:id="rId11" w:history="1">
        <w:r>
          <w:rPr>
            <w:rStyle w:val="Hyperlink"/>
          </w:rPr>
          <w:t>http://www.h</w:t>
        </w:r>
        <w:r>
          <w:rPr>
            <w:rStyle w:val="Hyperlink"/>
          </w:rPr>
          <w:t>u</w:t>
        </w:r>
        <w:r>
          <w:rPr>
            <w:rStyle w:val="Hyperlink"/>
          </w:rPr>
          <w:t>duser</w:t>
        </w:r>
        <w:r>
          <w:rPr>
            <w:rStyle w:val="Hyperlink"/>
          </w:rPr>
          <w:t>.</w:t>
        </w:r>
        <w:r>
          <w:rPr>
            <w:rStyle w:val="Hyperlink"/>
          </w:rPr>
          <w:t>org/dataset</w:t>
        </w:r>
        <w:r>
          <w:rPr>
            <w:rStyle w:val="Hyperlink"/>
          </w:rPr>
          <w:t>s</w:t>
        </w:r>
        <w:r>
          <w:rPr>
            <w:rStyle w:val="Hyperlink"/>
          </w:rPr>
          <w:t>/il.ht</w:t>
        </w:r>
        <w:r>
          <w:rPr>
            <w:rStyle w:val="Hyperlink"/>
          </w:rPr>
          <w:t>m</w:t>
        </w:r>
        <w:r>
          <w:rPr>
            <w:rStyle w:val="Hyperlink"/>
          </w:rPr>
          <w:t>l</w:t>
        </w:r>
      </w:hyperlink>
      <w:r>
        <w:t xml:space="preserve">. </w:t>
      </w:r>
    </w:p>
    <w:p w14:paraId="3413880A" w14:textId="77777777" w:rsidR="00000000" w:rsidRDefault="00A568A1"/>
    <w:p w14:paraId="6C56AE10" w14:textId="77777777" w:rsidR="00000000" w:rsidRDefault="00A568A1">
      <w:r>
        <w:t xml:space="preserve">The HUD Indices will be uploaded into </w:t>
      </w:r>
      <w:r>
        <w:rPr>
          <w:b/>
          <w:bCs/>
          <w:color w:val="000000"/>
        </w:rPr>
        <w:t>V</w:t>
      </w:r>
      <w:r>
        <w:rPr>
          <w:i/>
          <w:iCs/>
          <w:color w:val="000000"/>
          <w:sz w:val="20"/>
          <w:szCs w:val="20"/>
        </w:rPr>
        <w:t>IST</w:t>
      </w:r>
      <w:r>
        <w:rPr>
          <w:b/>
          <w:bCs/>
          <w:color w:val="000000"/>
        </w:rPr>
        <w:t>A</w:t>
      </w:r>
      <w:r>
        <w:t xml:space="preserve"> annually, along with the traditional</w:t>
      </w:r>
      <w:r>
        <w:t xml:space="preserve"> means test threshold values, in a patch released in December of each year.  They will be activated on January 1</w:t>
      </w:r>
      <w:r>
        <w:rPr>
          <w:vertAlign w:val="superscript"/>
        </w:rPr>
        <w:t>st</w:t>
      </w:r>
      <w:r>
        <w:t xml:space="preserve"> of each year.  The indices from previous years will be stored indefinitely in both </w:t>
      </w:r>
      <w:r>
        <w:rPr>
          <w:b/>
          <w:bCs/>
          <w:color w:val="000000"/>
        </w:rPr>
        <w:t>V</w:t>
      </w:r>
      <w:r>
        <w:rPr>
          <w:i/>
          <w:iCs/>
          <w:color w:val="000000"/>
          <w:sz w:val="20"/>
          <w:szCs w:val="20"/>
        </w:rPr>
        <w:t>IST</w:t>
      </w:r>
      <w:r>
        <w:rPr>
          <w:b/>
          <w:bCs/>
          <w:color w:val="000000"/>
        </w:rPr>
        <w:t>A</w:t>
      </w:r>
      <w:r>
        <w:t xml:space="preserve"> and HEC systems.  For information about the implemen</w:t>
      </w:r>
      <w:r>
        <w:t xml:space="preserve">tation of HUD Indices, refer to the GMT Installation Guide and GMT Technical Manual.  </w:t>
      </w:r>
    </w:p>
    <w:p w14:paraId="54609220" w14:textId="77777777" w:rsidR="00000000" w:rsidRDefault="00A568A1"/>
    <w:p w14:paraId="17D2A846" w14:textId="77777777" w:rsidR="00000000" w:rsidRDefault="00A568A1">
      <w:pPr>
        <w:pStyle w:val="Heading2"/>
      </w:pPr>
      <w:bookmarkStart w:id="7" w:name="_Toc22544645"/>
      <w:r>
        <w:t>GMT Copay Required Status</w:t>
      </w:r>
      <w:bookmarkEnd w:id="7"/>
    </w:p>
    <w:p w14:paraId="078E4652" w14:textId="77777777" w:rsidR="00000000" w:rsidRDefault="00A568A1"/>
    <w:p w14:paraId="782C76CD" w14:textId="77777777" w:rsidR="00000000" w:rsidRDefault="00A568A1">
      <w:r>
        <w:t xml:space="preserve">A new Means Test Status (GMT Copay Required) identifies veterans who qualify for a reduced inpatient copayment rate </w:t>
      </w:r>
      <w:proofErr w:type="gramStart"/>
      <w:r>
        <w:t>( 20</w:t>
      </w:r>
      <w:proofErr w:type="gramEnd"/>
      <w:r>
        <w:t>% of the current inpa</w:t>
      </w:r>
      <w:r>
        <w:t>tient  copayment rate).  The outpatient copayment rate stays the same.  In areas where the GMT threshold is less than or equal to the MT threshold, all veterans required to pay copayments will be billed the full MT copayments as appropriate.  Refer to Sect</w:t>
      </w:r>
      <w:r>
        <w:t xml:space="preserve">ion 3.2.2 of the Geographic Means Testing SRS for detailed information about the GMT Copayment Required Status business rules and the logic that supports the business rules.  Refer to Appendix A of this document for a matrix of the GMT Enrollment Priority </w:t>
      </w:r>
      <w:r>
        <w:t xml:space="preserve">/ Copayment Status business rules.  </w:t>
      </w:r>
    </w:p>
    <w:p w14:paraId="5CD68D75" w14:textId="77777777" w:rsidR="00000000" w:rsidRDefault="00A568A1"/>
    <w:p w14:paraId="2DFDAC6E" w14:textId="77777777" w:rsidR="00000000" w:rsidRDefault="00A568A1">
      <w:r>
        <w:t xml:space="preserve">The following veterans are subject to the GMT copayment </w:t>
      </w:r>
      <w:r>
        <w:rPr>
          <w:b/>
          <w:bCs/>
        </w:rPr>
        <w:t>when the GMT threshold is greater than the MT threshold</w:t>
      </w:r>
      <w:r>
        <w:t>:</w:t>
      </w:r>
    </w:p>
    <w:p w14:paraId="77CCB327" w14:textId="77777777" w:rsidR="00000000" w:rsidRDefault="00A568A1" w:rsidP="00A568A1">
      <w:pPr>
        <w:numPr>
          <w:ilvl w:val="0"/>
          <w:numId w:val="4"/>
        </w:numPr>
      </w:pPr>
      <w:r>
        <w:t xml:space="preserve">Veterans whose income is less than or equal to the MT threshold </w:t>
      </w:r>
      <w:r>
        <w:rPr>
          <w:b/>
          <w:bCs/>
        </w:rPr>
        <w:t>and</w:t>
      </w:r>
      <w:r>
        <w:t xml:space="preserve"> whose estate value is greater than or</w:t>
      </w:r>
      <w:r>
        <w:t xml:space="preserve"> equal to the net worth threshold (pending adjudication)</w:t>
      </w:r>
    </w:p>
    <w:p w14:paraId="0301CC0B" w14:textId="77777777" w:rsidR="00000000" w:rsidRDefault="00A568A1" w:rsidP="00A568A1">
      <w:pPr>
        <w:numPr>
          <w:ilvl w:val="0"/>
          <w:numId w:val="4"/>
        </w:numPr>
      </w:pPr>
      <w:r>
        <w:t xml:space="preserve">Veterans whose income is greater than the MT threshold, </w:t>
      </w:r>
      <w:r>
        <w:rPr>
          <w:b/>
          <w:bCs/>
        </w:rPr>
        <w:t>but</w:t>
      </w:r>
      <w:r>
        <w:t xml:space="preserve"> less than or equal to the GMT threshold</w:t>
      </w:r>
    </w:p>
    <w:p w14:paraId="76FD729F" w14:textId="77777777" w:rsidR="00000000" w:rsidRDefault="00A568A1"/>
    <w:p w14:paraId="7423398B" w14:textId="77777777" w:rsidR="00000000" w:rsidRDefault="00A568A1">
      <w:pPr>
        <w:pStyle w:val="Heading2"/>
      </w:pPr>
      <w:r>
        <w:br w:type="page"/>
      </w:r>
      <w:bookmarkStart w:id="8" w:name="_Toc22544646"/>
      <w:r>
        <w:lastRenderedPageBreak/>
        <w:t>New User Options for GMT Threshold Lookups</w:t>
      </w:r>
      <w:bookmarkEnd w:id="8"/>
    </w:p>
    <w:p w14:paraId="06637D1D" w14:textId="77777777" w:rsidR="00000000" w:rsidRDefault="00A568A1"/>
    <w:p w14:paraId="31C37F81" w14:textId="77777777" w:rsidR="00000000" w:rsidRDefault="00A568A1">
      <w:r>
        <w:t xml:space="preserve">Two new user options are created with implementation </w:t>
      </w:r>
      <w:r>
        <w:t>of the HEC GMT software.  Refer to the HEC GMT User Manual for information about how to use these options.</w:t>
      </w:r>
    </w:p>
    <w:p w14:paraId="33FF33A8" w14:textId="77777777" w:rsidR="00000000" w:rsidRDefault="00A568A1" w:rsidP="00A568A1">
      <w:pPr>
        <w:numPr>
          <w:ilvl w:val="0"/>
          <w:numId w:val="13"/>
        </w:numPr>
      </w:pPr>
      <w:r>
        <w:t>GMT Threshold Lookup by Zip Code returns GMT threshold information based on a user-specified Zip Code.  The user is prompted to enter a Zip Code.  Th</w:t>
      </w:r>
      <w:r>
        <w:t xml:space="preserve">e output includes county name, state, year, Zip Code, FIPS Code, number in household, and GMT threshold dollar amount.  </w:t>
      </w:r>
    </w:p>
    <w:p w14:paraId="606D8BEC" w14:textId="77777777" w:rsidR="00000000" w:rsidRDefault="00A568A1" w:rsidP="00A568A1">
      <w:pPr>
        <w:numPr>
          <w:ilvl w:val="0"/>
          <w:numId w:val="13"/>
        </w:numPr>
      </w:pPr>
      <w:r>
        <w:t xml:space="preserve">GMT Threshold Address Lookup returns GMT address information for a user-specified veteran within a specified income year.  The user is </w:t>
      </w:r>
      <w:r>
        <w:t xml:space="preserve">prompted to select a veteran and to select an income year.  The output includes the following GMT address information for the selected veteran during the specified income year:  SSN, street address, city, state, zip code, and county.  </w:t>
      </w:r>
    </w:p>
    <w:p w14:paraId="659DB90B" w14:textId="77777777" w:rsidR="00000000" w:rsidRDefault="00A568A1"/>
    <w:p w14:paraId="6ED0D2CE" w14:textId="77777777" w:rsidR="00000000" w:rsidRDefault="00A568A1">
      <w:pPr>
        <w:pStyle w:val="Heading2"/>
      </w:pPr>
      <w:bookmarkStart w:id="9" w:name="_Toc22544647"/>
      <w:r>
        <w:t>Modify Enrollment P</w:t>
      </w:r>
      <w:r>
        <w:t>riority Group 7</w:t>
      </w:r>
      <w:bookmarkEnd w:id="9"/>
    </w:p>
    <w:p w14:paraId="5C3413AF" w14:textId="77777777" w:rsidR="00000000" w:rsidRDefault="00A568A1"/>
    <w:p w14:paraId="54E3FB50" w14:textId="77777777" w:rsidR="00000000" w:rsidRDefault="00A568A1">
      <w:r>
        <w:t xml:space="preserve">Enrollment Priority Group 7 will be modified to include the following groups of veterans.  </w:t>
      </w:r>
      <w:r>
        <w:rPr>
          <w:b/>
          <w:bCs/>
          <w:i/>
          <w:iCs/>
          <w:u w:val="single"/>
        </w:rPr>
        <w:t xml:space="preserve">In areas where the GMT Threshold is equal to or less than the MT Threshold, there will be no Enrollment Priority Group 7 veterans; those areas will </w:t>
      </w:r>
      <w:r>
        <w:rPr>
          <w:b/>
          <w:bCs/>
          <w:i/>
          <w:iCs/>
          <w:u w:val="single"/>
        </w:rPr>
        <w:t>have Enrollment Priority Group 8 veterans only.</w:t>
      </w:r>
      <w:r>
        <w:t xml:space="preserve">  Refer to Section 3.2.3 of the GMT SRS for detailed information about the business rules for modifying Enrollment Priority Group 7.  Refer to Appendix A of this document for a </w:t>
      </w:r>
      <w:r>
        <w:rPr>
          <w:rStyle w:val="TABLEHEADING"/>
          <w:rFonts w:ascii="Times New Roman" w:hAnsi="Times New Roman"/>
          <w:b w:val="0"/>
          <w:sz w:val="24"/>
        </w:rPr>
        <w:t>GMT Enrollment Priority / Copaym</w:t>
      </w:r>
      <w:r>
        <w:rPr>
          <w:rStyle w:val="TABLEHEADING"/>
          <w:rFonts w:ascii="Times New Roman" w:hAnsi="Times New Roman"/>
          <w:b w:val="0"/>
          <w:sz w:val="24"/>
        </w:rPr>
        <w:t xml:space="preserve">ent Matrix.  </w:t>
      </w:r>
    </w:p>
    <w:p w14:paraId="492D04A1" w14:textId="77777777" w:rsidR="00000000" w:rsidRDefault="00A568A1"/>
    <w:p w14:paraId="5F1762C9" w14:textId="77777777" w:rsidR="00000000" w:rsidRDefault="00A568A1" w:rsidP="00A568A1">
      <w:pPr>
        <w:numPr>
          <w:ilvl w:val="0"/>
          <w:numId w:val="5"/>
        </w:numPr>
      </w:pPr>
      <w:r>
        <w:t xml:space="preserve">Veterans whose income is greater than the MT Threshold </w:t>
      </w:r>
      <w:r>
        <w:rPr>
          <w:b/>
          <w:bCs/>
        </w:rPr>
        <w:t>and</w:t>
      </w:r>
      <w:r>
        <w:t xml:space="preserve"> less than or equal to the GMT Threshold, </w:t>
      </w:r>
      <w:r>
        <w:rPr>
          <w:b/>
          <w:bCs/>
        </w:rPr>
        <w:t>and</w:t>
      </w:r>
      <w:r>
        <w:t xml:space="preserve"> are not eligible for placement in a higher priority group</w:t>
      </w:r>
    </w:p>
    <w:p w14:paraId="1F35B21B" w14:textId="77777777" w:rsidR="00000000" w:rsidRDefault="00A568A1" w:rsidP="00A568A1">
      <w:pPr>
        <w:numPr>
          <w:ilvl w:val="0"/>
          <w:numId w:val="5"/>
        </w:numPr>
      </w:pPr>
      <w:r>
        <w:t xml:space="preserve">Veterans whose income is less than or equal to the MT Threshold, but whose net </w:t>
      </w:r>
      <w:r>
        <w:t xml:space="preserve">worth (total assets minus debt) is greater than or equal to the Net Worth (Property) Threshold (currently set at $80K) </w:t>
      </w:r>
      <w:r>
        <w:rPr>
          <w:b/>
          <w:bCs/>
        </w:rPr>
        <w:t>and</w:t>
      </w:r>
      <w:r>
        <w:t xml:space="preserve"> are not eligible for placement in a higher priority group</w:t>
      </w:r>
    </w:p>
    <w:p w14:paraId="69FE7DAA" w14:textId="77777777" w:rsidR="00000000" w:rsidRDefault="00A568A1" w:rsidP="00A568A1">
      <w:pPr>
        <w:numPr>
          <w:ilvl w:val="0"/>
          <w:numId w:val="5"/>
        </w:numPr>
      </w:pPr>
      <w:r>
        <w:t>Veterans included in Priority Group 7 will be divided into the following su</w:t>
      </w:r>
      <w:r>
        <w:t>b-categories:</w:t>
      </w:r>
    </w:p>
    <w:p w14:paraId="6327C403" w14:textId="77777777" w:rsidR="00000000" w:rsidRDefault="00A568A1" w:rsidP="00A568A1">
      <w:pPr>
        <w:numPr>
          <w:ilvl w:val="1"/>
          <w:numId w:val="6"/>
        </w:numPr>
      </w:pPr>
      <w:r>
        <w:rPr>
          <w:b/>
          <w:bCs/>
        </w:rPr>
        <w:t>Group 7a</w:t>
      </w:r>
      <w:r>
        <w:t>:  Noncompensable 0% service-connected veterans who were in an enrolled status on a specified date announced in a Federal Register document and who subsequently do not request disenrollment</w:t>
      </w:r>
    </w:p>
    <w:p w14:paraId="07979E74" w14:textId="77777777" w:rsidR="00000000" w:rsidRDefault="00A568A1" w:rsidP="00A568A1">
      <w:pPr>
        <w:numPr>
          <w:ilvl w:val="1"/>
          <w:numId w:val="6"/>
        </w:numPr>
      </w:pPr>
      <w:r>
        <w:rPr>
          <w:b/>
          <w:bCs/>
        </w:rPr>
        <w:t>Group 7c</w:t>
      </w:r>
      <w:r>
        <w:t>:  Non-service-connected veterans wh</w:t>
      </w:r>
      <w:r>
        <w:t>o are in an enrolled status on a specific date announced in a Federal Register document and who subsequently do not request disenrollment</w:t>
      </w:r>
    </w:p>
    <w:p w14:paraId="5EA6892D" w14:textId="77777777" w:rsidR="00000000" w:rsidRDefault="00A568A1"/>
    <w:p w14:paraId="35E976AA" w14:textId="77777777" w:rsidR="00000000" w:rsidRDefault="00A568A1">
      <w:pPr>
        <w:pStyle w:val="Heading2"/>
      </w:pPr>
      <w:r>
        <w:br w:type="page"/>
      </w:r>
      <w:bookmarkStart w:id="10" w:name="_Toc22544648"/>
      <w:r>
        <w:lastRenderedPageBreak/>
        <w:t>Create Enrollment Priority Group 8</w:t>
      </w:r>
      <w:bookmarkEnd w:id="10"/>
    </w:p>
    <w:p w14:paraId="587A2023" w14:textId="77777777" w:rsidR="00000000" w:rsidRDefault="00A568A1">
      <w:r>
        <w:t>The</w:t>
      </w:r>
      <w:r>
        <w:rPr>
          <w:b/>
          <w:bCs/>
        </w:rPr>
        <w:t xml:space="preserve"> </w:t>
      </w:r>
      <w:r>
        <w:t>GMT software creates</w:t>
      </w:r>
      <w:r>
        <w:rPr>
          <w:b/>
          <w:bCs/>
        </w:rPr>
        <w:t xml:space="preserve"> </w:t>
      </w:r>
      <w:r>
        <w:t>a new Enrollment Priority Group 8 that includes the foll</w:t>
      </w:r>
      <w:r>
        <w:t>owing veterans.</w:t>
      </w:r>
      <w:r>
        <w:rPr>
          <w:b/>
          <w:bCs/>
          <w:i/>
          <w:iCs/>
          <w:u w:val="single"/>
        </w:rPr>
        <w:t xml:space="preserve">  If the GMT Threshold is equal to or less than the MT Threshold in any locale, there will be no Priority Group 7 veterans for that locale; it will have Priority Group 8 veterans only.</w:t>
      </w:r>
      <w:r>
        <w:t xml:space="preserve">  Refer to Section 3.1.5 of the GMT SRS for detailed info</w:t>
      </w:r>
      <w:r>
        <w:t xml:space="preserve">rmation about the business rules for creating Enrollment Priority Group 8.  Refer to Appendix A of this document for a </w:t>
      </w:r>
      <w:r>
        <w:rPr>
          <w:rStyle w:val="TABLEHEADING"/>
          <w:rFonts w:ascii="Times New Roman" w:hAnsi="Times New Roman"/>
          <w:b w:val="0"/>
          <w:sz w:val="24"/>
        </w:rPr>
        <w:t xml:space="preserve">GMT Enrollment Priority / Copayment Matrix.  </w:t>
      </w:r>
    </w:p>
    <w:p w14:paraId="602FCA63" w14:textId="77777777" w:rsidR="00000000" w:rsidRDefault="00A568A1" w:rsidP="00A568A1">
      <w:pPr>
        <w:numPr>
          <w:ilvl w:val="0"/>
          <w:numId w:val="7"/>
        </w:numPr>
      </w:pPr>
      <w:r>
        <w:t xml:space="preserve">Veterans whose income is greater than the MT threshold </w:t>
      </w:r>
      <w:r>
        <w:rPr>
          <w:b/>
          <w:bCs/>
        </w:rPr>
        <w:t>and</w:t>
      </w:r>
      <w:r>
        <w:t xml:space="preserve"> greater than the GMT Threshold</w:t>
      </w:r>
    </w:p>
    <w:p w14:paraId="2474127B" w14:textId="77777777" w:rsidR="00000000" w:rsidRDefault="00A568A1" w:rsidP="00A568A1">
      <w:pPr>
        <w:numPr>
          <w:ilvl w:val="0"/>
          <w:numId w:val="7"/>
        </w:numPr>
      </w:pPr>
      <w:r>
        <w:t>V</w:t>
      </w:r>
      <w:r>
        <w:t xml:space="preserve">eterans who decline to provide income information </w:t>
      </w:r>
      <w:r>
        <w:rPr>
          <w:b/>
          <w:bCs/>
        </w:rPr>
        <w:t>and</w:t>
      </w:r>
      <w:r>
        <w:t xml:space="preserve"> who agree to make MT copayments</w:t>
      </w:r>
    </w:p>
    <w:p w14:paraId="13F5BC59" w14:textId="77777777" w:rsidR="00000000" w:rsidRDefault="00A568A1" w:rsidP="00A568A1">
      <w:pPr>
        <w:numPr>
          <w:ilvl w:val="0"/>
          <w:numId w:val="7"/>
        </w:numPr>
      </w:pPr>
      <w:r>
        <w:t xml:space="preserve">Veterans whose income exceeds the MT Threshold </w:t>
      </w:r>
      <w:r>
        <w:rPr>
          <w:b/>
          <w:bCs/>
        </w:rPr>
        <w:t>and</w:t>
      </w:r>
      <w:r>
        <w:t xml:space="preserve"> who live in a location where the GMT Threshold is less than or equal to the MT Threshold</w:t>
      </w:r>
    </w:p>
    <w:p w14:paraId="554756A2" w14:textId="77777777" w:rsidR="00000000" w:rsidRDefault="00A568A1" w:rsidP="00A568A1">
      <w:pPr>
        <w:numPr>
          <w:ilvl w:val="0"/>
          <w:numId w:val="7"/>
        </w:numPr>
      </w:pPr>
      <w:r>
        <w:t xml:space="preserve">Veterans included in Priority </w:t>
      </w:r>
      <w:r>
        <w:t>Group 8 will be divided into the following sub-categories:</w:t>
      </w:r>
    </w:p>
    <w:p w14:paraId="2CD35673" w14:textId="77777777" w:rsidR="00000000" w:rsidRDefault="00A568A1" w:rsidP="00A568A1">
      <w:pPr>
        <w:numPr>
          <w:ilvl w:val="1"/>
          <w:numId w:val="8"/>
        </w:numPr>
      </w:pPr>
      <w:r>
        <w:rPr>
          <w:b/>
          <w:bCs/>
        </w:rPr>
        <w:t>Group 8a</w:t>
      </w:r>
      <w:r>
        <w:t xml:space="preserve">: Noncompensable 0% service-connected veterans who were in an enrolled status on a specified date announced in a </w:t>
      </w:r>
      <w:r>
        <w:rPr>
          <w:u w:val="single"/>
        </w:rPr>
        <w:t>Federal Register</w:t>
      </w:r>
      <w:r>
        <w:t xml:space="preserve"> document </w:t>
      </w:r>
      <w:r>
        <w:rPr>
          <w:b/>
          <w:bCs/>
        </w:rPr>
        <w:t>and</w:t>
      </w:r>
      <w:r>
        <w:t xml:space="preserve"> who subsequently do not request disenrollment</w:t>
      </w:r>
    </w:p>
    <w:p w14:paraId="42A84C33" w14:textId="77777777" w:rsidR="00000000" w:rsidRDefault="00A568A1" w:rsidP="00A568A1">
      <w:pPr>
        <w:numPr>
          <w:ilvl w:val="1"/>
          <w:numId w:val="8"/>
        </w:numPr>
      </w:pPr>
      <w:r>
        <w:rPr>
          <w:b/>
          <w:bCs/>
        </w:rPr>
        <w:t>Group 8c</w:t>
      </w:r>
      <w:r>
        <w:t xml:space="preserve">: Non-service-connected veterans who are in an enrolled status on a specific date announced in a </w:t>
      </w:r>
      <w:r>
        <w:rPr>
          <w:u w:val="single"/>
        </w:rPr>
        <w:t>Federal Register</w:t>
      </w:r>
      <w:r>
        <w:t xml:space="preserve"> document </w:t>
      </w:r>
      <w:r>
        <w:rPr>
          <w:b/>
          <w:bCs/>
        </w:rPr>
        <w:t>and</w:t>
      </w:r>
      <w:r>
        <w:t xml:space="preserve"> who subsequently do not request disenrollment</w:t>
      </w:r>
    </w:p>
    <w:p w14:paraId="4D8012DF" w14:textId="77777777" w:rsidR="00000000" w:rsidRDefault="00A568A1"/>
    <w:p w14:paraId="4560E6C1" w14:textId="77777777" w:rsidR="00000000" w:rsidRDefault="00A568A1">
      <w:pPr>
        <w:pStyle w:val="Heading2"/>
      </w:pPr>
      <w:bookmarkStart w:id="11" w:name="_Toc22544649"/>
      <w:r>
        <w:t>Reset the Enrollment Group Threshold (EGT)</w:t>
      </w:r>
      <w:bookmarkEnd w:id="11"/>
    </w:p>
    <w:p w14:paraId="3181499D" w14:textId="77777777" w:rsidR="00000000" w:rsidRDefault="00A568A1">
      <w:pPr>
        <w:pStyle w:val="HEADING40"/>
        <w:rPr>
          <w:rFonts w:ascii="Times New Roman" w:hAnsi="Times New Roman"/>
        </w:rPr>
      </w:pPr>
    </w:p>
    <w:p w14:paraId="47F1DB29" w14:textId="77777777" w:rsidR="00000000" w:rsidRDefault="00A568A1">
      <w:r>
        <w:t>The GMT software will automati</w:t>
      </w:r>
      <w:r>
        <w:t xml:space="preserve">cally reset the Enrollment Group Threshold (EGT) to from the current 7c to the new 8c, where it will remain until a new EGT is regulated.  </w:t>
      </w:r>
    </w:p>
    <w:p w14:paraId="2471868B" w14:textId="77777777" w:rsidR="00000000" w:rsidRDefault="00A568A1"/>
    <w:p w14:paraId="32434363" w14:textId="77777777" w:rsidR="00000000" w:rsidRDefault="00A568A1">
      <w:pPr>
        <w:pStyle w:val="Heading2"/>
      </w:pPr>
      <w:bookmarkStart w:id="12" w:name="_Toc22544650"/>
      <w:r>
        <w:t>Changes to Category A and Category C References</w:t>
      </w:r>
      <w:bookmarkEnd w:id="12"/>
    </w:p>
    <w:p w14:paraId="597CEBFA" w14:textId="77777777" w:rsidR="00000000" w:rsidRDefault="00A568A1">
      <w:pPr>
        <w:rPr>
          <w:i/>
          <w:iCs/>
        </w:rPr>
      </w:pPr>
    </w:p>
    <w:p w14:paraId="2875CCCF" w14:textId="77777777" w:rsidR="00000000" w:rsidRDefault="00A568A1">
      <w:r>
        <w:t>Although this does not affect the GMT functionality, all user view</w:t>
      </w:r>
      <w:r>
        <w:t xml:space="preserve">able references to Category A and Category C means test statuses in enrollment-related software have been modified to reflect the following changes:  </w:t>
      </w:r>
    </w:p>
    <w:p w14:paraId="4A3EE5C2" w14:textId="77777777" w:rsidR="00000000" w:rsidRDefault="00A568A1"/>
    <w:p w14:paraId="6A012508" w14:textId="77777777" w:rsidR="00000000" w:rsidRDefault="00A568A1">
      <w:r>
        <w:t>Category A (Cat A) is now MT Copay Exempt</w:t>
      </w:r>
    </w:p>
    <w:p w14:paraId="48F690C7" w14:textId="77777777" w:rsidR="00000000" w:rsidRDefault="00A568A1">
      <w:r>
        <w:t>Category C (Cat C) is now MT Copay Required</w:t>
      </w:r>
    </w:p>
    <w:p w14:paraId="361CF936" w14:textId="77777777" w:rsidR="00000000" w:rsidRDefault="00A568A1"/>
    <w:p w14:paraId="10915B12" w14:textId="77777777" w:rsidR="00000000" w:rsidRDefault="00A568A1"/>
    <w:p w14:paraId="335F7BD6" w14:textId="77777777" w:rsidR="00000000" w:rsidRDefault="00A568A1">
      <w:pPr>
        <w:sectPr w:rsidR="00000000">
          <w:headerReference w:type="default" r:id="rId12"/>
          <w:pgSz w:w="12240" w:h="15840"/>
          <w:pgMar w:top="1440" w:right="1440" w:bottom="1440" w:left="1440" w:header="720" w:footer="720" w:gutter="0"/>
          <w:cols w:space="720"/>
          <w:titlePg/>
          <w:docGrid w:linePitch="360"/>
        </w:sectPr>
      </w:pPr>
    </w:p>
    <w:p w14:paraId="711E805B" w14:textId="77777777" w:rsidR="00000000" w:rsidRDefault="00A568A1">
      <w:pPr>
        <w:pStyle w:val="Heading1"/>
      </w:pPr>
      <w:bookmarkStart w:id="13" w:name="_Toc22544651"/>
      <w:r>
        <w:lastRenderedPageBreak/>
        <w:t>Technical Relea</w:t>
      </w:r>
      <w:r>
        <w:t>se Notes</w:t>
      </w:r>
      <w:bookmarkEnd w:id="13"/>
    </w:p>
    <w:p w14:paraId="3A2F0511" w14:textId="77777777" w:rsidR="00000000" w:rsidRDefault="00A568A1"/>
    <w:p w14:paraId="38E22721" w14:textId="77777777" w:rsidR="00000000" w:rsidRDefault="00A568A1">
      <w:pPr>
        <w:pStyle w:val="HEADING20"/>
      </w:pPr>
      <w:bookmarkStart w:id="14" w:name="_Toc22544652"/>
      <w:r>
        <w:t>Patch Installation Sequence</w:t>
      </w:r>
      <w:bookmarkEnd w:id="14"/>
    </w:p>
    <w:p w14:paraId="5704018A" w14:textId="77777777" w:rsidR="00000000" w:rsidRDefault="00A568A1">
      <w:pPr>
        <w:pStyle w:val="HEADING40"/>
        <w:rPr>
          <w:rFonts w:ascii="Times New Roman" w:hAnsi="Times New Roman"/>
        </w:rPr>
      </w:pPr>
    </w:p>
    <w:p w14:paraId="4FBC0231" w14:textId="77777777" w:rsidR="00000000" w:rsidRDefault="00A568A1">
      <w:r>
        <w:t xml:space="preserve">The following table illustrates the </w:t>
      </w:r>
      <w:r>
        <w:rPr>
          <w:b/>
          <w:bCs/>
        </w:rPr>
        <w:t>mandatory</w:t>
      </w:r>
      <w:r>
        <w:t xml:space="preserve"> sequence for installing GMT patches.  </w:t>
      </w:r>
      <w:proofErr w:type="gramStart"/>
      <w:r>
        <w:t>All of</w:t>
      </w:r>
      <w:proofErr w:type="gramEnd"/>
      <w:r>
        <w:t xml:space="preserve"> the GMT patches will be released with an Emergency status.  </w:t>
      </w:r>
      <w:r>
        <w:rPr>
          <w:b/>
          <w:bCs/>
          <w:i/>
          <w:iCs/>
          <w:u w:val="single"/>
        </w:rPr>
        <w:t>It is imperative that sites install the patches in the sequence sh</w:t>
      </w:r>
      <w:r>
        <w:rPr>
          <w:b/>
          <w:bCs/>
          <w:i/>
          <w:iCs/>
          <w:u w:val="single"/>
        </w:rPr>
        <w:t xml:space="preserve">own by the dates specified.  </w:t>
      </w:r>
      <w:r>
        <w:rPr>
          <w:b/>
          <w:bCs/>
          <w:color w:val="000000"/>
        </w:rPr>
        <w:t>V</w:t>
      </w:r>
      <w:r>
        <w:rPr>
          <w:i/>
          <w:iCs/>
          <w:color w:val="000000"/>
          <w:sz w:val="20"/>
          <w:szCs w:val="20"/>
        </w:rPr>
        <w:t>IST</w:t>
      </w:r>
      <w:r>
        <w:rPr>
          <w:b/>
          <w:bCs/>
          <w:color w:val="000000"/>
        </w:rPr>
        <w:t>A</w:t>
      </w:r>
      <w:r>
        <w:t xml:space="preserve"> patch installations will be monitored by NVS.  For detailed installation information about the GMT </w:t>
      </w:r>
      <w:r>
        <w:rPr>
          <w:b/>
          <w:bCs/>
          <w:color w:val="000000"/>
        </w:rPr>
        <w:t>V</w:t>
      </w:r>
      <w:r>
        <w:rPr>
          <w:i/>
          <w:iCs/>
          <w:color w:val="000000"/>
          <w:sz w:val="20"/>
          <w:szCs w:val="20"/>
        </w:rPr>
        <w:t>IST</w:t>
      </w:r>
      <w:r>
        <w:rPr>
          <w:b/>
          <w:bCs/>
          <w:color w:val="000000"/>
        </w:rPr>
        <w:t>A</w:t>
      </w:r>
      <w:r>
        <w:t xml:space="preserve"> Enrollment patches, refer to the </w:t>
      </w:r>
      <w:r>
        <w:rPr>
          <w:b/>
          <w:bCs/>
          <w:color w:val="000000"/>
        </w:rPr>
        <w:t>V</w:t>
      </w:r>
      <w:r>
        <w:rPr>
          <w:i/>
          <w:iCs/>
          <w:color w:val="000000"/>
          <w:sz w:val="20"/>
          <w:szCs w:val="20"/>
        </w:rPr>
        <w:t>IST</w:t>
      </w:r>
      <w:r>
        <w:rPr>
          <w:b/>
          <w:bCs/>
          <w:color w:val="000000"/>
        </w:rPr>
        <w:t>A</w:t>
      </w:r>
      <w:r>
        <w:t xml:space="preserve"> GMT Installation Guide.  For detailed information about the GMT HEC patch ins</w:t>
      </w:r>
      <w:r>
        <w:t xml:space="preserve">tallation, refer to the HEC GMT Installation Guide.  </w:t>
      </w:r>
    </w:p>
    <w:p w14:paraId="7AAD03B0" w14:textId="77777777" w:rsidR="00000000" w:rsidRDefault="00A568A1"/>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
        <w:gridCol w:w="2461"/>
        <w:gridCol w:w="1406"/>
        <w:gridCol w:w="1316"/>
        <w:gridCol w:w="326"/>
        <w:gridCol w:w="1024"/>
        <w:gridCol w:w="2768"/>
      </w:tblGrid>
      <w:tr w:rsidR="00000000" w14:paraId="06F2D160" w14:textId="77777777">
        <w:tblPrEx>
          <w:tblCellMar>
            <w:top w:w="0" w:type="dxa"/>
            <w:bottom w:w="0" w:type="dxa"/>
          </w:tblCellMar>
        </w:tblPrEx>
        <w:trPr>
          <w:cantSplit/>
          <w:tblHeader/>
        </w:trPr>
        <w:tc>
          <w:tcPr>
            <w:tcW w:w="617" w:type="dxa"/>
            <w:shd w:val="clear" w:color="auto" w:fill="00FFFF"/>
          </w:tcPr>
          <w:p w14:paraId="5A737ABC" w14:textId="77777777" w:rsidR="00000000" w:rsidRDefault="00A568A1">
            <w:pPr>
              <w:autoSpaceDE w:val="0"/>
              <w:autoSpaceDN w:val="0"/>
              <w:adjustRightInd w:val="0"/>
              <w:rPr>
                <w:rStyle w:val="TABLEHEADING"/>
              </w:rPr>
            </w:pPr>
            <w:r>
              <w:rPr>
                <w:rStyle w:val="TABLEHEADING"/>
              </w:rPr>
              <w:t>Step</w:t>
            </w:r>
          </w:p>
        </w:tc>
        <w:tc>
          <w:tcPr>
            <w:tcW w:w="2461" w:type="dxa"/>
            <w:shd w:val="clear" w:color="auto" w:fill="00FFFF"/>
          </w:tcPr>
          <w:p w14:paraId="1B386B9F" w14:textId="77777777" w:rsidR="00000000" w:rsidRDefault="00A568A1">
            <w:pPr>
              <w:autoSpaceDE w:val="0"/>
              <w:autoSpaceDN w:val="0"/>
              <w:adjustRightInd w:val="0"/>
              <w:rPr>
                <w:rStyle w:val="TABLEHEADING"/>
              </w:rPr>
            </w:pPr>
            <w:r>
              <w:rPr>
                <w:rStyle w:val="TABLEHEADING"/>
              </w:rPr>
              <w:t>Patches</w:t>
            </w:r>
          </w:p>
        </w:tc>
        <w:tc>
          <w:tcPr>
            <w:tcW w:w="1406" w:type="dxa"/>
            <w:shd w:val="clear" w:color="auto" w:fill="00FFFF"/>
          </w:tcPr>
          <w:p w14:paraId="5E8566C3" w14:textId="77777777" w:rsidR="00000000" w:rsidRDefault="00A568A1">
            <w:pPr>
              <w:autoSpaceDE w:val="0"/>
              <w:autoSpaceDN w:val="0"/>
              <w:adjustRightInd w:val="0"/>
              <w:rPr>
                <w:rStyle w:val="TABLEHEADING"/>
              </w:rPr>
            </w:pPr>
            <w:r>
              <w:rPr>
                <w:rStyle w:val="TABLEHEADING"/>
              </w:rPr>
              <w:t xml:space="preserve">Release to </w:t>
            </w:r>
          </w:p>
          <w:p w14:paraId="3EC422ED" w14:textId="77777777" w:rsidR="00000000" w:rsidRDefault="00A568A1">
            <w:pPr>
              <w:autoSpaceDE w:val="0"/>
              <w:autoSpaceDN w:val="0"/>
              <w:adjustRightInd w:val="0"/>
              <w:rPr>
                <w:rStyle w:val="TABLEHEADING"/>
              </w:rPr>
            </w:pPr>
            <w:r>
              <w:rPr>
                <w:rStyle w:val="TABLEHEADING"/>
              </w:rPr>
              <w:t>NVS</w:t>
            </w:r>
          </w:p>
        </w:tc>
        <w:tc>
          <w:tcPr>
            <w:tcW w:w="1316" w:type="dxa"/>
            <w:shd w:val="clear" w:color="auto" w:fill="00FFFF"/>
          </w:tcPr>
          <w:p w14:paraId="057CC102" w14:textId="77777777" w:rsidR="00000000" w:rsidRDefault="00A568A1">
            <w:pPr>
              <w:autoSpaceDE w:val="0"/>
              <w:autoSpaceDN w:val="0"/>
              <w:adjustRightInd w:val="0"/>
              <w:rPr>
                <w:rStyle w:val="TABLEHEADING"/>
              </w:rPr>
            </w:pPr>
            <w:r>
              <w:rPr>
                <w:rStyle w:val="TABLEHEADING"/>
              </w:rPr>
              <w:t xml:space="preserve">National </w:t>
            </w:r>
          </w:p>
          <w:p w14:paraId="1E051437" w14:textId="77777777" w:rsidR="00000000" w:rsidRDefault="00A568A1">
            <w:pPr>
              <w:autoSpaceDE w:val="0"/>
              <w:autoSpaceDN w:val="0"/>
              <w:adjustRightInd w:val="0"/>
              <w:rPr>
                <w:rStyle w:val="TABLEHEADING"/>
              </w:rPr>
            </w:pPr>
            <w:r>
              <w:rPr>
                <w:rStyle w:val="TABLEHEADING"/>
              </w:rPr>
              <w:t xml:space="preserve">Release to </w:t>
            </w:r>
          </w:p>
          <w:p w14:paraId="43E53515" w14:textId="77777777" w:rsidR="00000000" w:rsidRDefault="00A568A1">
            <w:pPr>
              <w:autoSpaceDE w:val="0"/>
              <w:autoSpaceDN w:val="0"/>
              <w:adjustRightInd w:val="0"/>
              <w:rPr>
                <w:rStyle w:val="TABLEHEADING"/>
              </w:rPr>
            </w:pPr>
            <w:r>
              <w:rPr>
                <w:rStyle w:val="TABLEHEADING"/>
              </w:rPr>
              <w:t>Field</w:t>
            </w:r>
          </w:p>
        </w:tc>
        <w:tc>
          <w:tcPr>
            <w:tcW w:w="1350" w:type="dxa"/>
            <w:gridSpan w:val="2"/>
            <w:shd w:val="clear" w:color="auto" w:fill="00FFFF"/>
          </w:tcPr>
          <w:p w14:paraId="4B323BD2" w14:textId="77777777" w:rsidR="00000000" w:rsidRDefault="00A568A1">
            <w:pPr>
              <w:autoSpaceDE w:val="0"/>
              <w:autoSpaceDN w:val="0"/>
              <w:adjustRightInd w:val="0"/>
              <w:rPr>
                <w:rStyle w:val="TABLEHEADING"/>
              </w:rPr>
            </w:pPr>
            <w:r>
              <w:rPr>
                <w:rStyle w:val="TABLEHEADING"/>
              </w:rPr>
              <w:t xml:space="preserve">Compliance </w:t>
            </w:r>
          </w:p>
          <w:p w14:paraId="612DD548" w14:textId="77777777" w:rsidR="00000000" w:rsidRDefault="00A568A1">
            <w:pPr>
              <w:autoSpaceDE w:val="0"/>
              <w:autoSpaceDN w:val="0"/>
              <w:adjustRightInd w:val="0"/>
              <w:rPr>
                <w:rStyle w:val="TABLEHEADING"/>
              </w:rPr>
            </w:pPr>
            <w:r>
              <w:rPr>
                <w:rStyle w:val="TABLEHEADING"/>
              </w:rPr>
              <w:t>Date</w:t>
            </w:r>
          </w:p>
        </w:tc>
        <w:tc>
          <w:tcPr>
            <w:tcW w:w="2768" w:type="dxa"/>
            <w:shd w:val="clear" w:color="auto" w:fill="00FFFF"/>
          </w:tcPr>
          <w:p w14:paraId="365C1DDF" w14:textId="77777777" w:rsidR="00000000" w:rsidRDefault="00A568A1">
            <w:pPr>
              <w:autoSpaceDE w:val="0"/>
              <w:autoSpaceDN w:val="0"/>
              <w:adjustRightInd w:val="0"/>
              <w:rPr>
                <w:rStyle w:val="TABLEHEADING"/>
              </w:rPr>
            </w:pPr>
            <w:r>
              <w:rPr>
                <w:rStyle w:val="TABLEHEADING"/>
              </w:rPr>
              <w:t>Comments</w:t>
            </w:r>
          </w:p>
        </w:tc>
      </w:tr>
      <w:tr w:rsidR="00000000" w14:paraId="1A465B07" w14:textId="77777777">
        <w:tblPrEx>
          <w:tblCellMar>
            <w:top w:w="0" w:type="dxa"/>
            <w:bottom w:w="0" w:type="dxa"/>
          </w:tblCellMar>
        </w:tblPrEx>
        <w:trPr>
          <w:cantSplit/>
        </w:trPr>
        <w:tc>
          <w:tcPr>
            <w:tcW w:w="617" w:type="dxa"/>
          </w:tcPr>
          <w:p w14:paraId="2C570FCA" w14:textId="77777777" w:rsidR="00000000" w:rsidRDefault="00A568A1">
            <w:pPr>
              <w:pStyle w:val="TABLEROW"/>
              <w:rPr>
                <w:sz w:val="18"/>
              </w:rPr>
            </w:pPr>
            <w:r>
              <w:rPr>
                <w:sz w:val="18"/>
              </w:rPr>
              <w:t>1</w:t>
            </w:r>
          </w:p>
        </w:tc>
        <w:tc>
          <w:tcPr>
            <w:tcW w:w="2461" w:type="dxa"/>
          </w:tcPr>
          <w:p w14:paraId="23058FE7" w14:textId="77777777" w:rsidR="00000000" w:rsidRDefault="00A568A1">
            <w:pPr>
              <w:pStyle w:val="TABLEROW"/>
              <w:rPr>
                <w:b/>
                <w:bCs/>
                <w:sz w:val="18"/>
                <w:szCs w:val="15"/>
              </w:rPr>
            </w:pPr>
            <w:r>
              <w:rPr>
                <w:b/>
                <w:bCs/>
                <w:sz w:val="18"/>
                <w:szCs w:val="15"/>
              </w:rPr>
              <w:t>IB Part 1</w:t>
            </w:r>
          </w:p>
          <w:p w14:paraId="276E4A64" w14:textId="77777777" w:rsidR="00000000" w:rsidRDefault="00A568A1">
            <w:pPr>
              <w:pStyle w:val="TABLEROW"/>
              <w:rPr>
                <w:sz w:val="18"/>
              </w:rPr>
            </w:pPr>
            <w:r>
              <w:rPr>
                <w:sz w:val="18"/>
                <w:szCs w:val="15"/>
              </w:rPr>
              <w:t>IB*2.0*179</w:t>
            </w:r>
          </w:p>
        </w:tc>
        <w:tc>
          <w:tcPr>
            <w:tcW w:w="1406" w:type="dxa"/>
          </w:tcPr>
          <w:p w14:paraId="4D289E04" w14:textId="77777777" w:rsidR="00000000" w:rsidRDefault="00A568A1">
            <w:pPr>
              <w:pStyle w:val="TABLEROW"/>
              <w:rPr>
                <w:b/>
                <w:sz w:val="18"/>
              </w:rPr>
            </w:pPr>
            <w:r>
              <w:rPr>
                <w:b/>
                <w:sz w:val="18"/>
              </w:rPr>
              <w:t>9/20/02</w:t>
            </w:r>
          </w:p>
        </w:tc>
        <w:tc>
          <w:tcPr>
            <w:tcW w:w="1316" w:type="dxa"/>
          </w:tcPr>
          <w:p w14:paraId="2A42E86E" w14:textId="77777777" w:rsidR="00000000" w:rsidRDefault="00A568A1">
            <w:pPr>
              <w:pStyle w:val="TABLEROW"/>
              <w:rPr>
                <w:b/>
                <w:sz w:val="18"/>
              </w:rPr>
            </w:pPr>
            <w:r>
              <w:rPr>
                <w:b/>
                <w:sz w:val="18"/>
              </w:rPr>
              <w:t>9/25/02</w:t>
            </w:r>
          </w:p>
        </w:tc>
        <w:tc>
          <w:tcPr>
            <w:tcW w:w="1350" w:type="dxa"/>
            <w:gridSpan w:val="2"/>
          </w:tcPr>
          <w:p w14:paraId="63DB89CB" w14:textId="77777777" w:rsidR="00000000" w:rsidRDefault="00A568A1">
            <w:pPr>
              <w:pStyle w:val="TABLEROW"/>
              <w:rPr>
                <w:b/>
                <w:sz w:val="18"/>
              </w:rPr>
            </w:pPr>
            <w:r>
              <w:rPr>
                <w:b/>
                <w:sz w:val="18"/>
              </w:rPr>
              <w:t>9/30/02</w:t>
            </w:r>
          </w:p>
        </w:tc>
        <w:tc>
          <w:tcPr>
            <w:tcW w:w="2768" w:type="dxa"/>
          </w:tcPr>
          <w:p w14:paraId="784215AC" w14:textId="77777777" w:rsidR="00000000" w:rsidRDefault="00A568A1">
            <w:pPr>
              <w:pStyle w:val="TABLEROW"/>
              <w:rPr>
                <w:bCs/>
                <w:sz w:val="18"/>
              </w:rPr>
            </w:pPr>
            <w:r>
              <w:rPr>
                <w:bCs/>
                <w:sz w:val="18"/>
              </w:rPr>
              <w:t>Effective Date: 10/1/02</w:t>
            </w:r>
          </w:p>
        </w:tc>
      </w:tr>
      <w:tr w:rsidR="00000000" w14:paraId="0A7EE5FE" w14:textId="77777777">
        <w:tblPrEx>
          <w:tblCellMar>
            <w:top w:w="0" w:type="dxa"/>
            <w:bottom w:w="0" w:type="dxa"/>
          </w:tblCellMar>
        </w:tblPrEx>
        <w:trPr>
          <w:cantSplit/>
        </w:trPr>
        <w:tc>
          <w:tcPr>
            <w:tcW w:w="617" w:type="dxa"/>
          </w:tcPr>
          <w:p w14:paraId="181ED29E" w14:textId="77777777" w:rsidR="00000000" w:rsidRDefault="00A568A1">
            <w:pPr>
              <w:pStyle w:val="TABLEROW"/>
              <w:rPr>
                <w:sz w:val="18"/>
              </w:rPr>
            </w:pPr>
            <w:r>
              <w:rPr>
                <w:sz w:val="18"/>
              </w:rPr>
              <w:t>2</w:t>
            </w:r>
          </w:p>
        </w:tc>
        <w:tc>
          <w:tcPr>
            <w:tcW w:w="2461" w:type="dxa"/>
          </w:tcPr>
          <w:p w14:paraId="7182BE47" w14:textId="77777777" w:rsidR="00000000" w:rsidRDefault="00A568A1">
            <w:pPr>
              <w:pStyle w:val="TABLEROW"/>
              <w:rPr>
                <w:b/>
                <w:bCs/>
                <w:sz w:val="18"/>
              </w:rPr>
            </w:pPr>
            <w:r>
              <w:rPr>
                <w:b/>
                <w:bCs/>
                <w:sz w:val="18"/>
              </w:rPr>
              <w:t>AI Kernel</w:t>
            </w:r>
          </w:p>
          <w:p w14:paraId="3FCAA38D" w14:textId="77777777" w:rsidR="00000000" w:rsidRDefault="00A568A1">
            <w:pPr>
              <w:pStyle w:val="TABLEROW"/>
              <w:rPr>
                <w:sz w:val="18"/>
              </w:rPr>
            </w:pPr>
            <w:r>
              <w:rPr>
                <w:sz w:val="18"/>
              </w:rPr>
              <w:t>XU*8*246</w:t>
            </w:r>
          </w:p>
          <w:p w14:paraId="5BF13881" w14:textId="77777777" w:rsidR="00000000" w:rsidRDefault="00A568A1">
            <w:pPr>
              <w:pStyle w:val="TABLEROW"/>
              <w:rPr>
                <w:sz w:val="18"/>
                <w:szCs w:val="15"/>
              </w:rPr>
            </w:pPr>
          </w:p>
          <w:p w14:paraId="5011965D" w14:textId="77777777" w:rsidR="00000000" w:rsidRDefault="00A568A1">
            <w:pPr>
              <w:pStyle w:val="TABLEROW"/>
              <w:rPr>
                <w:b/>
                <w:bCs/>
                <w:i/>
                <w:iCs/>
                <w:sz w:val="18"/>
                <w:szCs w:val="15"/>
              </w:rPr>
            </w:pPr>
            <w:r>
              <w:rPr>
                <w:b/>
                <w:bCs/>
                <w:i/>
                <w:iCs/>
                <w:sz w:val="18"/>
                <w:szCs w:val="15"/>
              </w:rPr>
              <w:t>The following patches a</w:t>
            </w:r>
            <w:r>
              <w:rPr>
                <w:b/>
                <w:bCs/>
                <w:i/>
                <w:iCs/>
                <w:sz w:val="18"/>
                <w:szCs w:val="15"/>
              </w:rPr>
              <w:t>re being released in HOST file DG_53_P454.KID:</w:t>
            </w:r>
          </w:p>
          <w:p w14:paraId="4DC23E08" w14:textId="77777777" w:rsidR="00000000" w:rsidRDefault="00A568A1">
            <w:pPr>
              <w:pStyle w:val="TABLEROW"/>
              <w:rPr>
                <w:sz w:val="18"/>
                <w:szCs w:val="15"/>
              </w:rPr>
            </w:pPr>
          </w:p>
          <w:p w14:paraId="2FD2A75A" w14:textId="77777777" w:rsidR="00000000" w:rsidRDefault="00A568A1">
            <w:pPr>
              <w:pStyle w:val="TABLEROW"/>
              <w:rPr>
                <w:b/>
                <w:bCs/>
                <w:sz w:val="18"/>
                <w:szCs w:val="15"/>
              </w:rPr>
            </w:pPr>
            <w:r>
              <w:rPr>
                <w:b/>
                <w:bCs/>
                <w:sz w:val="18"/>
                <w:szCs w:val="15"/>
              </w:rPr>
              <w:t xml:space="preserve">Enrollment </w:t>
            </w:r>
            <w:r>
              <w:rPr>
                <w:b/>
                <w:bCs/>
                <w:color w:val="000000"/>
                <w:sz w:val="18"/>
                <w:szCs w:val="15"/>
              </w:rPr>
              <w:t>V</w:t>
            </w:r>
            <w:r>
              <w:rPr>
                <w:b/>
                <w:bCs/>
                <w:i/>
                <w:iCs/>
                <w:color w:val="000000"/>
                <w:sz w:val="18"/>
                <w:szCs w:val="20"/>
              </w:rPr>
              <w:t>IST</w:t>
            </w:r>
            <w:r>
              <w:rPr>
                <w:b/>
                <w:bCs/>
                <w:color w:val="000000"/>
                <w:sz w:val="18"/>
                <w:szCs w:val="15"/>
              </w:rPr>
              <w:t>A</w:t>
            </w:r>
            <w:r>
              <w:rPr>
                <w:b/>
                <w:bCs/>
                <w:sz w:val="18"/>
                <w:szCs w:val="15"/>
              </w:rPr>
              <w:t xml:space="preserve"> Part 1</w:t>
            </w:r>
          </w:p>
          <w:p w14:paraId="3F6AF77F" w14:textId="77777777" w:rsidR="00000000" w:rsidRDefault="00A568A1">
            <w:pPr>
              <w:pStyle w:val="TABLEROW"/>
              <w:rPr>
                <w:sz w:val="18"/>
                <w:szCs w:val="15"/>
              </w:rPr>
            </w:pPr>
            <w:r>
              <w:rPr>
                <w:sz w:val="18"/>
                <w:szCs w:val="15"/>
              </w:rPr>
              <w:t>DG *5.3*454</w:t>
            </w:r>
          </w:p>
          <w:p w14:paraId="05A587C6" w14:textId="77777777" w:rsidR="00000000" w:rsidRDefault="00A568A1">
            <w:pPr>
              <w:pStyle w:val="TABLEROW"/>
              <w:rPr>
                <w:sz w:val="18"/>
              </w:rPr>
            </w:pPr>
            <w:r>
              <w:rPr>
                <w:sz w:val="18"/>
              </w:rPr>
              <w:t>IVM*2*58</w:t>
            </w:r>
          </w:p>
          <w:p w14:paraId="3A567918" w14:textId="77777777" w:rsidR="00000000" w:rsidRDefault="00A568A1">
            <w:pPr>
              <w:pStyle w:val="TABLEROW"/>
              <w:rPr>
                <w:sz w:val="18"/>
                <w:szCs w:val="15"/>
              </w:rPr>
            </w:pPr>
          </w:p>
          <w:p w14:paraId="2270501B" w14:textId="77777777" w:rsidR="00000000" w:rsidRDefault="00A568A1">
            <w:pPr>
              <w:pStyle w:val="TABLEROW"/>
              <w:rPr>
                <w:b/>
                <w:bCs/>
                <w:sz w:val="18"/>
                <w:szCs w:val="15"/>
              </w:rPr>
            </w:pPr>
            <w:r>
              <w:rPr>
                <w:b/>
                <w:bCs/>
                <w:sz w:val="18"/>
                <w:szCs w:val="15"/>
              </w:rPr>
              <w:t xml:space="preserve">PIMS </w:t>
            </w:r>
          </w:p>
          <w:p w14:paraId="49BDF31A" w14:textId="77777777" w:rsidR="00000000" w:rsidRDefault="00A568A1">
            <w:pPr>
              <w:pStyle w:val="TABLEROW"/>
              <w:rPr>
                <w:sz w:val="18"/>
                <w:szCs w:val="15"/>
              </w:rPr>
            </w:pPr>
            <w:r>
              <w:rPr>
                <w:sz w:val="18"/>
                <w:szCs w:val="15"/>
              </w:rPr>
              <w:t>DG*5.3*466</w:t>
            </w:r>
          </w:p>
          <w:p w14:paraId="1723F760" w14:textId="77777777" w:rsidR="00000000" w:rsidRDefault="00A568A1">
            <w:pPr>
              <w:pStyle w:val="TABLEROW"/>
              <w:rPr>
                <w:sz w:val="18"/>
              </w:rPr>
            </w:pPr>
            <w:r>
              <w:rPr>
                <w:sz w:val="18"/>
                <w:szCs w:val="15"/>
              </w:rPr>
              <w:t xml:space="preserve">SD*5.3*258 </w:t>
            </w:r>
          </w:p>
        </w:tc>
        <w:tc>
          <w:tcPr>
            <w:tcW w:w="1406" w:type="dxa"/>
          </w:tcPr>
          <w:p w14:paraId="59D5E9ED" w14:textId="77777777" w:rsidR="00000000" w:rsidRDefault="00A568A1">
            <w:pPr>
              <w:pStyle w:val="TABLEROW"/>
              <w:rPr>
                <w:b/>
                <w:sz w:val="18"/>
              </w:rPr>
            </w:pPr>
            <w:r>
              <w:rPr>
                <w:b/>
                <w:sz w:val="18"/>
              </w:rPr>
              <w:t>11/25/02</w:t>
            </w:r>
          </w:p>
        </w:tc>
        <w:tc>
          <w:tcPr>
            <w:tcW w:w="1316" w:type="dxa"/>
          </w:tcPr>
          <w:p w14:paraId="7E7C10F2" w14:textId="77777777" w:rsidR="00000000" w:rsidRDefault="00A568A1">
            <w:pPr>
              <w:pStyle w:val="TABLEROW"/>
              <w:rPr>
                <w:b/>
                <w:sz w:val="18"/>
              </w:rPr>
            </w:pPr>
            <w:r>
              <w:rPr>
                <w:b/>
                <w:sz w:val="18"/>
              </w:rPr>
              <w:t>12/2/2002</w:t>
            </w:r>
          </w:p>
        </w:tc>
        <w:tc>
          <w:tcPr>
            <w:tcW w:w="1350" w:type="dxa"/>
            <w:gridSpan w:val="2"/>
          </w:tcPr>
          <w:p w14:paraId="78A30AAC" w14:textId="77777777" w:rsidR="00000000" w:rsidRDefault="00A568A1">
            <w:pPr>
              <w:pStyle w:val="TABLEROW"/>
              <w:rPr>
                <w:b/>
                <w:sz w:val="18"/>
              </w:rPr>
            </w:pPr>
            <w:r>
              <w:rPr>
                <w:b/>
                <w:sz w:val="18"/>
              </w:rPr>
              <w:t>12/4/2002</w:t>
            </w:r>
          </w:p>
          <w:p w14:paraId="21DD64F1" w14:textId="77777777" w:rsidR="00000000" w:rsidRDefault="00A568A1">
            <w:pPr>
              <w:pStyle w:val="TABLEROW"/>
              <w:rPr>
                <w:b/>
                <w:sz w:val="18"/>
              </w:rPr>
            </w:pPr>
          </w:p>
        </w:tc>
        <w:tc>
          <w:tcPr>
            <w:tcW w:w="2768" w:type="dxa"/>
          </w:tcPr>
          <w:p w14:paraId="45764027" w14:textId="77777777" w:rsidR="00000000" w:rsidRDefault="00A568A1" w:rsidP="00A568A1">
            <w:pPr>
              <w:pStyle w:val="TABLEROW"/>
              <w:numPr>
                <w:ilvl w:val="0"/>
                <w:numId w:val="21"/>
              </w:numPr>
              <w:ind w:left="230" w:hanging="230"/>
              <w:rPr>
                <w:bCs/>
                <w:sz w:val="18"/>
              </w:rPr>
            </w:pPr>
            <w:r>
              <w:rPr>
                <w:bCs/>
                <w:sz w:val="18"/>
              </w:rPr>
              <w:t xml:space="preserve">Release Kernel patch first; sites must install before PIMS &amp; Enrollment patches.  </w:t>
            </w:r>
          </w:p>
          <w:p w14:paraId="6487E066" w14:textId="77777777" w:rsidR="00000000" w:rsidRDefault="00A568A1" w:rsidP="00A568A1">
            <w:pPr>
              <w:pStyle w:val="TABLEROW"/>
              <w:numPr>
                <w:ilvl w:val="0"/>
                <w:numId w:val="21"/>
              </w:numPr>
              <w:ind w:left="230" w:hanging="230"/>
              <w:rPr>
                <w:bCs/>
                <w:sz w:val="18"/>
              </w:rPr>
            </w:pPr>
            <w:r>
              <w:rPr>
                <w:bCs/>
                <w:sz w:val="18"/>
              </w:rPr>
              <w:t>Release PIMS &amp; Enrol</w:t>
            </w:r>
            <w:r>
              <w:rPr>
                <w:bCs/>
                <w:sz w:val="18"/>
              </w:rPr>
              <w:t xml:space="preserve">lment patches in HOST file </w:t>
            </w:r>
            <w:r>
              <w:rPr>
                <w:rFonts w:eastAsia="SimSun"/>
                <w:sz w:val="18"/>
              </w:rPr>
              <w:t>DG_53_P454.KID</w:t>
            </w:r>
            <w:r>
              <w:rPr>
                <w:bCs/>
                <w:sz w:val="18"/>
              </w:rPr>
              <w:t xml:space="preserve">.  </w:t>
            </w:r>
          </w:p>
          <w:p w14:paraId="4BB886CA" w14:textId="77777777" w:rsidR="00000000" w:rsidRDefault="00A568A1" w:rsidP="00A568A1">
            <w:pPr>
              <w:pStyle w:val="TABLEROW"/>
              <w:numPr>
                <w:ilvl w:val="0"/>
                <w:numId w:val="21"/>
              </w:numPr>
              <w:ind w:left="230" w:hanging="230"/>
              <w:rPr>
                <w:bCs/>
                <w:sz w:val="18"/>
              </w:rPr>
            </w:pPr>
            <w:r>
              <w:rPr>
                <w:bCs/>
                <w:sz w:val="18"/>
              </w:rPr>
              <w:t xml:space="preserve">NVS sends patches to Hines Anonymous directory 11/29 and monitors replication to Albany &amp; SLC servers 11/30 – 12/1.  </w:t>
            </w:r>
          </w:p>
          <w:p w14:paraId="0117D624" w14:textId="77777777" w:rsidR="00000000" w:rsidRDefault="00A568A1" w:rsidP="00A568A1">
            <w:pPr>
              <w:pStyle w:val="TABLEROW"/>
              <w:numPr>
                <w:ilvl w:val="0"/>
                <w:numId w:val="21"/>
              </w:numPr>
              <w:ind w:left="230" w:hanging="230"/>
              <w:rPr>
                <w:bCs/>
                <w:sz w:val="18"/>
              </w:rPr>
            </w:pPr>
            <w:r>
              <w:rPr>
                <w:bCs/>
                <w:sz w:val="18"/>
              </w:rPr>
              <w:t xml:space="preserve">Project Implementation Team will contact sites not in compliance on 12/5/02.  </w:t>
            </w:r>
          </w:p>
        </w:tc>
      </w:tr>
      <w:tr w:rsidR="00000000" w14:paraId="385A81B8" w14:textId="77777777">
        <w:tblPrEx>
          <w:tblCellMar>
            <w:top w:w="0" w:type="dxa"/>
            <w:bottom w:w="0" w:type="dxa"/>
          </w:tblCellMar>
        </w:tblPrEx>
        <w:trPr>
          <w:cantSplit/>
        </w:trPr>
        <w:tc>
          <w:tcPr>
            <w:tcW w:w="617" w:type="dxa"/>
          </w:tcPr>
          <w:p w14:paraId="4149FC9E" w14:textId="77777777" w:rsidR="00000000" w:rsidRDefault="00A568A1">
            <w:pPr>
              <w:pStyle w:val="TABLEROW"/>
              <w:rPr>
                <w:sz w:val="18"/>
              </w:rPr>
            </w:pPr>
            <w:r>
              <w:rPr>
                <w:sz w:val="18"/>
              </w:rPr>
              <w:t>3</w:t>
            </w:r>
          </w:p>
        </w:tc>
        <w:tc>
          <w:tcPr>
            <w:tcW w:w="2461" w:type="dxa"/>
          </w:tcPr>
          <w:p w14:paraId="4E6D1958" w14:textId="77777777" w:rsidR="00000000" w:rsidRDefault="00A568A1">
            <w:pPr>
              <w:pStyle w:val="TABLEROW"/>
              <w:rPr>
                <w:b/>
                <w:bCs/>
                <w:sz w:val="18"/>
                <w:szCs w:val="15"/>
              </w:rPr>
            </w:pPr>
            <w:r>
              <w:rPr>
                <w:b/>
                <w:bCs/>
                <w:sz w:val="18"/>
                <w:szCs w:val="15"/>
              </w:rPr>
              <w:t>HEC Legacy</w:t>
            </w:r>
          </w:p>
          <w:p w14:paraId="4A722254" w14:textId="77777777" w:rsidR="00000000" w:rsidRDefault="00A568A1">
            <w:pPr>
              <w:pStyle w:val="TABLEROW"/>
              <w:rPr>
                <w:sz w:val="18"/>
              </w:rPr>
            </w:pPr>
            <w:r>
              <w:rPr>
                <w:sz w:val="18"/>
                <w:szCs w:val="15"/>
              </w:rPr>
              <w:t>IVMB*2*686</w:t>
            </w:r>
          </w:p>
        </w:tc>
        <w:tc>
          <w:tcPr>
            <w:tcW w:w="1406" w:type="dxa"/>
          </w:tcPr>
          <w:p w14:paraId="179BD6CC" w14:textId="77777777" w:rsidR="00000000" w:rsidRDefault="00A568A1">
            <w:pPr>
              <w:pStyle w:val="TABLEROW"/>
              <w:rPr>
                <w:b/>
                <w:sz w:val="18"/>
              </w:rPr>
            </w:pPr>
            <w:r>
              <w:rPr>
                <w:b/>
                <w:sz w:val="18"/>
              </w:rPr>
              <w:t xml:space="preserve">N/A </w:t>
            </w:r>
          </w:p>
        </w:tc>
        <w:tc>
          <w:tcPr>
            <w:tcW w:w="1316" w:type="dxa"/>
          </w:tcPr>
          <w:p w14:paraId="508C0143" w14:textId="77777777" w:rsidR="00000000" w:rsidRDefault="00A568A1">
            <w:pPr>
              <w:pStyle w:val="TABLEROW"/>
              <w:rPr>
                <w:b/>
                <w:sz w:val="18"/>
              </w:rPr>
            </w:pPr>
            <w:r>
              <w:rPr>
                <w:b/>
                <w:sz w:val="18"/>
              </w:rPr>
              <w:t xml:space="preserve">Release to HEC Production </w:t>
            </w:r>
          </w:p>
          <w:p w14:paraId="2619472D" w14:textId="77777777" w:rsidR="00000000" w:rsidRDefault="00A568A1">
            <w:pPr>
              <w:pStyle w:val="TABLEROW"/>
              <w:rPr>
                <w:b/>
                <w:sz w:val="18"/>
              </w:rPr>
            </w:pPr>
            <w:r>
              <w:rPr>
                <w:b/>
                <w:sz w:val="18"/>
              </w:rPr>
              <w:t>12/9/02</w:t>
            </w:r>
          </w:p>
        </w:tc>
        <w:tc>
          <w:tcPr>
            <w:tcW w:w="1350" w:type="dxa"/>
            <w:gridSpan w:val="2"/>
          </w:tcPr>
          <w:p w14:paraId="32CC490A" w14:textId="77777777" w:rsidR="00000000" w:rsidRDefault="00A568A1">
            <w:pPr>
              <w:pStyle w:val="TABLEROW"/>
              <w:rPr>
                <w:b/>
                <w:sz w:val="18"/>
              </w:rPr>
            </w:pPr>
            <w:r>
              <w:rPr>
                <w:b/>
                <w:sz w:val="18"/>
              </w:rPr>
              <w:t>12/11/02</w:t>
            </w:r>
          </w:p>
        </w:tc>
        <w:tc>
          <w:tcPr>
            <w:tcW w:w="2768" w:type="dxa"/>
          </w:tcPr>
          <w:p w14:paraId="621AC73E" w14:textId="77777777" w:rsidR="00000000" w:rsidRDefault="00A568A1">
            <w:pPr>
              <w:pStyle w:val="TABLEROW"/>
              <w:rPr>
                <w:b/>
                <w:sz w:val="18"/>
              </w:rPr>
            </w:pPr>
            <w:r>
              <w:rPr>
                <w:bCs/>
                <w:sz w:val="18"/>
              </w:rPr>
              <w:t>Monitor in HEC production 12/9-10-11</w:t>
            </w:r>
          </w:p>
        </w:tc>
      </w:tr>
      <w:tr w:rsidR="00000000" w14:paraId="48355A16" w14:textId="77777777">
        <w:tblPrEx>
          <w:tblCellMar>
            <w:top w:w="0" w:type="dxa"/>
            <w:bottom w:w="0" w:type="dxa"/>
          </w:tblCellMar>
        </w:tblPrEx>
        <w:trPr>
          <w:cantSplit/>
        </w:trPr>
        <w:tc>
          <w:tcPr>
            <w:tcW w:w="617" w:type="dxa"/>
          </w:tcPr>
          <w:p w14:paraId="032F54C7" w14:textId="77777777" w:rsidR="00000000" w:rsidRDefault="00A568A1">
            <w:pPr>
              <w:pStyle w:val="TABLEROW"/>
              <w:rPr>
                <w:sz w:val="18"/>
              </w:rPr>
            </w:pPr>
            <w:r>
              <w:rPr>
                <w:sz w:val="18"/>
              </w:rPr>
              <w:t>4</w:t>
            </w:r>
          </w:p>
        </w:tc>
        <w:tc>
          <w:tcPr>
            <w:tcW w:w="2461" w:type="dxa"/>
          </w:tcPr>
          <w:p w14:paraId="49D3FD1B" w14:textId="77777777" w:rsidR="00000000" w:rsidRDefault="00A568A1">
            <w:pPr>
              <w:pStyle w:val="TABLEROW"/>
              <w:rPr>
                <w:b/>
                <w:bCs/>
                <w:i/>
                <w:iCs/>
                <w:sz w:val="18"/>
                <w:szCs w:val="15"/>
              </w:rPr>
            </w:pPr>
            <w:r>
              <w:rPr>
                <w:b/>
                <w:bCs/>
                <w:i/>
                <w:iCs/>
                <w:sz w:val="18"/>
                <w:szCs w:val="15"/>
              </w:rPr>
              <w:t>The following files are being released in HOST file EAS_1_P13.KID:</w:t>
            </w:r>
          </w:p>
          <w:p w14:paraId="64A1D218" w14:textId="77777777" w:rsidR="00000000" w:rsidRDefault="00A568A1">
            <w:pPr>
              <w:pStyle w:val="TABLEROW"/>
              <w:rPr>
                <w:sz w:val="18"/>
                <w:szCs w:val="15"/>
              </w:rPr>
            </w:pPr>
          </w:p>
          <w:p w14:paraId="2F05D908" w14:textId="77777777" w:rsidR="00000000" w:rsidRDefault="00A568A1">
            <w:pPr>
              <w:pStyle w:val="TABLEROW"/>
              <w:rPr>
                <w:b/>
                <w:bCs/>
                <w:sz w:val="18"/>
                <w:szCs w:val="15"/>
              </w:rPr>
            </w:pPr>
            <w:r>
              <w:rPr>
                <w:b/>
                <w:bCs/>
                <w:sz w:val="18"/>
                <w:szCs w:val="15"/>
              </w:rPr>
              <w:t xml:space="preserve">Enrollment </w:t>
            </w:r>
            <w:r>
              <w:rPr>
                <w:b/>
                <w:bCs/>
                <w:color w:val="000000"/>
                <w:sz w:val="18"/>
                <w:szCs w:val="15"/>
              </w:rPr>
              <w:t>V</w:t>
            </w:r>
            <w:r>
              <w:rPr>
                <w:b/>
                <w:bCs/>
                <w:i/>
                <w:iCs/>
                <w:color w:val="000000"/>
                <w:sz w:val="18"/>
                <w:szCs w:val="20"/>
              </w:rPr>
              <w:t>IST</w:t>
            </w:r>
            <w:r>
              <w:rPr>
                <w:b/>
                <w:bCs/>
                <w:color w:val="000000"/>
                <w:sz w:val="18"/>
                <w:szCs w:val="15"/>
              </w:rPr>
              <w:t>A</w:t>
            </w:r>
            <w:r>
              <w:rPr>
                <w:b/>
                <w:bCs/>
                <w:sz w:val="18"/>
                <w:szCs w:val="15"/>
              </w:rPr>
              <w:t xml:space="preserve"> Part 2</w:t>
            </w:r>
          </w:p>
          <w:p w14:paraId="0E63DA7B" w14:textId="77777777" w:rsidR="00000000" w:rsidRDefault="00A568A1">
            <w:pPr>
              <w:pStyle w:val="TABLEROW"/>
              <w:rPr>
                <w:sz w:val="18"/>
                <w:szCs w:val="15"/>
              </w:rPr>
            </w:pPr>
            <w:r>
              <w:rPr>
                <w:sz w:val="18"/>
                <w:szCs w:val="15"/>
              </w:rPr>
              <w:t>EAS*1*13</w:t>
            </w:r>
          </w:p>
          <w:p w14:paraId="27C15A9B" w14:textId="77777777" w:rsidR="00000000" w:rsidRDefault="00A568A1">
            <w:pPr>
              <w:pStyle w:val="TABLEROW"/>
              <w:rPr>
                <w:sz w:val="18"/>
                <w:szCs w:val="15"/>
              </w:rPr>
            </w:pPr>
            <w:r>
              <w:rPr>
                <w:sz w:val="18"/>
                <w:szCs w:val="15"/>
              </w:rPr>
              <w:t>DG*5.3*456</w:t>
            </w:r>
          </w:p>
          <w:p w14:paraId="3FBDAF72" w14:textId="77777777" w:rsidR="00000000" w:rsidRDefault="00A568A1">
            <w:pPr>
              <w:pStyle w:val="TABLEROW"/>
              <w:rPr>
                <w:sz w:val="18"/>
                <w:szCs w:val="15"/>
              </w:rPr>
            </w:pPr>
            <w:r>
              <w:rPr>
                <w:sz w:val="18"/>
                <w:szCs w:val="15"/>
              </w:rPr>
              <w:t>IVM*2*62</w:t>
            </w:r>
          </w:p>
          <w:p w14:paraId="6B0078A9" w14:textId="77777777" w:rsidR="00000000" w:rsidRDefault="00A568A1">
            <w:pPr>
              <w:pStyle w:val="TABLEROW"/>
              <w:rPr>
                <w:sz w:val="18"/>
                <w:szCs w:val="15"/>
              </w:rPr>
            </w:pPr>
          </w:p>
          <w:p w14:paraId="0C21D9D8" w14:textId="77777777" w:rsidR="00000000" w:rsidRDefault="00A568A1">
            <w:pPr>
              <w:pStyle w:val="TABLEROW"/>
              <w:rPr>
                <w:b/>
                <w:bCs/>
                <w:sz w:val="18"/>
                <w:szCs w:val="15"/>
              </w:rPr>
            </w:pPr>
            <w:r>
              <w:rPr>
                <w:b/>
                <w:bCs/>
                <w:sz w:val="18"/>
                <w:szCs w:val="15"/>
              </w:rPr>
              <w:t>IB Part 2</w:t>
            </w:r>
          </w:p>
          <w:p w14:paraId="09AEDD0F" w14:textId="77777777" w:rsidR="00000000" w:rsidRDefault="00A568A1">
            <w:pPr>
              <w:pStyle w:val="TABLEROW"/>
              <w:rPr>
                <w:sz w:val="18"/>
                <w:szCs w:val="15"/>
              </w:rPr>
            </w:pPr>
            <w:r>
              <w:rPr>
                <w:sz w:val="18"/>
                <w:szCs w:val="15"/>
              </w:rPr>
              <w:t>IB*2.0*183</w:t>
            </w:r>
          </w:p>
          <w:p w14:paraId="146334A9" w14:textId="77777777" w:rsidR="00000000" w:rsidRDefault="00A568A1">
            <w:pPr>
              <w:pStyle w:val="TABLEROW"/>
              <w:rPr>
                <w:sz w:val="18"/>
              </w:rPr>
            </w:pPr>
            <w:r>
              <w:rPr>
                <w:sz w:val="18"/>
                <w:szCs w:val="15"/>
              </w:rPr>
              <w:t xml:space="preserve">PRCA*4.5*181 </w:t>
            </w:r>
          </w:p>
        </w:tc>
        <w:tc>
          <w:tcPr>
            <w:tcW w:w="1406" w:type="dxa"/>
          </w:tcPr>
          <w:p w14:paraId="3CE7F151" w14:textId="77777777" w:rsidR="00000000" w:rsidRDefault="00A568A1">
            <w:pPr>
              <w:pStyle w:val="TABLEROW"/>
              <w:rPr>
                <w:b/>
                <w:sz w:val="18"/>
              </w:rPr>
            </w:pPr>
            <w:r>
              <w:rPr>
                <w:b/>
                <w:sz w:val="18"/>
              </w:rPr>
              <w:t>12/5/02</w:t>
            </w:r>
          </w:p>
        </w:tc>
        <w:tc>
          <w:tcPr>
            <w:tcW w:w="1316" w:type="dxa"/>
          </w:tcPr>
          <w:p w14:paraId="29217390" w14:textId="77777777" w:rsidR="00000000" w:rsidRDefault="00A568A1">
            <w:pPr>
              <w:pStyle w:val="TABLEROW"/>
              <w:rPr>
                <w:b/>
                <w:sz w:val="18"/>
              </w:rPr>
            </w:pPr>
            <w:r>
              <w:rPr>
                <w:b/>
                <w:sz w:val="18"/>
              </w:rPr>
              <w:t>12/16/02</w:t>
            </w:r>
          </w:p>
        </w:tc>
        <w:tc>
          <w:tcPr>
            <w:tcW w:w="1350" w:type="dxa"/>
            <w:gridSpan w:val="2"/>
          </w:tcPr>
          <w:p w14:paraId="035B2B91" w14:textId="77777777" w:rsidR="00000000" w:rsidRDefault="00A568A1">
            <w:pPr>
              <w:pStyle w:val="TABLEROW"/>
              <w:rPr>
                <w:b/>
                <w:sz w:val="18"/>
              </w:rPr>
            </w:pPr>
            <w:r>
              <w:rPr>
                <w:b/>
                <w:sz w:val="18"/>
              </w:rPr>
              <w:t>12/19/02</w:t>
            </w:r>
          </w:p>
          <w:p w14:paraId="5BA2FB64" w14:textId="77777777" w:rsidR="00000000" w:rsidRDefault="00A568A1">
            <w:pPr>
              <w:pStyle w:val="TABLEROW"/>
              <w:rPr>
                <w:b/>
                <w:sz w:val="18"/>
              </w:rPr>
            </w:pPr>
          </w:p>
        </w:tc>
        <w:tc>
          <w:tcPr>
            <w:tcW w:w="2768" w:type="dxa"/>
          </w:tcPr>
          <w:p w14:paraId="1693217E" w14:textId="77777777" w:rsidR="00000000" w:rsidRDefault="00A568A1" w:rsidP="00A568A1">
            <w:pPr>
              <w:pStyle w:val="TABLEROW"/>
              <w:numPr>
                <w:ilvl w:val="0"/>
                <w:numId w:val="22"/>
              </w:numPr>
              <w:tabs>
                <w:tab w:val="num" w:pos="1080"/>
              </w:tabs>
              <w:ind w:left="230" w:hanging="230"/>
              <w:rPr>
                <w:bCs/>
                <w:sz w:val="18"/>
              </w:rPr>
            </w:pPr>
            <w:r>
              <w:rPr>
                <w:bCs/>
                <w:sz w:val="18"/>
              </w:rPr>
              <w:t xml:space="preserve">Release PIMS &amp; Enrollment patches in HOST file </w:t>
            </w:r>
            <w:r>
              <w:rPr>
                <w:rFonts w:eastAsia="SimSun"/>
                <w:sz w:val="18"/>
              </w:rPr>
              <w:t>EAS_1_P13.KID</w:t>
            </w:r>
            <w:r>
              <w:rPr>
                <w:bCs/>
                <w:sz w:val="18"/>
              </w:rPr>
              <w:t xml:space="preserve">.  </w:t>
            </w:r>
          </w:p>
          <w:p w14:paraId="2578A369" w14:textId="77777777" w:rsidR="00000000" w:rsidRDefault="00A568A1" w:rsidP="00A568A1">
            <w:pPr>
              <w:pStyle w:val="TABLEROW"/>
              <w:numPr>
                <w:ilvl w:val="0"/>
                <w:numId w:val="22"/>
              </w:numPr>
              <w:tabs>
                <w:tab w:val="num" w:pos="1080"/>
              </w:tabs>
              <w:ind w:left="230" w:hanging="230"/>
              <w:rPr>
                <w:b/>
                <w:sz w:val="18"/>
              </w:rPr>
            </w:pPr>
            <w:r>
              <w:rPr>
                <w:bCs/>
                <w:sz w:val="18"/>
              </w:rPr>
              <w:t xml:space="preserve">NVS sends patches to Hines Anonymous directory 12/13 and monitors replication to Albany &amp; SLC servers 12/13 – 12/14.  </w:t>
            </w:r>
          </w:p>
          <w:p w14:paraId="2021B54F" w14:textId="77777777" w:rsidR="00000000" w:rsidRDefault="00A568A1" w:rsidP="00A568A1">
            <w:pPr>
              <w:pStyle w:val="TABLEROW"/>
              <w:numPr>
                <w:ilvl w:val="0"/>
                <w:numId w:val="22"/>
              </w:numPr>
              <w:tabs>
                <w:tab w:val="num" w:pos="1080"/>
              </w:tabs>
              <w:ind w:left="230" w:hanging="230"/>
              <w:rPr>
                <w:b/>
                <w:sz w:val="18"/>
              </w:rPr>
            </w:pPr>
            <w:r>
              <w:rPr>
                <w:bCs/>
                <w:sz w:val="18"/>
              </w:rPr>
              <w:t>Project Implementation Team will contact site</w:t>
            </w:r>
            <w:r>
              <w:rPr>
                <w:bCs/>
                <w:sz w:val="18"/>
              </w:rPr>
              <w:t xml:space="preserve">s not in compliance on 12/20/02.  </w:t>
            </w:r>
          </w:p>
        </w:tc>
      </w:tr>
      <w:tr w:rsidR="00000000" w14:paraId="045C33D5" w14:textId="77777777">
        <w:tblPrEx>
          <w:tblCellMar>
            <w:top w:w="0" w:type="dxa"/>
            <w:bottom w:w="0" w:type="dxa"/>
          </w:tblCellMar>
        </w:tblPrEx>
        <w:trPr>
          <w:cantSplit/>
        </w:trPr>
        <w:tc>
          <w:tcPr>
            <w:tcW w:w="617" w:type="dxa"/>
          </w:tcPr>
          <w:p w14:paraId="41CDD549" w14:textId="77777777" w:rsidR="00000000" w:rsidRDefault="00A568A1">
            <w:pPr>
              <w:pStyle w:val="TABLEROW"/>
              <w:rPr>
                <w:sz w:val="18"/>
              </w:rPr>
            </w:pPr>
            <w:r>
              <w:rPr>
                <w:sz w:val="18"/>
              </w:rPr>
              <w:t>5</w:t>
            </w:r>
          </w:p>
        </w:tc>
        <w:tc>
          <w:tcPr>
            <w:tcW w:w="9301" w:type="dxa"/>
            <w:gridSpan w:val="6"/>
          </w:tcPr>
          <w:p w14:paraId="107C1C73" w14:textId="77777777" w:rsidR="00000000" w:rsidRDefault="00A568A1">
            <w:pPr>
              <w:pStyle w:val="TABLEROW"/>
              <w:jc w:val="center"/>
              <w:rPr>
                <w:b/>
                <w:bCs/>
                <w:i/>
                <w:iCs/>
                <w:sz w:val="18"/>
                <w:szCs w:val="15"/>
              </w:rPr>
            </w:pPr>
            <w:r>
              <w:rPr>
                <w:b/>
                <w:bCs/>
                <w:i/>
                <w:iCs/>
                <w:sz w:val="18"/>
              </w:rPr>
              <w:t xml:space="preserve">All patches listed in Steps 1 – 4 above must be </w:t>
            </w:r>
            <w:r>
              <w:rPr>
                <w:b/>
                <w:bCs/>
                <w:i/>
                <w:iCs/>
                <w:sz w:val="18"/>
                <w:szCs w:val="15"/>
              </w:rPr>
              <w:t>operational at sites</w:t>
            </w:r>
            <w:r>
              <w:rPr>
                <w:b/>
                <w:bCs/>
                <w:i/>
                <w:iCs/>
                <w:sz w:val="18"/>
              </w:rPr>
              <w:t xml:space="preserve"> on 1/03/03</w:t>
            </w:r>
          </w:p>
        </w:tc>
      </w:tr>
      <w:tr w:rsidR="00000000" w14:paraId="066F375A" w14:textId="77777777">
        <w:tblPrEx>
          <w:tblCellMar>
            <w:top w:w="0" w:type="dxa"/>
            <w:bottom w:w="0" w:type="dxa"/>
          </w:tblCellMar>
        </w:tblPrEx>
        <w:trPr>
          <w:cantSplit/>
        </w:trPr>
        <w:tc>
          <w:tcPr>
            <w:tcW w:w="617" w:type="dxa"/>
          </w:tcPr>
          <w:p w14:paraId="603D33DD" w14:textId="77777777" w:rsidR="00000000" w:rsidRDefault="00A568A1">
            <w:pPr>
              <w:pStyle w:val="TABLEROW"/>
              <w:rPr>
                <w:b/>
                <w:bCs/>
                <w:sz w:val="18"/>
              </w:rPr>
            </w:pPr>
            <w:r>
              <w:rPr>
                <w:b/>
                <w:bCs/>
                <w:sz w:val="18"/>
              </w:rPr>
              <w:t>6</w:t>
            </w:r>
          </w:p>
        </w:tc>
        <w:tc>
          <w:tcPr>
            <w:tcW w:w="2461" w:type="dxa"/>
          </w:tcPr>
          <w:p w14:paraId="26FB9C0C" w14:textId="77777777" w:rsidR="00000000" w:rsidRDefault="00A568A1">
            <w:pPr>
              <w:pStyle w:val="TABLEROW"/>
              <w:rPr>
                <w:sz w:val="18"/>
              </w:rPr>
            </w:pPr>
            <w:r>
              <w:rPr>
                <w:sz w:val="18"/>
              </w:rPr>
              <w:t>IVM*2*67</w:t>
            </w:r>
          </w:p>
          <w:p w14:paraId="1D9E4E61" w14:textId="77777777" w:rsidR="00000000" w:rsidRDefault="00A568A1">
            <w:pPr>
              <w:pStyle w:val="TABLEROW"/>
              <w:rPr>
                <w:sz w:val="18"/>
              </w:rPr>
            </w:pPr>
            <w:r>
              <w:rPr>
                <w:sz w:val="18"/>
              </w:rPr>
              <w:t>DG*5.3*481</w:t>
            </w:r>
          </w:p>
          <w:p w14:paraId="5D31A6CB" w14:textId="77777777" w:rsidR="00000000" w:rsidRDefault="00A568A1">
            <w:pPr>
              <w:pStyle w:val="TABLEROW"/>
              <w:rPr>
                <w:b/>
                <w:bCs/>
                <w:sz w:val="18"/>
              </w:rPr>
            </w:pPr>
            <w:r>
              <w:rPr>
                <w:sz w:val="18"/>
              </w:rPr>
              <w:t>IB*2.0*202</w:t>
            </w:r>
          </w:p>
        </w:tc>
        <w:tc>
          <w:tcPr>
            <w:tcW w:w="1406" w:type="dxa"/>
          </w:tcPr>
          <w:p w14:paraId="54D8A57E" w14:textId="77777777" w:rsidR="00000000" w:rsidRDefault="00A568A1">
            <w:pPr>
              <w:pStyle w:val="TABLEROW"/>
              <w:rPr>
                <w:sz w:val="18"/>
              </w:rPr>
            </w:pPr>
            <w:r>
              <w:rPr>
                <w:sz w:val="18"/>
              </w:rPr>
              <w:t>Approximately 2 weeks after conversion completion (date TBD)</w:t>
            </w:r>
          </w:p>
        </w:tc>
        <w:tc>
          <w:tcPr>
            <w:tcW w:w="1642" w:type="dxa"/>
            <w:gridSpan w:val="2"/>
          </w:tcPr>
          <w:p w14:paraId="1651B442" w14:textId="77777777" w:rsidR="00000000" w:rsidRDefault="00A568A1">
            <w:pPr>
              <w:pStyle w:val="TABLEROW"/>
              <w:rPr>
                <w:sz w:val="18"/>
              </w:rPr>
            </w:pPr>
            <w:r>
              <w:rPr>
                <w:sz w:val="18"/>
              </w:rPr>
              <w:t>TBD</w:t>
            </w:r>
          </w:p>
        </w:tc>
        <w:tc>
          <w:tcPr>
            <w:tcW w:w="1024" w:type="dxa"/>
          </w:tcPr>
          <w:p w14:paraId="577D0784" w14:textId="77777777" w:rsidR="00000000" w:rsidRDefault="00A568A1">
            <w:pPr>
              <w:pStyle w:val="TABLEROW"/>
              <w:rPr>
                <w:sz w:val="18"/>
              </w:rPr>
            </w:pPr>
            <w:r>
              <w:rPr>
                <w:sz w:val="18"/>
              </w:rPr>
              <w:t>TBD</w:t>
            </w:r>
          </w:p>
        </w:tc>
        <w:tc>
          <w:tcPr>
            <w:tcW w:w="2768" w:type="dxa"/>
          </w:tcPr>
          <w:p w14:paraId="72962DFD" w14:textId="77777777" w:rsidR="00000000" w:rsidRDefault="00A568A1">
            <w:pPr>
              <w:pStyle w:val="TABLEROW"/>
              <w:rPr>
                <w:sz w:val="18"/>
              </w:rPr>
            </w:pPr>
            <w:r>
              <w:rPr>
                <w:sz w:val="18"/>
              </w:rPr>
              <w:t xml:space="preserve">Clean up patches to remove code no </w:t>
            </w:r>
            <w:r>
              <w:rPr>
                <w:sz w:val="18"/>
              </w:rPr>
              <w:t xml:space="preserve">longer used after GMT conversion completes.  Patches will be released in a HOST file.  </w:t>
            </w:r>
          </w:p>
        </w:tc>
      </w:tr>
    </w:tbl>
    <w:p w14:paraId="73AB35A8" w14:textId="77777777" w:rsidR="00000000" w:rsidRDefault="00A568A1">
      <w:pPr>
        <w:pStyle w:val="HEADING40"/>
        <w:rPr>
          <w:rFonts w:ascii="Times New Roman" w:hAnsi="Times New Roman"/>
        </w:rPr>
      </w:pPr>
    </w:p>
    <w:p w14:paraId="0A36768E" w14:textId="77777777" w:rsidR="00000000" w:rsidRDefault="00A568A1">
      <w:pPr>
        <w:pStyle w:val="Heading2"/>
      </w:pPr>
      <w:r>
        <w:br w:type="page"/>
      </w:r>
      <w:bookmarkStart w:id="15" w:name="_Toc22544653"/>
      <w:r>
        <w:lastRenderedPageBreak/>
        <w:t>Address Indexing (AI)</w:t>
      </w:r>
      <w:bookmarkEnd w:id="15"/>
    </w:p>
    <w:p w14:paraId="666ED743" w14:textId="77777777" w:rsidR="00000000" w:rsidRDefault="00A568A1">
      <w:pPr>
        <w:pStyle w:val="HEADING40"/>
        <w:rPr>
          <w:rFonts w:ascii="Times New Roman" w:hAnsi="Times New Roman"/>
        </w:rPr>
      </w:pPr>
    </w:p>
    <w:p w14:paraId="45450F97" w14:textId="77777777" w:rsidR="00000000" w:rsidRDefault="00A568A1">
      <w:pPr>
        <w:pStyle w:val="HEADING40"/>
        <w:rPr>
          <w:rFonts w:ascii="Times New Roman" w:hAnsi="Times New Roman"/>
        </w:rPr>
      </w:pPr>
      <w:r>
        <w:rPr>
          <w:rFonts w:ascii="Times New Roman" w:hAnsi="Times New Roman"/>
        </w:rPr>
        <w:t>Address Indexing is a sub-project of GMT that provides:</w:t>
      </w:r>
    </w:p>
    <w:p w14:paraId="0573DD10" w14:textId="77777777" w:rsidR="00000000" w:rsidRDefault="00A568A1" w:rsidP="00A568A1">
      <w:pPr>
        <w:pStyle w:val="HEADING40"/>
        <w:numPr>
          <w:ilvl w:val="0"/>
          <w:numId w:val="3"/>
        </w:numPr>
        <w:rPr>
          <w:rFonts w:ascii="Times New Roman" w:hAnsi="Times New Roman"/>
        </w:rPr>
      </w:pPr>
      <w:r>
        <w:rPr>
          <w:rFonts w:ascii="Times New Roman" w:hAnsi="Times New Roman"/>
        </w:rPr>
        <w:t>Address changes to support GMT</w:t>
      </w:r>
    </w:p>
    <w:p w14:paraId="48F4740C" w14:textId="77777777" w:rsidR="00000000" w:rsidRDefault="00A568A1" w:rsidP="00A568A1">
      <w:pPr>
        <w:pStyle w:val="HEADING40"/>
        <w:numPr>
          <w:ilvl w:val="1"/>
          <w:numId w:val="10"/>
        </w:numPr>
        <w:rPr>
          <w:rFonts w:ascii="Times New Roman" w:hAnsi="Times New Roman"/>
        </w:rPr>
      </w:pPr>
      <w:r>
        <w:rPr>
          <w:rFonts w:ascii="Times New Roman" w:hAnsi="Times New Roman"/>
        </w:rPr>
        <w:t>Creates two new files to standardize the FIPS County Co</w:t>
      </w:r>
      <w:r>
        <w:rPr>
          <w:rFonts w:ascii="Times New Roman" w:hAnsi="Times New Roman"/>
        </w:rPr>
        <w:t xml:space="preserve">de </w:t>
      </w:r>
    </w:p>
    <w:p w14:paraId="6514C3E7" w14:textId="77777777" w:rsidR="00000000" w:rsidRDefault="00A568A1" w:rsidP="00A568A1">
      <w:pPr>
        <w:pStyle w:val="HEADING40"/>
        <w:numPr>
          <w:ilvl w:val="2"/>
          <w:numId w:val="11"/>
        </w:numPr>
        <w:tabs>
          <w:tab w:val="clear" w:pos="1800"/>
          <w:tab w:val="num" w:pos="1080"/>
        </w:tabs>
        <w:ind w:left="1080"/>
        <w:rPr>
          <w:rFonts w:ascii="Times New Roman" w:hAnsi="Times New Roman"/>
        </w:rPr>
      </w:pPr>
      <w:r>
        <w:rPr>
          <w:rFonts w:ascii="Times New Roman" w:hAnsi="Times New Roman"/>
        </w:rPr>
        <w:t>Postal Code File (#5.12) (stores all known Postal Codes as well as other associated information related to the Postal Code)</w:t>
      </w:r>
    </w:p>
    <w:p w14:paraId="68AC630F" w14:textId="77777777" w:rsidR="00000000" w:rsidRDefault="00A568A1" w:rsidP="00A568A1">
      <w:pPr>
        <w:pStyle w:val="HEADING40"/>
        <w:numPr>
          <w:ilvl w:val="2"/>
          <w:numId w:val="11"/>
        </w:numPr>
        <w:tabs>
          <w:tab w:val="clear" w:pos="1800"/>
          <w:tab w:val="num" w:pos="1080"/>
        </w:tabs>
        <w:ind w:left="1080"/>
        <w:rPr>
          <w:rFonts w:ascii="Times New Roman" w:hAnsi="Times New Roman"/>
        </w:rPr>
      </w:pPr>
      <w:r>
        <w:rPr>
          <w:rFonts w:ascii="Times New Roman" w:hAnsi="Times New Roman"/>
        </w:rPr>
        <w:t>County Code File (#5.13) (contains all known US County FIPS codes according to the USGS, HUD, and USPS)</w:t>
      </w:r>
    </w:p>
    <w:p w14:paraId="3861371A" w14:textId="77777777" w:rsidR="00000000" w:rsidRDefault="00A568A1" w:rsidP="00A568A1">
      <w:pPr>
        <w:pStyle w:val="HEADING40"/>
        <w:numPr>
          <w:ilvl w:val="1"/>
          <w:numId w:val="10"/>
        </w:numPr>
        <w:rPr>
          <w:rFonts w:ascii="Times New Roman" w:hAnsi="Times New Roman"/>
        </w:rPr>
      </w:pPr>
      <w:r>
        <w:rPr>
          <w:rFonts w:ascii="Times New Roman" w:hAnsi="Times New Roman"/>
        </w:rPr>
        <w:t>Provides an automated pr</w:t>
      </w:r>
      <w:r>
        <w:rPr>
          <w:rFonts w:ascii="Times New Roman" w:hAnsi="Times New Roman"/>
        </w:rPr>
        <w:t>ocess that matches the veteran’s address (FIPS county code) against the GMT thresholds</w:t>
      </w:r>
    </w:p>
    <w:p w14:paraId="048BB591" w14:textId="77777777" w:rsidR="00000000" w:rsidRDefault="00A568A1" w:rsidP="00A568A1">
      <w:pPr>
        <w:pStyle w:val="HEADING40"/>
        <w:numPr>
          <w:ilvl w:val="1"/>
          <w:numId w:val="10"/>
        </w:numPr>
        <w:rPr>
          <w:rFonts w:ascii="Times New Roman" w:hAnsi="Times New Roman"/>
        </w:rPr>
      </w:pPr>
      <w:r>
        <w:rPr>
          <w:rFonts w:ascii="Times New Roman" w:hAnsi="Times New Roman"/>
        </w:rPr>
        <w:t xml:space="preserve">Modifies the HL7 Z05 receiver process to accept the </w:t>
      </w:r>
      <w:bookmarkStart w:id="16" w:name="OLE_LINK1"/>
      <w:r>
        <w:rPr>
          <w:rFonts w:ascii="Times New Roman" w:hAnsi="Times New Roman"/>
        </w:rPr>
        <w:t>FIPS county code</w:t>
      </w:r>
      <w:bookmarkEnd w:id="16"/>
    </w:p>
    <w:p w14:paraId="7EC13C56" w14:textId="77777777" w:rsidR="00000000" w:rsidRDefault="00A568A1" w:rsidP="00A568A1">
      <w:pPr>
        <w:pStyle w:val="HEADING40"/>
        <w:numPr>
          <w:ilvl w:val="1"/>
          <w:numId w:val="10"/>
        </w:numPr>
        <w:rPr>
          <w:rFonts w:ascii="Times New Roman" w:hAnsi="Times New Roman"/>
        </w:rPr>
      </w:pPr>
      <w:r>
        <w:rPr>
          <w:rFonts w:ascii="Times New Roman" w:hAnsi="Times New Roman"/>
        </w:rPr>
        <w:t>Modifies the HL7 Z07 builder to send the FIPS county code</w:t>
      </w:r>
    </w:p>
    <w:p w14:paraId="5634A614" w14:textId="77777777" w:rsidR="00000000" w:rsidRDefault="00A568A1" w:rsidP="00A568A1">
      <w:pPr>
        <w:pStyle w:val="HEADING40"/>
        <w:numPr>
          <w:ilvl w:val="0"/>
          <w:numId w:val="3"/>
        </w:numPr>
        <w:rPr>
          <w:rFonts w:ascii="Times New Roman" w:hAnsi="Times New Roman"/>
        </w:rPr>
      </w:pPr>
      <w:r>
        <w:rPr>
          <w:rFonts w:ascii="Times New Roman" w:hAnsi="Times New Roman"/>
        </w:rPr>
        <w:t>Enhanced address functionality</w:t>
      </w:r>
    </w:p>
    <w:p w14:paraId="3CD42A67" w14:textId="77777777" w:rsidR="00000000" w:rsidRDefault="00A568A1" w:rsidP="00A568A1">
      <w:pPr>
        <w:pStyle w:val="HEADING40"/>
        <w:numPr>
          <w:ilvl w:val="1"/>
          <w:numId w:val="12"/>
        </w:numPr>
        <w:rPr>
          <w:rFonts w:ascii="Times New Roman" w:hAnsi="Times New Roman"/>
        </w:rPr>
      </w:pPr>
      <w:r>
        <w:rPr>
          <w:rFonts w:ascii="Times New Roman" w:hAnsi="Times New Roman"/>
        </w:rPr>
        <w:t>Zip code li</w:t>
      </w:r>
      <w:r>
        <w:rPr>
          <w:rFonts w:ascii="Times New Roman" w:hAnsi="Times New Roman"/>
        </w:rPr>
        <w:t>nkage</w:t>
      </w:r>
    </w:p>
    <w:p w14:paraId="326B82CB" w14:textId="77777777" w:rsidR="00000000" w:rsidRDefault="00A568A1" w:rsidP="00A568A1">
      <w:pPr>
        <w:pStyle w:val="HEADING40"/>
        <w:numPr>
          <w:ilvl w:val="1"/>
          <w:numId w:val="12"/>
        </w:numPr>
        <w:rPr>
          <w:rFonts w:ascii="Times New Roman" w:hAnsi="Times New Roman"/>
        </w:rPr>
      </w:pPr>
      <w:r>
        <w:rPr>
          <w:rFonts w:ascii="Times New Roman" w:hAnsi="Times New Roman"/>
        </w:rPr>
        <w:t>Add changed address functionality</w:t>
      </w:r>
    </w:p>
    <w:p w14:paraId="61856343" w14:textId="77777777" w:rsidR="00000000" w:rsidRDefault="00A568A1" w:rsidP="00A568A1">
      <w:pPr>
        <w:pStyle w:val="HEADING40"/>
        <w:numPr>
          <w:ilvl w:val="1"/>
          <w:numId w:val="12"/>
        </w:numPr>
        <w:rPr>
          <w:rFonts w:ascii="Times New Roman" w:hAnsi="Times New Roman"/>
        </w:rPr>
      </w:pPr>
      <w:r>
        <w:rPr>
          <w:rFonts w:ascii="Times New Roman" w:hAnsi="Times New Roman"/>
        </w:rPr>
        <w:t>Changes to HL7 messages (see HL7 Messaging Changes section of this document)</w:t>
      </w:r>
    </w:p>
    <w:p w14:paraId="553DE00C" w14:textId="77777777" w:rsidR="00000000" w:rsidRDefault="00A568A1">
      <w:pPr>
        <w:pStyle w:val="HEADING40"/>
        <w:rPr>
          <w:rFonts w:ascii="Times New Roman" w:hAnsi="Times New Roman"/>
        </w:rPr>
      </w:pPr>
    </w:p>
    <w:p w14:paraId="41C91CFA" w14:textId="77777777" w:rsidR="00000000" w:rsidRDefault="00A568A1">
      <w:pPr>
        <w:pStyle w:val="Heading2"/>
      </w:pPr>
      <w:bookmarkStart w:id="17" w:name="_Toc22544654"/>
      <w:r>
        <w:t>HL7 Messaging Changes</w:t>
      </w:r>
      <w:bookmarkEnd w:id="17"/>
    </w:p>
    <w:p w14:paraId="5B697CE2" w14:textId="77777777" w:rsidR="00000000" w:rsidRDefault="00A568A1"/>
    <w:p w14:paraId="78E8D0AD" w14:textId="77777777" w:rsidR="00000000" w:rsidRDefault="00A568A1">
      <w:pPr>
        <w:pStyle w:val="Heading3"/>
      </w:pPr>
      <w:bookmarkStart w:id="18" w:name="_Toc22530615"/>
      <w:bookmarkStart w:id="19" w:name="_Toc22544655"/>
      <w:r>
        <w:t>Z05, Demographic Data Transmission</w:t>
      </w:r>
      <w:bookmarkEnd w:id="18"/>
      <w:bookmarkEnd w:id="19"/>
      <w:r>
        <w:t xml:space="preserve"> </w:t>
      </w:r>
    </w:p>
    <w:p w14:paraId="169A703D" w14:textId="77777777" w:rsidR="00000000" w:rsidRDefault="00A568A1" w:rsidP="00A568A1">
      <w:pPr>
        <w:numPr>
          <w:ilvl w:val="0"/>
          <w:numId w:val="9"/>
        </w:numPr>
      </w:pPr>
      <w:r>
        <w:t>Added FIPS County Code to the receiver process to support address indexing</w:t>
      </w:r>
    </w:p>
    <w:p w14:paraId="3DD0A382" w14:textId="77777777" w:rsidR="00000000" w:rsidRDefault="00A568A1"/>
    <w:p w14:paraId="081D99C8" w14:textId="77777777" w:rsidR="00000000" w:rsidRDefault="00A568A1">
      <w:pPr>
        <w:pStyle w:val="Heading3"/>
      </w:pPr>
      <w:bookmarkStart w:id="20" w:name="_Toc22530616"/>
      <w:bookmarkStart w:id="21" w:name="_Toc22544656"/>
      <w:r>
        <w:t>Z07</w:t>
      </w:r>
      <w:r>
        <w:t>, Full Data Transmission from VAMC to HEC</w:t>
      </w:r>
      <w:bookmarkEnd w:id="20"/>
      <w:bookmarkEnd w:id="21"/>
    </w:p>
    <w:p w14:paraId="72A1422E" w14:textId="77777777" w:rsidR="00000000" w:rsidRDefault="00A568A1" w:rsidP="00A568A1">
      <w:pPr>
        <w:numPr>
          <w:ilvl w:val="0"/>
          <w:numId w:val="1"/>
        </w:numPr>
      </w:pPr>
      <w:r>
        <w:t xml:space="preserve">Added GMT Copayment Status to the ZMT Segment of the Z07 message and builder process </w:t>
      </w:r>
    </w:p>
    <w:p w14:paraId="2F74C537" w14:textId="77777777" w:rsidR="00000000" w:rsidRDefault="00A568A1" w:rsidP="00A568A1">
      <w:pPr>
        <w:numPr>
          <w:ilvl w:val="0"/>
          <w:numId w:val="1"/>
        </w:numPr>
      </w:pPr>
      <w:r>
        <w:t>Added Hardship Reason field to the ZMT Segment of the Z07 message and builder process</w:t>
      </w:r>
    </w:p>
    <w:p w14:paraId="2DBE950A" w14:textId="77777777" w:rsidR="00000000" w:rsidRDefault="00A568A1" w:rsidP="00A568A1">
      <w:pPr>
        <w:numPr>
          <w:ilvl w:val="0"/>
          <w:numId w:val="1"/>
        </w:numPr>
      </w:pPr>
      <w:r>
        <w:t>Added RF1 segment to ORU~Z07 &amp; ORF~Z07</w:t>
      </w:r>
    </w:p>
    <w:p w14:paraId="0368741B" w14:textId="77777777" w:rsidR="00000000" w:rsidRDefault="00A568A1" w:rsidP="00A568A1">
      <w:pPr>
        <w:numPr>
          <w:ilvl w:val="0"/>
          <w:numId w:val="1"/>
        </w:numPr>
      </w:pPr>
      <w:r>
        <w:t>Sen</w:t>
      </w:r>
      <w:r>
        <w:t>d FIPS County Code to HEC to support address indexing</w:t>
      </w:r>
    </w:p>
    <w:p w14:paraId="593AF09F" w14:textId="77777777" w:rsidR="00000000" w:rsidRDefault="00A568A1"/>
    <w:p w14:paraId="452DE22C" w14:textId="77777777" w:rsidR="00000000" w:rsidRDefault="00A568A1">
      <w:pPr>
        <w:pStyle w:val="Heading3"/>
      </w:pPr>
      <w:bookmarkStart w:id="22" w:name="_Toc22530617"/>
      <w:bookmarkStart w:id="23" w:name="_Toc22544657"/>
      <w:r>
        <w:t>Z10, Income Test Data Transmission from HEC to VAMC</w:t>
      </w:r>
      <w:bookmarkEnd w:id="22"/>
      <w:bookmarkEnd w:id="23"/>
    </w:p>
    <w:p w14:paraId="0C4A86BB" w14:textId="77777777" w:rsidR="00000000" w:rsidRDefault="00A568A1" w:rsidP="00A568A1">
      <w:pPr>
        <w:numPr>
          <w:ilvl w:val="0"/>
          <w:numId w:val="2"/>
        </w:numPr>
      </w:pPr>
      <w:r>
        <w:t>Added GMT Copayment Status to the ZMT Segment.</w:t>
      </w:r>
    </w:p>
    <w:p w14:paraId="221F781F" w14:textId="77777777" w:rsidR="00000000" w:rsidRDefault="00A568A1" w:rsidP="00A568A1">
      <w:pPr>
        <w:numPr>
          <w:ilvl w:val="0"/>
          <w:numId w:val="2"/>
        </w:numPr>
      </w:pPr>
      <w:r>
        <w:t xml:space="preserve">Added Hardship </w:t>
      </w:r>
      <w:proofErr w:type="gramStart"/>
      <w:r>
        <w:t>Reason  field</w:t>
      </w:r>
      <w:proofErr w:type="gramEnd"/>
      <w:r>
        <w:t xml:space="preserve"> to the ZMT Segment.</w:t>
      </w:r>
    </w:p>
    <w:p w14:paraId="2C4FFBFA" w14:textId="77777777" w:rsidR="00000000" w:rsidRDefault="00A568A1"/>
    <w:p w14:paraId="138280F0" w14:textId="77777777" w:rsidR="00000000" w:rsidRDefault="00A568A1">
      <w:pPr>
        <w:pStyle w:val="Heading2"/>
      </w:pPr>
      <w:r>
        <w:br w:type="page"/>
      </w:r>
      <w:bookmarkStart w:id="24" w:name="_Toc22544658"/>
      <w:r>
        <w:lastRenderedPageBreak/>
        <w:t>One-time Conversion</w:t>
      </w:r>
      <w:bookmarkEnd w:id="24"/>
    </w:p>
    <w:p w14:paraId="109925DF" w14:textId="77777777" w:rsidR="00000000" w:rsidRDefault="00A568A1"/>
    <w:p w14:paraId="5E4E95B4" w14:textId="77777777" w:rsidR="00000000" w:rsidRDefault="00A568A1">
      <w:r>
        <w:t xml:space="preserve">A one-time conversion of </w:t>
      </w:r>
      <w:r>
        <w:t>Means</w:t>
      </w:r>
      <w:r>
        <w:t xml:space="preserve"> Test Copay Required </w:t>
      </w:r>
      <w:r>
        <w:t>veterans who declined to provide income information</w:t>
      </w:r>
      <w:r>
        <w:t>, whose means test is greater than one year old</w:t>
      </w:r>
      <w:r>
        <w:t xml:space="preserve"> or whose</w:t>
      </w:r>
      <w:r>
        <w:t xml:space="preserve"> current</w:t>
      </w:r>
      <w:r>
        <w:t xml:space="preserve"> income is greater than the MT threshold will occur only in the HEC Legacy system upon implementation of the GMT softwar</w:t>
      </w:r>
      <w:r>
        <w:t>e.  This conversion will determine whether these veterans should be placed in the new Priority Group 8 or the new GMT Copay Required means test status.  The results of the conversion will be transmitted to all applicable VAMCs upon completion of the proces</w:t>
      </w:r>
      <w:r>
        <w:t xml:space="preserve">s.  Refer to Appendix B of this document for a conversion matrix for MT Copay Required veterans.  </w:t>
      </w:r>
    </w:p>
    <w:p w14:paraId="07D2155A" w14:textId="77777777" w:rsidR="00000000" w:rsidRDefault="00A568A1"/>
    <w:p w14:paraId="2189D3F2" w14:textId="77777777" w:rsidR="00000000" w:rsidRDefault="00A568A1">
      <w:pPr>
        <w:pStyle w:val="Heading2"/>
      </w:pPr>
      <w:bookmarkStart w:id="25" w:name="_Toc22544659"/>
      <w:r>
        <w:t>Conversion Report</w:t>
      </w:r>
      <w:bookmarkEnd w:id="25"/>
    </w:p>
    <w:p w14:paraId="3F94B1DF" w14:textId="77777777" w:rsidR="00000000" w:rsidRDefault="00A568A1"/>
    <w:p w14:paraId="46789260" w14:textId="77777777" w:rsidR="00000000" w:rsidRDefault="00A568A1">
      <w:r>
        <w:t>During the processing of the GMT Conversion, a HEC user can monitor the progress by running the GMT Conversion Processing Report, which w</w:t>
      </w:r>
      <w:r>
        <w:t xml:space="preserve">ill provide the following cumulative totals.  Refer to the HEC GMT Technical Manual for information about how to generate and use this report.  Refer to Appendix B of this document for a conversion matrix for MT Copay Required veterans.  </w:t>
      </w:r>
    </w:p>
    <w:p w14:paraId="1A9448F7" w14:textId="77777777" w:rsidR="00000000" w:rsidRDefault="00A568A1"/>
    <w:p w14:paraId="45BFE846" w14:textId="77777777" w:rsidR="00000000" w:rsidRDefault="00A568A1" w:rsidP="00A568A1">
      <w:pPr>
        <w:numPr>
          <w:ilvl w:val="0"/>
          <w:numId w:val="19"/>
        </w:numPr>
      </w:pPr>
      <w:r>
        <w:t xml:space="preserve">Converted while </w:t>
      </w:r>
      <w:r>
        <w:t xml:space="preserve">Pending Adjudication </w:t>
      </w:r>
    </w:p>
    <w:p w14:paraId="6E3E9646" w14:textId="77777777" w:rsidR="00000000" w:rsidRDefault="00A568A1" w:rsidP="00A568A1">
      <w:pPr>
        <w:numPr>
          <w:ilvl w:val="0"/>
          <w:numId w:val="19"/>
        </w:numPr>
      </w:pPr>
      <w:r>
        <w:t xml:space="preserve">Converted to Exempt due to Net Worth </w:t>
      </w:r>
    </w:p>
    <w:p w14:paraId="7217FB41" w14:textId="77777777" w:rsidR="00000000" w:rsidRDefault="00A568A1" w:rsidP="00A568A1">
      <w:pPr>
        <w:numPr>
          <w:ilvl w:val="0"/>
          <w:numId w:val="19"/>
        </w:numPr>
      </w:pPr>
      <w:r>
        <w:t xml:space="preserve">Converted to GMT Copay Required due to Income </w:t>
      </w:r>
    </w:p>
    <w:p w14:paraId="1D0EE853" w14:textId="77777777" w:rsidR="00000000" w:rsidRDefault="00A568A1" w:rsidP="00A568A1">
      <w:pPr>
        <w:numPr>
          <w:ilvl w:val="0"/>
          <w:numId w:val="19"/>
        </w:numPr>
      </w:pPr>
      <w:r>
        <w:t xml:space="preserve">Converted to GMT Copay Required due to Net Worth </w:t>
      </w:r>
    </w:p>
    <w:p w14:paraId="5FF3676E" w14:textId="77777777" w:rsidR="00000000" w:rsidRDefault="00A568A1" w:rsidP="00A568A1">
      <w:pPr>
        <w:numPr>
          <w:ilvl w:val="0"/>
          <w:numId w:val="19"/>
        </w:numPr>
      </w:pPr>
      <w:r>
        <w:t xml:space="preserve">Converted to Priority Group 5 </w:t>
      </w:r>
    </w:p>
    <w:p w14:paraId="17D3D868" w14:textId="77777777" w:rsidR="00000000" w:rsidRDefault="00A568A1" w:rsidP="00A568A1">
      <w:pPr>
        <w:numPr>
          <w:ilvl w:val="0"/>
          <w:numId w:val="19"/>
        </w:numPr>
      </w:pPr>
      <w:r>
        <w:t xml:space="preserve">Converted to Priority Group 7 </w:t>
      </w:r>
    </w:p>
    <w:p w14:paraId="3521C168" w14:textId="77777777" w:rsidR="00000000" w:rsidRDefault="00A568A1" w:rsidP="00A568A1">
      <w:pPr>
        <w:numPr>
          <w:ilvl w:val="0"/>
          <w:numId w:val="19"/>
        </w:numPr>
      </w:pPr>
      <w:r>
        <w:t xml:space="preserve">Converted to Priority Group 8 </w:t>
      </w:r>
    </w:p>
    <w:p w14:paraId="6B059263" w14:textId="77777777" w:rsidR="00000000" w:rsidRDefault="00A568A1" w:rsidP="00A568A1">
      <w:pPr>
        <w:numPr>
          <w:ilvl w:val="0"/>
          <w:numId w:val="19"/>
        </w:numPr>
      </w:pPr>
      <w:r>
        <w:t>Conver</w:t>
      </w:r>
      <w:r>
        <w:t xml:space="preserve">ted to Priority Group 8 due to Income </w:t>
      </w:r>
    </w:p>
    <w:p w14:paraId="4FCDD77A" w14:textId="77777777" w:rsidR="00000000" w:rsidRDefault="00A568A1" w:rsidP="00A568A1">
      <w:pPr>
        <w:numPr>
          <w:ilvl w:val="0"/>
          <w:numId w:val="19"/>
        </w:numPr>
      </w:pPr>
      <w:r>
        <w:t xml:space="preserve">Converted to Priority Group 8 due to lapsed MT </w:t>
      </w:r>
    </w:p>
    <w:p w14:paraId="26D0325F" w14:textId="77777777" w:rsidR="00000000" w:rsidRDefault="00A568A1" w:rsidP="00A568A1">
      <w:pPr>
        <w:numPr>
          <w:ilvl w:val="0"/>
          <w:numId w:val="19"/>
        </w:numPr>
      </w:pPr>
      <w:r>
        <w:t xml:space="preserve">Converted to Priority Group 8 - Declines to give info </w:t>
      </w:r>
    </w:p>
    <w:p w14:paraId="1C293231" w14:textId="77777777" w:rsidR="00000000" w:rsidRDefault="00A568A1"/>
    <w:p w14:paraId="737746CF" w14:textId="77777777" w:rsidR="00000000" w:rsidRDefault="00A568A1"/>
    <w:p w14:paraId="41E45834" w14:textId="77777777" w:rsidR="00000000" w:rsidRDefault="00A568A1">
      <w:pPr>
        <w:sectPr w:rsidR="00000000">
          <w:headerReference w:type="default" r:id="rId13"/>
          <w:pgSz w:w="12240" w:h="15840"/>
          <w:pgMar w:top="1440" w:right="1440" w:bottom="1440" w:left="1440" w:header="720" w:footer="720" w:gutter="0"/>
          <w:cols w:space="720"/>
          <w:titlePg/>
          <w:docGrid w:linePitch="360"/>
        </w:sectPr>
      </w:pPr>
    </w:p>
    <w:p w14:paraId="70189708" w14:textId="77777777" w:rsidR="00000000" w:rsidRDefault="00A568A1">
      <w:pPr>
        <w:pStyle w:val="Heading1"/>
      </w:pPr>
      <w:bookmarkStart w:id="26" w:name="_Toc22544660"/>
      <w:r>
        <w:lastRenderedPageBreak/>
        <w:t xml:space="preserve">Appendix A – GMT Enrollment Priority / </w:t>
      </w:r>
      <w:r>
        <w:t>Copayment Status Matrix</w:t>
      </w:r>
      <w:bookmarkEnd w:id="26"/>
    </w:p>
    <w:p w14:paraId="7A670D6E" w14:textId="77777777" w:rsidR="00000000" w:rsidRDefault="00A568A1"/>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170"/>
        <w:gridCol w:w="1260"/>
        <w:gridCol w:w="2584"/>
        <w:gridCol w:w="1642"/>
        <w:gridCol w:w="2152"/>
      </w:tblGrid>
      <w:tr w:rsidR="00000000" w14:paraId="389953A9" w14:textId="77777777">
        <w:tblPrEx>
          <w:tblCellMar>
            <w:top w:w="0" w:type="dxa"/>
            <w:bottom w:w="0" w:type="dxa"/>
          </w:tblCellMar>
        </w:tblPrEx>
        <w:tc>
          <w:tcPr>
            <w:tcW w:w="9996" w:type="dxa"/>
            <w:gridSpan w:val="6"/>
            <w:tcBorders>
              <w:bottom w:val="single" w:sz="4" w:space="0" w:color="auto"/>
            </w:tcBorders>
            <w:shd w:val="clear" w:color="auto" w:fill="00FFFF"/>
          </w:tcPr>
          <w:p w14:paraId="5E7B3B28" w14:textId="77777777" w:rsidR="00000000" w:rsidRDefault="00A568A1">
            <w:pPr>
              <w:jc w:val="center"/>
              <w:rPr>
                <w:rStyle w:val="TABLEHEADING"/>
              </w:rPr>
            </w:pPr>
            <w:r>
              <w:rPr>
                <w:rStyle w:val="TABLEHEADING"/>
              </w:rPr>
              <w:t>GMT Enrollment Priority / Copayment Matrix</w:t>
            </w:r>
          </w:p>
        </w:tc>
      </w:tr>
      <w:tr w:rsidR="00000000" w14:paraId="0F9948ED" w14:textId="77777777">
        <w:tblPrEx>
          <w:tblCellMar>
            <w:top w:w="0" w:type="dxa"/>
            <w:bottom w:w="0" w:type="dxa"/>
          </w:tblCellMar>
        </w:tblPrEx>
        <w:tc>
          <w:tcPr>
            <w:tcW w:w="1188" w:type="dxa"/>
            <w:shd w:val="pct15" w:color="auto" w:fill="CCFFFF"/>
          </w:tcPr>
          <w:p w14:paraId="6D2B43F9" w14:textId="77777777" w:rsidR="00000000" w:rsidRDefault="00A568A1">
            <w:pPr>
              <w:jc w:val="center"/>
              <w:rPr>
                <w:rStyle w:val="TABLEHEADING"/>
              </w:rPr>
            </w:pPr>
            <w:r>
              <w:rPr>
                <w:rStyle w:val="TABLEHEADING"/>
              </w:rPr>
              <w:t>Inc</w:t>
            </w:r>
            <w:r>
              <w:rPr>
                <w:rStyle w:val="TABLEHEADING"/>
              </w:rPr>
              <w:t>ome vs.</w:t>
            </w:r>
          </w:p>
          <w:p w14:paraId="2FDB8F89" w14:textId="77777777" w:rsidR="00000000" w:rsidRDefault="00A568A1">
            <w:pPr>
              <w:jc w:val="center"/>
              <w:rPr>
                <w:rStyle w:val="TABLEHEADING"/>
              </w:rPr>
            </w:pPr>
            <w:r>
              <w:rPr>
                <w:rStyle w:val="TABLEHEADING"/>
              </w:rPr>
              <w:t>Thresholds</w:t>
            </w:r>
          </w:p>
        </w:tc>
        <w:tc>
          <w:tcPr>
            <w:tcW w:w="1170" w:type="dxa"/>
            <w:shd w:val="pct15" w:color="auto" w:fill="CCFFFF"/>
          </w:tcPr>
          <w:p w14:paraId="151E39CA" w14:textId="77777777" w:rsidR="00000000" w:rsidRDefault="00A568A1">
            <w:pPr>
              <w:jc w:val="center"/>
              <w:rPr>
                <w:rStyle w:val="TABLEHEADING"/>
              </w:rPr>
            </w:pPr>
            <w:r>
              <w:rPr>
                <w:rStyle w:val="TABLEHEADING"/>
              </w:rPr>
              <w:t>Estate vs. Net Worth Threshold</w:t>
            </w:r>
          </w:p>
        </w:tc>
        <w:tc>
          <w:tcPr>
            <w:tcW w:w="1260" w:type="dxa"/>
            <w:shd w:val="pct15" w:color="auto" w:fill="CCFFFF"/>
          </w:tcPr>
          <w:p w14:paraId="439BA4A4" w14:textId="77777777" w:rsidR="00000000" w:rsidRDefault="00A568A1">
            <w:pPr>
              <w:jc w:val="center"/>
              <w:rPr>
                <w:rStyle w:val="TABLEHEADING"/>
              </w:rPr>
            </w:pPr>
            <w:r>
              <w:rPr>
                <w:rStyle w:val="TABLEHEADING"/>
              </w:rPr>
              <w:t>Veteran’s Enrollment Priority</w:t>
            </w:r>
          </w:p>
        </w:tc>
        <w:tc>
          <w:tcPr>
            <w:tcW w:w="2584" w:type="dxa"/>
            <w:shd w:val="pct15" w:color="auto" w:fill="CCFFFF"/>
          </w:tcPr>
          <w:p w14:paraId="45081280" w14:textId="77777777" w:rsidR="00000000" w:rsidRDefault="00A568A1">
            <w:pPr>
              <w:jc w:val="center"/>
              <w:rPr>
                <w:rStyle w:val="TABLEHEADING"/>
              </w:rPr>
            </w:pPr>
            <w:r>
              <w:rPr>
                <w:rStyle w:val="TABLEHEADING"/>
              </w:rPr>
              <w:t>Exceptions to Veteran’s Enrollment Priority</w:t>
            </w:r>
          </w:p>
        </w:tc>
        <w:tc>
          <w:tcPr>
            <w:tcW w:w="1642" w:type="dxa"/>
            <w:shd w:val="pct15" w:color="auto" w:fill="CCFFFF"/>
          </w:tcPr>
          <w:p w14:paraId="61BA9A0E" w14:textId="77777777" w:rsidR="00000000" w:rsidRDefault="00A568A1">
            <w:pPr>
              <w:jc w:val="center"/>
              <w:rPr>
                <w:rStyle w:val="TABLEHEADING"/>
              </w:rPr>
            </w:pPr>
            <w:r>
              <w:rPr>
                <w:b/>
                <w:bCs/>
              </w:rPr>
              <w:t>*</w:t>
            </w:r>
            <w:r>
              <w:rPr>
                <w:rStyle w:val="TABLEHEADING"/>
              </w:rPr>
              <w:t>Copayment Status</w:t>
            </w:r>
          </w:p>
        </w:tc>
        <w:tc>
          <w:tcPr>
            <w:tcW w:w="2152" w:type="dxa"/>
            <w:shd w:val="pct15" w:color="auto" w:fill="CCFFFF"/>
          </w:tcPr>
          <w:p w14:paraId="4EB4F7F5" w14:textId="77777777" w:rsidR="00000000" w:rsidRDefault="00A568A1">
            <w:pPr>
              <w:jc w:val="center"/>
              <w:rPr>
                <w:rStyle w:val="TABLEHEADING"/>
              </w:rPr>
            </w:pPr>
            <w:r>
              <w:rPr>
                <w:rStyle w:val="TABLEHEADING"/>
              </w:rPr>
              <w:t>Comment</w:t>
            </w:r>
          </w:p>
        </w:tc>
      </w:tr>
      <w:tr w:rsidR="00000000" w14:paraId="6562B527" w14:textId="77777777">
        <w:tblPrEx>
          <w:tblCellMar>
            <w:top w:w="0" w:type="dxa"/>
            <w:bottom w:w="0" w:type="dxa"/>
          </w:tblCellMar>
        </w:tblPrEx>
        <w:tc>
          <w:tcPr>
            <w:tcW w:w="1188" w:type="dxa"/>
          </w:tcPr>
          <w:p w14:paraId="068F5430" w14:textId="77777777" w:rsidR="00000000" w:rsidRDefault="00A568A1">
            <w:pPr>
              <w:pStyle w:val="TABLEROW"/>
            </w:pPr>
            <w:r>
              <w:t>Less than MT</w:t>
            </w:r>
          </w:p>
        </w:tc>
        <w:tc>
          <w:tcPr>
            <w:tcW w:w="1170" w:type="dxa"/>
          </w:tcPr>
          <w:p w14:paraId="439D6FBB" w14:textId="77777777" w:rsidR="00000000" w:rsidRDefault="00A568A1">
            <w:pPr>
              <w:pStyle w:val="TABLEROW"/>
            </w:pPr>
            <w:r>
              <w:t>Less than Net Worth Threshold</w:t>
            </w:r>
          </w:p>
          <w:p w14:paraId="09D43EEA" w14:textId="77777777" w:rsidR="00000000" w:rsidRDefault="00A568A1">
            <w:pPr>
              <w:pStyle w:val="TABLEROW"/>
            </w:pPr>
            <w:r>
              <w:t>($80K)</w:t>
            </w:r>
          </w:p>
        </w:tc>
        <w:tc>
          <w:tcPr>
            <w:tcW w:w="1260" w:type="dxa"/>
          </w:tcPr>
          <w:p w14:paraId="2E7E52A7" w14:textId="77777777" w:rsidR="00000000" w:rsidRDefault="00A568A1">
            <w:pPr>
              <w:pStyle w:val="TABLEROW"/>
            </w:pPr>
            <w:r>
              <w:t>Priority 5</w:t>
            </w:r>
          </w:p>
        </w:tc>
        <w:tc>
          <w:tcPr>
            <w:tcW w:w="2584" w:type="dxa"/>
          </w:tcPr>
          <w:p w14:paraId="3F359A9F" w14:textId="77777777" w:rsidR="00000000" w:rsidRDefault="00A568A1">
            <w:pPr>
              <w:pStyle w:val="TABLEROW"/>
            </w:pPr>
            <w:r>
              <w:t>If Catastrophically Disabled, Priority 4</w:t>
            </w:r>
          </w:p>
        </w:tc>
        <w:tc>
          <w:tcPr>
            <w:tcW w:w="1642" w:type="dxa"/>
          </w:tcPr>
          <w:p w14:paraId="0679AA52" w14:textId="77777777" w:rsidR="00000000" w:rsidRDefault="00A568A1">
            <w:pPr>
              <w:pStyle w:val="TABLEROW"/>
            </w:pPr>
            <w:r>
              <w:t xml:space="preserve">MT </w:t>
            </w:r>
            <w:r>
              <w:t>Copay Exempt</w:t>
            </w:r>
          </w:p>
        </w:tc>
        <w:tc>
          <w:tcPr>
            <w:tcW w:w="2152" w:type="dxa"/>
          </w:tcPr>
          <w:p w14:paraId="0487B621" w14:textId="77777777" w:rsidR="00000000" w:rsidRDefault="00A568A1">
            <w:pPr>
              <w:pStyle w:val="TABLEROW"/>
            </w:pPr>
          </w:p>
        </w:tc>
      </w:tr>
      <w:tr w:rsidR="00000000" w14:paraId="068F1199" w14:textId="77777777">
        <w:tblPrEx>
          <w:tblCellMar>
            <w:top w:w="0" w:type="dxa"/>
            <w:bottom w:w="0" w:type="dxa"/>
          </w:tblCellMar>
        </w:tblPrEx>
        <w:tc>
          <w:tcPr>
            <w:tcW w:w="1188" w:type="dxa"/>
          </w:tcPr>
          <w:p w14:paraId="16CC769B" w14:textId="77777777" w:rsidR="00000000" w:rsidRDefault="00A568A1">
            <w:pPr>
              <w:pStyle w:val="TABLEROW"/>
            </w:pPr>
            <w:r>
              <w:t>Less than MT</w:t>
            </w:r>
          </w:p>
        </w:tc>
        <w:tc>
          <w:tcPr>
            <w:tcW w:w="1170" w:type="dxa"/>
          </w:tcPr>
          <w:p w14:paraId="3CEEDF31" w14:textId="77777777" w:rsidR="00000000" w:rsidRDefault="00A568A1">
            <w:pPr>
              <w:pStyle w:val="TABLEROW"/>
            </w:pPr>
            <w:r>
              <w:t>Greater than Net Worth Threshold</w:t>
            </w:r>
          </w:p>
          <w:p w14:paraId="32F52E32" w14:textId="77777777" w:rsidR="00000000" w:rsidRDefault="00A568A1">
            <w:pPr>
              <w:pStyle w:val="TABLEROW"/>
            </w:pPr>
            <w:r>
              <w:t>($80K)</w:t>
            </w:r>
          </w:p>
        </w:tc>
        <w:tc>
          <w:tcPr>
            <w:tcW w:w="1260" w:type="dxa"/>
          </w:tcPr>
          <w:p w14:paraId="02FA1460" w14:textId="77777777" w:rsidR="00000000" w:rsidRDefault="00A568A1">
            <w:pPr>
              <w:pStyle w:val="TABLEROW"/>
            </w:pPr>
            <w:r>
              <w:t>Priority 7</w:t>
            </w:r>
          </w:p>
        </w:tc>
        <w:tc>
          <w:tcPr>
            <w:tcW w:w="2584" w:type="dxa"/>
          </w:tcPr>
          <w:p w14:paraId="4EEC630B" w14:textId="77777777" w:rsidR="00000000" w:rsidRDefault="00A568A1" w:rsidP="00A568A1">
            <w:pPr>
              <w:pStyle w:val="TABLEROW"/>
              <w:numPr>
                <w:ilvl w:val="0"/>
                <w:numId w:val="14"/>
              </w:numPr>
              <w:tabs>
                <w:tab w:val="clear" w:pos="720"/>
                <w:tab w:val="num" w:pos="162"/>
              </w:tabs>
              <w:ind w:left="162" w:hanging="180"/>
            </w:pPr>
            <w:r>
              <w:t xml:space="preserve">If exposed to Agent Orange, Ionizing Radiation, or Environmental Contaminants, Priority 6.  </w:t>
            </w:r>
          </w:p>
          <w:p w14:paraId="5DA0715E" w14:textId="77777777" w:rsidR="00000000" w:rsidRDefault="00A568A1" w:rsidP="00A568A1">
            <w:pPr>
              <w:pStyle w:val="TABLEROW"/>
              <w:numPr>
                <w:ilvl w:val="0"/>
                <w:numId w:val="14"/>
              </w:numPr>
              <w:tabs>
                <w:tab w:val="clear" w:pos="720"/>
                <w:tab w:val="num" w:pos="162"/>
              </w:tabs>
              <w:ind w:left="162" w:hanging="180"/>
            </w:pPr>
            <w:r>
              <w:t>If Catastrophically Disabled, Priority 4</w:t>
            </w:r>
          </w:p>
        </w:tc>
        <w:tc>
          <w:tcPr>
            <w:tcW w:w="1642" w:type="dxa"/>
          </w:tcPr>
          <w:p w14:paraId="6F2A01DB" w14:textId="77777777" w:rsidR="00000000" w:rsidRDefault="00A568A1">
            <w:pPr>
              <w:pStyle w:val="TABLEROW"/>
            </w:pPr>
            <w:r>
              <w:t>GMT Copay Required</w:t>
            </w:r>
          </w:p>
        </w:tc>
        <w:tc>
          <w:tcPr>
            <w:tcW w:w="2152" w:type="dxa"/>
          </w:tcPr>
          <w:p w14:paraId="39961F2D" w14:textId="77777777" w:rsidR="00000000" w:rsidRDefault="00A568A1">
            <w:pPr>
              <w:pStyle w:val="TABLEROW"/>
            </w:pPr>
            <w:r>
              <w:t>Pending Adjudication</w:t>
            </w:r>
          </w:p>
          <w:p w14:paraId="4F36DB7C" w14:textId="77777777" w:rsidR="00000000" w:rsidRDefault="00A568A1">
            <w:pPr>
              <w:pStyle w:val="TABLEROW"/>
              <w:rPr>
                <w:b/>
                <w:bCs/>
              </w:rPr>
            </w:pPr>
            <w:r>
              <w:rPr>
                <w:b/>
                <w:bCs/>
              </w:rPr>
              <w:t>Not</w:t>
            </w:r>
            <w:r>
              <w:rPr>
                <w:b/>
                <w:bCs/>
              </w:rPr>
              <w:t>e:  In this rule, GMT threshold is greater than MT threshold</w:t>
            </w:r>
          </w:p>
        </w:tc>
      </w:tr>
      <w:tr w:rsidR="00000000" w14:paraId="229CDC60" w14:textId="77777777">
        <w:tblPrEx>
          <w:tblCellMar>
            <w:top w:w="0" w:type="dxa"/>
            <w:bottom w:w="0" w:type="dxa"/>
          </w:tblCellMar>
        </w:tblPrEx>
        <w:tc>
          <w:tcPr>
            <w:tcW w:w="1188" w:type="dxa"/>
          </w:tcPr>
          <w:p w14:paraId="39A2BD20" w14:textId="77777777" w:rsidR="00000000" w:rsidRDefault="00A568A1">
            <w:pPr>
              <w:pStyle w:val="TABLEROW"/>
            </w:pPr>
            <w:r>
              <w:t>Less than MT</w:t>
            </w:r>
          </w:p>
        </w:tc>
        <w:tc>
          <w:tcPr>
            <w:tcW w:w="1170" w:type="dxa"/>
          </w:tcPr>
          <w:p w14:paraId="333E445A" w14:textId="77777777" w:rsidR="00000000" w:rsidRDefault="00A568A1">
            <w:pPr>
              <w:pStyle w:val="TABLEROW"/>
            </w:pPr>
            <w:r>
              <w:t>Greater than Net Worth Threshold</w:t>
            </w:r>
          </w:p>
          <w:p w14:paraId="76D0EE5C" w14:textId="77777777" w:rsidR="00000000" w:rsidRDefault="00A568A1">
            <w:pPr>
              <w:pStyle w:val="TABLEROW"/>
            </w:pPr>
            <w:r>
              <w:t>($80K)</w:t>
            </w:r>
          </w:p>
        </w:tc>
        <w:tc>
          <w:tcPr>
            <w:tcW w:w="1260" w:type="dxa"/>
          </w:tcPr>
          <w:p w14:paraId="48552C11" w14:textId="77777777" w:rsidR="00000000" w:rsidRDefault="00A568A1">
            <w:pPr>
              <w:pStyle w:val="TABLEROW"/>
            </w:pPr>
            <w:r>
              <w:t>Priority 8</w:t>
            </w:r>
          </w:p>
        </w:tc>
        <w:tc>
          <w:tcPr>
            <w:tcW w:w="2584" w:type="dxa"/>
          </w:tcPr>
          <w:p w14:paraId="068870B4" w14:textId="77777777" w:rsidR="00000000" w:rsidRDefault="00A568A1" w:rsidP="00A568A1">
            <w:pPr>
              <w:pStyle w:val="TABLEROW"/>
              <w:numPr>
                <w:ilvl w:val="0"/>
                <w:numId w:val="15"/>
              </w:numPr>
              <w:tabs>
                <w:tab w:val="clear" w:pos="720"/>
                <w:tab w:val="num" w:pos="162"/>
              </w:tabs>
              <w:ind w:left="162" w:hanging="162"/>
            </w:pPr>
            <w:r>
              <w:t xml:space="preserve">If exposed to Agent Orange, Ionizing Radiation, or Environmental Contaminants, Priority 6.  </w:t>
            </w:r>
          </w:p>
          <w:p w14:paraId="3B586BC7" w14:textId="77777777" w:rsidR="00000000" w:rsidRDefault="00A568A1" w:rsidP="00A568A1">
            <w:pPr>
              <w:pStyle w:val="TABLEROW"/>
              <w:numPr>
                <w:ilvl w:val="0"/>
                <w:numId w:val="15"/>
              </w:numPr>
              <w:tabs>
                <w:tab w:val="clear" w:pos="720"/>
                <w:tab w:val="num" w:pos="162"/>
              </w:tabs>
              <w:ind w:left="162" w:hanging="162"/>
            </w:pPr>
            <w:r>
              <w:t>If Catastrophically Disabled, Priorit</w:t>
            </w:r>
            <w:r>
              <w:t>y 4</w:t>
            </w:r>
          </w:p>
        </w:tc>
        <w:tc>
          <w:tcPr>
            <w:tcW w:w="1642" w:type="dxa"/>
          </w:tcPr>
          <w:p w14:paraId="4A2B8896" w14:textId="77777777" w:rsidR="00000000" w:rsidRDefault="00A568A1">
            <w:pPr>
              <w:pStyle w:val="TABLEROW"/>
            </w:pPr>
            <w:r>
              <w:t>MT Copay Required</w:t>
            </w:r>
          </w:p>
        </w:tc>
        <w:tc>
          <w:tcPr>
            <w:tcW w:w="2152" w:type="dxa"/>
          </w:tcPr>
          <w:p w14:paraId="0323AD6D" w14:textId="77777777" w:rsidR="00000000" w:rsidRDefault="00A568A1">
            <w:pPr>
              <w:pStyle w:val="TABLEROW"/>
            </w:pPr>
            <w:r>
              <w:t>Pending Adjudication</w:t>
            </w:r>
          </w:p>
          <w:p w14:paraId="0AC0D44A" w14:textId="77777777" w:rsidR="00000000" w:rsidRDefault="00A568A1">
            <w:pPr>
              <w:pStyle w:val="TABLEROW"/>
              <w:rPr>
                <w:b/>
                <w:bCs/>
              </w:rPr>
            </w:pPr>
            <w:r>
              <w:rPr>
                <w:b/>
                <w:bCs/>
              </w:rPr>
              <w:t>Note:  In this rule, GMT threshold is less than MT threshold</w:t>
            </w:r>
          </w:p>
        </w:tc>
      </w:tr>
      <w:tr w:rsidR="00000000" w14:paraId="4B006166" w14:textId="77777777">
        <w:tblPrEx>
          <w:tblCellMar>
            <w:top w:w="0" w:type="dxa"/>
            <w:bottom w:w="0" w:type="dxa"/>
          </w:tblCellMar>
        </w:tblPrEx>
        <w:tc>
          <w:tcPr>
            <w:tcW w:w="1188" w:type="dxa"/>
          </w:tcPr>
          <w:p w14:paraId="76BF0FE6" w14:textId="77777777" w:rsidR="00000000" w:rsidRDefault="00A568A1">
            <w:pPr>
              <w:pStyle w:val="TABLEROW"/>
            </w:pPr>
            <w:r>
              <w:t>Greater than MT</w:t>
            </w:r>
          </w:p>
          <w:p w14:paraId="1AD1F4FD" w14:textId="77777777" w:rsidR="00000000" w:rsidRDefault="00A568A1">
            <w:pPr>
              <w:pStyle w:val="TABLEROW"/>
            </w:pPr>
            <w:r>
              <w:t xml:space="preserve">Less than GMT </w:t>
            </w:r>
          </w:p>
        </w:tc>
        <w:tc>
          <w:tcPr>
            <w:tcW w:w="1170" w:type="dxa"/>
          </w:tcPr>
          <w:p w14:paraId="03B04489" w14:textId="77777777" w:rsidR="00000000" w:rsidRDefault="00A568A1">
            <w:pPr>
              <w:pStyle w:val="TABLEROW"/>
            </w:pPr>
            <w:r>
              <w:t>Not applicable</w:t>
            </w:r>
          </w:p>
        </w:tc>
        <w:tc>
          <w:tcPr>
            <w:tcW w:w="1260" w:type="dxa"/>
          </w:tcPr>
          <w:p w14:paraId="1C41FF35" w14:textId="77777777" w:rsidR="00000000" w:rsidRDefault="00A568A1">
            <w:pPr>
              <w:pStyle w:val="TABLEROW"/>
            </w:pPr>
            <w:r>
              <w:t>Priority 7</w:t>
            </w:r>
          </w:p>
        </w:tc>
        <w:tc>
          <w:tcPr>
            <w:tcW w:w="2584" w:type="dxa"/>
          </w:tcPr>
          <w:p w14:paraId="2AE85A04" w14:textId="77777777" w:rsidR="00000000" w:rsidRDefault="00A568A1" w:rsidP="00A568A1">
            <w:pPr>
              <w:pStyle w:val="TABLEROW"/>
              <w:numPr>
                <w:ilvl w:val="0"/>
                <w:numId w:val="16"/>
              </w:numPr>
              <w:tabs>
                <w:tab w:val="clear" w:pos="720"/>
                <w:tab w:val="num" w:pos="162"/>
              </w:tabs>
              <w:ind w:left="162" w:hanging="180"/>
            </w:pPr>
            <w:r>
              <w:t xml:space="preserve">If exposed to Agent Orange, Ionizing Radiation, or Environmental Contaminants, Priority 6.  </w:t>
            </w:r>
          </w:p>
          <w:p w14:paraId="2ED2030D" w14:textId="77777777" w:rsidR="00000000" w:rsidRDefault="00A568A1" w:rsidP="00A568A1">
            <w:pPr>
              <w:pStyle w:val="TABLEROW"/>
              <w:numPr>
                <w:ilvl w:val="0"/>
                <w:numId w:val="16"/>
              </w:numPr>
              <w:tabs>
                <w:tab w:val="clear" w:pos="720"/>
                <w:tab w:val="num" w:pos="162"/>
              </w:tabs>
              <w:ind w:left="162" w:hanging="180"/>
            </w:pPr>
            <w:r>
              <w:t>I</w:t>
            </w:r>
            <w:r>
              <w:t>f Catastrophically Disabled, Priority 4</w:t>
            </w:r>
          </w:p>
        </w:tc>
        <w:tc>
          <w:tcPr>
            <w:tcW w:w="1642" w:type="dxa"/>
          </w:tcPr>
          <w:p w14:paraId="49CBDB05" w14:textId="77777777" w:rsidR="00000000" w:rsidRDefault="00A568A1">
            <w:pPr>
              <w:pStyle w:val="TABLEROW"/>
            </w:pPr>
            <w:r>
              <w:t>GMT Copay Required</w:t>
            </w:r>
          </w:p>
        </w:tc>
        <w:tc>
          <w:tcPr>
            <w:tcW w:w="2152" w:type="dxa"/>
          </w:tcPr>
          <w:p w14:paraId="2C9E2BBB" w14:textId="77777777" w:rsidR="00000000" w:rsidRDefault="00A568A1">
            <w:pPr>
              <w:pStyle w:val="TABLEROW"/>
            </w:pPr>
          </w:p>
        </w:tc>
      </w:tr>
      <w:tr w:rsidR="00000000" w14:paraId="4D12B0FE" w14:textId="77777777">
        <w:tblPrEx>
          <w:tblCellMar>
            <w:top w:w="0" w:type="dxa"/>
            <w:bottom w:w="0" w:type="dxa"/>
          </w:tblCellMar>
        </w:tblPrEx>
        <w:tc>
          <w:tcPr>
            <w:tcW w:w="1188" w:type="dxa"/>
          </w:tcPr>
          <w:p w14:paraId="68A5764C" w14:textId="77777777" w:rsidR="00000000" w:rsidRDefault="00A568A1">
            <w:pPr>
              <w:pStyle w:val="TABLEROW"/>
            </w:pPr>
            <w:r>
              <w:t>Greater than MT</w:t>
            </w:r>
          </w:p>
          <w:p w14:paraId="2EB81F32" w14:textId="77777777" w:rsidR="00000000" w:rsidRDefault="00A568A1">
            <w:pPr>
              <w:pStyle w:val="TABLEROW"/>
            </w:pPr>
            <w:r>
              <w:t>Greater than GMT</w:t>
            </w:r>
          </w:p>
        </w:tc>
        <w:tc>
          <w:tcPr>
            <w:tcW w:w="1170" w:type="dxa"/>
          </w:tcPr>
          <w:p w14:paraId="689195FB" w14:textId="77777777" w:rsidR="00000000" w:rsidRDefault="00A568A1">
            <w:pPr>
              <w:pStyle w:val="TABLEROW"/>
            </w:pPr>
            <w:r>
              <w:t>Not applicable</w:t>
            </w:r>
          </w:p>
        </w:tc>
        <w:tc>
          <w:tcPr>
            <w:tcW w:w="1260" w:type="dxa"/>
          </w:tcPr>
          <w:p w14:paraId="3433AFB3" w14:textId="77777777" w:rsidR="00000000" w:rsidRDefault="00A568A1">
            <w:pPr>
              <w:pStyle w:val="TABLEROW"/>
            </w:pPr>
            <w:r>
              <w:t>Priority 8</w:t>
            </w:r>
          </w:p>
        </w:tc>
        <w:tc>
          <w:tcPr>
            <w:tcW w:w="2584" w:type="dxa"/>
          </w:tcPr>
          <w:p w14:paraId="3DE846FC" w14:textId="77777777" w:rsidR="00000000" w:rsidRDefault="00A568A1" w:rsidP="00A568A1">
            <w:pPr>
              <w:pStyle w:val="TABLEROW"/>
              <w:numPr>
                <w:ilvl w:val="0"/>
                <w:numId w:val="17"/>
              </w:numPr>
              <w:tabs>
                <w:tab w:val="clear" w:pos="720"/>
                <w:tab w:val="num" w:pos="162"/>
              </w:tabs>
              <w:ind w:left="162" w:hanging="162"/>
            </w:pPr>
            <w:r>
              <w:t xml:space="preserve">If exposed to Agent Orange, Ionizing Radiation, or Environmental Contaminants, Priority 6.  </w:t>
            </w:r>
          </w:p>
          <w:p w14:paraId="12F80D0A" w14:textId="77777777" w:rsidR="00000000" w:rsidRDefault="00A568A1" w:rsidP="00A568A1">
            <w:pPr>
              <w:pStyle w:val="TABLEROW"/>
              <w:numPr>
                <w:ilvl w:val="0"/>
                <w:numId w:val="17"/>
              </w:numPr>
              <w:tabs>
                <w:tab w:val="clear" w:pos="720"/>
                <w:tab w:val="num" w:pos="162"/>
              </w:tabs>
              <w:ind w:left="162" w:hanging="162"/>
            </w:pPr>
            <w:r>
              <w:t>If Catastrophically Disabled, Priority 4</w:t>
            </w:r>
          </w:p>
        </w:tc>
        <w:tc>
          <w:tcPr>
            <w:tcW w:w="1642" w:type="dxa"/>
          </w:tcPr>
          <w:p w14:paraId="5118E3CA" w14:textId="77777777" w:rsidR="00000000" w:rsidRDefault="00A568A1">
            <w:pPr>
              <w:pStyle w:val="TABLEROW"/>
            </w:pPr>
            <w:r>
              <w:t>MT</w:t>
            </w:r>
            <w:r>
              <w:t xml:space="preserve"> Copay Required</w:t>
            </w:r>
          </w:p>
        </w:tc>
        <w:tc>
          <w:tcPr>
            <w:tcW w:w="2152" w:type="dxa"/>
          </w:tcPr>
          <w:p w14:paraId="42E7AE33" w14:textId="77777777" w:rsidR="00000000" w:rsidRDefault="00A568A1">
            <w:pPr>
              <w:pStyle w:val="TABLEROW"/>
            </w:pPr>
          </w:p>
        </w:tc>
      </w:tr>
    </w:tbl>
    <w:p w14:paraId="611CF1A3" w14:textId="77777777" w:rsidR="00000000" w:rsidRDefault="00A568A1">
      <w:pPr>
        <w:pStyle w:val="BodyText"/>
        <w:rPr>
          <w:b/>
          <w:bCs/>
          <w:color w:val="auto"/>
        </w:rPr>
      </w:pPr>
      <w:r>
        <w:rPr>
          <w:b/>
          <w:bCs/>
          <w:color w:val="auto"/>
        </w:rPr>
        <w:t xml:space="preserve">*GMT copayment = regular outpatient MT copayment rate and 20% of current inpatient MT copayment rate </w:t>
      </w:r>
    </w:p>
    <w:p w14:paraId="2E6EF39A" w14:textId="77777777" w:rsidR="00000000" w:rsidRDefault="00A568A1"/>
    <w:p w14:paraId="7184184F" w14:textId="77777777" w:rsidR="00000000" w:rsidRDefault="00A568A1">
      <w:pPr>
        <w:sectPr w:rsidR="00000000">
          <w:headerReference w:type="default" r:id="rId14"/>
          <w:pgSz w:w="12240" w:h="15840"/>
          <w:pgMar w:top="1440" w:right="1440" w:bottom="1440" w:left="1440" w:header="720" w:footer="720" w:gutter="0"/>
          <w:cols w:space="720"/>
          <w:titlePg/>
          <w:docGrid w:linePitch="360"/>
        </w:sectPr>
      </w:pPr>
    </w:p>
    <w:p w14:paraId="73A585D5" w14:textId="77777777" w:rsidR="00000000" w:rsidRDefault="00A568A1">
      <w:pPr>
        <w:pStyle w:val="Heading1"/>
      </w:pPr>
      <w:bookmarkStart w:id="27" w:name="_Toc22544661"/>
      <w:r>
        <w:lastRenderedPageBreak/>
        <w:t>Appendix B – Conversion Matrix for MT Copay Required Veterans</w:t>
      </w:r>
      <w:bookmarkEnd w:id="27"/>
    </w:p>
    <w:p w14:paraId="300C3564" w14:textId="77777777" w:rsidR="00000000" w:rsidRDefault="00A568A1"/>
    <w:p w14:paraId="5F68FE4A" w14:textId="77777777" w:rsidR="00000000" w:rsidRDefault="00A568A1"/>
    <w:tbl>
      <w:tblPr>
        <w:tblW w:w="7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5"/>
        <w:gridCol w:w="1887"/>
        <w:gridCol w:w="1476"/>
        <w:gridCol w:w="2496"/>
      </w:tblGrid>
      <w:tr w:rsidR="00000000" w14:paraId="723628EF" w14:textId="77777777">
        <w:tblPrEx>
          <w:tblCellMar>
            <w:top w:w="0" w:type="dxa"/>
            <w:bottom w:w="0" w:type="dxa"/>
          </w:tblCellMar>
        </w:tblPrEx>
        <w:trPr>
          <w:jc w:val="center"/>
        </w:trPr>
        <w:tc>
          <w:tcPr>
            <w:tcW w:w="7264" w:type="dxa"/>
            <w:gridSpan w:val="4"/>
            <w:tcBorders>
              <w:bottom w:val="single" w:sz="4" w:space="0" w:color="auto"/>
            </w:tcBorders>
            <w:shd w:val="clear" w:color="auto" w:fill="33CCCC"/>
          </w:tcPr>
          <w:p w14:paraId="59F0493A" w14:textId="77777777" w:rsidR="00000000" w:rsidRDefault="00A568A1">
            <w:pPr>
              <w:jc w:val="center"/>
              <w:rPr>
                <w:rStyle w:val="TABLEHEADING"/>
              </w:rPr>
            </w:pPr>
            <w:r>
              <w:rPr>
                <w:rStyle w:val="TABLEHEADING"/>
              </w:rPr>
              <w:t>Conversion Matrix for MT Copay Required Veterans</w:t>
            </w:r>
          </w:p>
        </w:tc>
      </w:tr>
      <w:tr w:rsidR="00000000" w14:paraId="0E57082B" w14:textId="77777777">
        <w:tblPrEx>
          <w:tblCellMar>
            <w:top w:w="0" w:type="dxa"/>
            <w:bottom w:w="0" w:type="dxa"/>
          </w:tblCellMar>
        </w:tblPrEx>
        <w:trPr>
          <w:jc w:val="center"/>
        </w:trPr>
        <w:tc>
          <w:tcPr>
            <w:tcW w:w="3292" w:type="dxa"/>
            <w:gridSpan w:val="2"/>
            <w:tcBorders>
              <w:bottom w:val="single" w:sz="4" w:space="0" w:color="auto"/>
            </w:tcBorders>
            <w:shd w:val="clear" w:color="auto" w:fill="00FFFF"/>
          </w:tcPr>
          <w:p w14:paraId="22CD4420" w14:textId="77777777" w:rsidR="00000000" w:rsidRDefault="00A568A1">
            <w:pPr>
              <w:jc w:val="center"/>
              <w:rPr>
                <w:rStyle w:val="TABLEHEADING"/>
              </w:rPr>
            </w:pPr>
            <w:r>
              <w:rPr>
                <w:rStyle w:val="TABLEHEADING"/>
              </w:rPr>
              <w:t>Current Status</w:t>
            </w:r>
          </w:p>
          <w:p w14:paraId="37BB374C" w14:textId="77777777" w:rsidR="00000000" w:rsidRDefault="00A568A1">
            <w:pPr>
              <w:jc w:val="center"/>
              <w:rPr>
                <w:rStyle w:val="TABLEHEADING"/>
              </w:rPr>
            </w:pPr>
          </w:p>
        </w:tc>
        <w:tc>
          <w:tcPr>
            <w:tcW w:w="3972" w:type="dxa"/>
            <w:gridSpan w:val="2"/>
            <w:tcBorders>
              <w:bottom w:val="single" w:sz="4" w:space="0" w:color="auto"/>
            </w:tcBorders>
            <w:shd w:val="clear" w:color="auto" w:fill="00FFFF"/>
          </w:tcPr>
          <w:p w14:paraId="244536E0" w14:textId="77777777" w:rsidR="00000000" w:rsidRDefault="00A568A1">
            <w:pPr>
              <w:jc w:val="center"/>
              <w:rPr>
                <w:rStyle w:val="TABLEHEADING"/>
              </w:rPr>
            </w:pPr>
            <w:r>
              <w:rPr>
                <w:rStyle w:val="TABLEHEADING"/>
              </w:rPr>
              <w:t>Post</w:t>
            </w:r>
            <w:r>
              <w:rPr>
                <w:rStyle w:val="TABLEHEADING"/>
              </w:rPr>
              <w:t xml:space="preserve"> Implementation Status</w:t>
            </w:r>
          </w:p>
        </w:tc>
      </w:tr>
      <w:tr w:rsidR="00000000" w14:paraId="329072FF" w14:textId="77777777">
        <w:tblPrEx>
          <w:tblCellMar>
            <w:top w:w="0" w:type="dxa"/>
            <w:bottom w:w="0" w:type="dxa"/>
          </w:tblCellMar>
        </w:tblPrEx>
        <w:trPr>
          <w:jc w:val="center"/>
        </w:trPr>
        <w:tc>
          <w:tcPr>
            <w:tcW w:w="1405" w:type="dxa"/>
            <w:shd w:val="pct15" w:color="auto" w:fill="CCFFFF"/>
          </w:tcPr>
          <w:p w14:paraId="3BE11677" w14:textId="77777777" w:rsidR="00000000" w:rsidRDefault="00A568A1">
            <w:pPr>
              <w:jc w:val="center"/>
              <w:rPr>
                <w:rStyle w:val="TABLEHEADING"/>
              </w:rPr>
            </w:pPr>
            <w:r>
              <w:rPr>
                <w:rStyle w:val="TABLEHEADING"/>
              </w:rPr>
              <w:t>Enrollment</w:t>
            </w:r>
          </w:p>
          <w:p w14:paraId="45279997" w14:textId="77777777" w:rsidR="00000000" w:rsidRDefault="00A568A1">
            <w:pPr>
              <w:jc w:val="center"/>
              <w:rPr>
                <w:rStyle w:val="TABLEHEADING"/>
              </w:rPr>
            </w:pPr>
            <w:r>
              <w:rPr>
                <w:rStyle w:val="TABLEHEADING"/>
              </w:rPr>
              <w:t>Priority</w:t>
            </w:r>
          </w:p>
          <w:p w14:paraId="1B3BFED7" w14:textId="77777777" w:rsidR="00000000" w:rsidRDefault="00A568A1">
            <w:pPr>
              <w:jc w:val="center"/>
              <w:rPr>
                <w:rStyle w:val="TABLEHEADING"/>
              </w:rPr>
            </w:pPr>
            <w:r>
              <w:rPr>
                <w:rStyle w:val="TABLEHEADING"/>
              </w:rPr>
              <w:t>Group</w:t>
            </w:r>
          </w:p>
        </w:tc>
        <w:tc>
          <w:tcPr>
            <w:tcW w:w="1887" w:type="dxa"/>
            <w:shd w:val="pct15" w:color="auto" w:fill="CCFFFF"/>
          </w:tcPr>
          <w:p w14:paraId="67AC2E6F" w14:textId="77777777" w:rsidR="00000000" w:rsidRDefault="00A568A1">
            <w:pPr>
              <w:jc w:val="center"/>
              <w:rPr>
                <w:rStyle w:val="TABLEHEADING"/>
              </w:rPr>
            </w:pPr>
            <w:r>
              <w:rPr>
                <w:rStyle w:val="TABLEHEADING"/>
              </w:rPr>
              <w:t>Income Less Than GMT</w:t>
            </w:r>
          </w:p>
        </w:tc>
        <w:tc>
          <w:tcPr>
            <w:tcW w:w="1476" w:type="dxa"/>
            <w:shd w:val="pct15" w:color="auto" w:fill="CCFFFF"/>
          </w:tcPr>
          <w:p w14:paraId="537E383B" w14:textId="77777777" w:rsidR="00000000" w:rsidRDefault="00A568A1">
            <w:pPr>
              <w:jc w:val="center"/>
              <w:rPr>
                <w:rStyle w:val="TABLEHEADING"/>
              </w:rPr>
            </w:pPr>
            <w:r>
              <w:rPr>
                <w:rStyle w:val="TABLEHEADING"/>
              </w:rPr>
              <w:t>Enrollment Priority Group</w:t>
            </w:r>
          </w:p>
        </w:tc>
        <w:tc>
          <w:tcPr>
            <w:tcW w:w="2496" w:type="dxa"/>
            <w:shd w:val="pct15" w:color="auto" w:fill="CCFFFF"/>
          </w:tcPr>
          <w:p w14:paraId="2C401C75" w14:textId="77777777" w:rsidR="00000000" w:rsidRDefault="00A568A1">
            <w:pPr>
              <w:jc w:val="center"/>
              <w:rPr>
                <w:rStyle w:val="TABLEHEADING"/>
              </w:rPr>
            </w:pPr>
            <w:r>
              <w:rPr>
                <w:rStyle w:val="TABLEHEADING"/>
              </w:rPr>
              <w:t>MT Copay Status</w:t>
            </w:r>
          </w:p>
        </w:tc>
      </w:tr>
      <w:tr w:rsidR="00000000" w14:paraId="33BDD77F" w14:textId="77777777">
        <w:tblPrEx>
          <w:tblCellMar>
            <w:top w:w="0" w:type="dxa"/>
            <w:bottom w:w="0" w:type="dxa"/>
          </w:tblCellMar>
        </w:tblPrEx>
        <w:trPr>
          <w:jc w:val="center"/>
        </w:trPr>
        <w:tc>
          <w:tcPr>
            <w:tcW w:w="1405" w:type="dxa"/>
          </w:tcPr>
          <w:p w14:paraId="6A9866D8" w14:textId="77777777" w:rsidR="00000000" w:rsidRDefault="00A568A1">
            <w:pPr>
              <w:pStyle w:val="TABLEROW"/>
            </w:pPr>
            <w:r>
              <w:t>4</w:t>
            </w:r>
          </w:p>
        </w:tc>
        <w:tc>
          <w:tcPr>
            <w:tcW w:w="1887" w:type="dxa"/>
          </w:tcPr>
          <w:p w14:paraId="73AE4DDF" w14:textId="77777777" w:rsidR="00000000" w:rsidRDefault="00A568A1">
            <w:pPr>
              <w:pStyle w:val="TABLEROW"/>
            </w:pPr>
            <w:r>
              <w:t>Yes</w:t>
            </w:r>
          </w:p>
        </w:tc>
        <w:tc>
          <w:tcPr>
            <w:tcW w:w="1476" w:type="dxa"/>
          </w:tcPr>
          <w:p w14:paraId="00EE6950" w14:textId="77777777" w:rsidR="00000000" w:rsidRDefault="00A568A1">
            <w:pPr>
              <w:pStyle w:val="TABLEROW"/>
            </w:pPr>
            <w:r>
              <w:t>4</w:t>
            </w:r>
          </w:p>
        </w:tc>
        <w:tc>
          <w:tcPr>
            <w:tcW w:w="2496" w:type="dxa"/>
          </w:tcPr>
          <w:p w14:paraId="554ADAEF" w14:textId="77777777" w:rsidR="00000000" w:rsidRDefault="00A568A1">
            <w:pPr>
              <w:pStyle w:val="TABLEROW"/>
            </w:pPr>
            <w:r>
              <w:t>GMT Copay Required</w:t>
            </w:r>
          </w:p>
        </w:tc>
      </w:tr>
      <w:tr w:rsidR="00000000" w14:paraId="4A4AC54D" w14:textId="77777777">
        <w:tblPrEx>
          <w:tblCellMar>
            <w:top w:w="0" w:type="dxa"/>
            <w:bottom w:w="0" w:type="dxa"/>
          </w:tblCellMar>
        </w:tblPrEx>
        <w:trPr>
          <w:jc w:val="center"/>
        </w:trPr>
        <w:tc>
          <w:tcPr>
            <w:tcW w:w="1405" w:type="dxa"/>
          </w:tcPr>
          <w:p w14:paraId="1500EBD2" w14:textId="77777777" w:rsidR="00000000" w:rsidRDefault="00A568A1">
            <w:pPr>
              <w:pStyle w:val="TABLEROW"/>
            </w:pPr>
            <w:r>
              <w:t>4</w:t>
            </w:r>
          </w:p>
        </w:tc>
        <w:tc>
          <w:tcPr>
            <w:tcW w:w="1887" w:type="dxa"/>
          </w:tcPr>
          <w:p w14:paraId="5F63921B" w14:textId="77777777" w:rsidR="00000000" w:rsidRDefault="00A568A1">
            <w:pPr>
              <w:pStyle w:val="TABLEROW"/>
            </w:pPr>
            <w:r>
              <w:t>No</w:t>
            </w:r>
          </w:p>
        </w:tc>
        <w:tc>
          <w:tcPr>
            <w:tcW w:w="1476" w:type="dxa"/>
          </w:tcPr>
          <w:p w14:paraId="09E90634" w14:textId="77777777" w:rsidR="00000000" w:rsidRDefault="00A568A1">
            <w:pPr>
              <w:pStyle w:val="TABLEROW"/>
            </w:pPr>
            <w:r>
              <w:t>4</w:t>
            </w:r>
          </w:p>
        </w:tc>
        <w:tc>
          <w:tcPr>
            <w:tcW w:w="2496" w:type="dxa"/>
          </w:tcPr>
          <w:p w14:paraId="4B9FBE0D" w14:textId="77777777" w:rsidR="00000000" w:rsidRDefault="00A568A1">
            <w:pPr>
              <w:pStyle w:val="TABLEROW"/>
            </w:pPr>
            <w:r>
              <w:t>MT Copay Required</w:t>
            </w:r>
          </w:p>
        </w:tc>
      </w:tr>
      <w:tr w:rsidR="00000000" w14:paraId="366E61E1" w14:textId="77777777">
        <w:tblPrEx>
          <w:tblCellMar>
            <w:top w:w="0" w:type="dxa"/>
            <w:bottom w:w="0" w:type="dxa"/>
          </w:tblCellMar>
        </w:tblPrEx>
        <w:trPr>
          <w:jc w:val="center"/>
        </w:trPr>
        <w:tc>
          <w:tcPr>
            <w:tcW w:w="1405" w:type="dxa"/>
          </w:tcPr>
          <w:p w14:paraId="317FE6E0" w14:textId="77777777" w:rsidR="00000000" w:rsidRDefault="00A568A1">
            <w:pPr>
              <w:pStyle w:val="TABLEROW"/>
            </w:pPr>
            <w:r>
              <w:t>6</w:t>
            </w:r>
          </w:p>
        </w:tc>
        <w:tc>
          <w:tcPr>
            <w:tcW w:w="1887" w:type="dxa"/>
          </w:tcPr>
          <w:p w14:paraId="12C8F94B" w14:textId="77777777" w:rsidR="00000000" w:rsidRDefault="00A568A1">
            <w:pPr>
              <w:pStyle w:val="TABLEROW"/>
            </w:pPr>
            <w:r>
              <w:t>Yes</w:t>
            </w:r>
          </w:p>
        </w:tc>
        <w:tc>
          <w:tcPr>
            <w:tcW w:w="1476" w:type="dxa"/>
          </w:tcPr>
          <w:p w14:paraId="43106486" w14:textId="77777777" w:rsidR="00000000" w:rsidRDefault="00A568A1">
            <w:pPr>
              <w:pStyle w:val="TABLEROW"/>
            </w:pPr>
            <w:r>
              <w:t>6</w:t>
            </w:r>
          </w:p>
        </w:tc>
        <w:tc>
          <w:tcPr>
            <w:tcW w:w="2496" w:type="dxa"/>
          </w:tcPr>
          <w:p w14:paraId="66ED3DF2" w14:textId="77777777" w:rsidR="00000000" w:rsidRDefault="00A568A1">
            <w:pPr>
              <w:pStyle w:val="TABLEROW"/>
            </w:pPr>
            <w:r>
              <w:t>GMT Copay Required</w:t>
            </w:r>
          </w:p>
        </w:tc>
      </w:tr>
      <w:tr w:rsidR="00000000" w14:paraId="36378D8E" w14:textId="77777777">
        <w:tblPrEx>
          <w:tblCellMar>
            <w:top w:w="0" w:type="dxa"/>
            <w:bottom w:w="0" w:type="dxa"/>
          </w:tblCellMar>
        </w:tblPrEx>
        <w:trPr>
          <w:jc w:val="center"/>
        </w:trPr>
        <w:tc>
          <w:tcPr>
            <w:tcW w:w="1405" w:type="dxa"/>
          </w:tcPr>
          <w:p w14:paraId="43ADBCF8" w14:textId="77777777" w:rsidR="00000000" w:rsidRDefault="00A568A1">
            <w:pPr>
              <w:pStyle w:val="TABLEROW"/>
            </w:pPr>
            <w:r>
              <w:t>6</w:t>
            </w:r>
          </w:p>
        </w:tc>
        <w:tc>
          <w:tcPr>
            <w:tcW w:w="1887" w:type="dxa"/>
          </w:tcPr>
          <w:p w14:paraId="7B3753D3" w14:textId="77777777" w:rsidR="00000000" w:rsidRDefault="00A568A1">
            <w:pPr>
              <w:pStyle w:val="TABLEROW"/>
            </w:pPr>
            <w:r>
              <w:t>No</w:t>
            </w:r>
          </w:p>
        </w:tc>
        <w:tc>
          <w:tcPr>
            <w:tcW w:w="1476" w:type="dxa"/>
          </w:tcPr>
          <w:p w14:paraId="1497CEC6" w14:textId="77777777" w:rsidR="00000000" w:rsidRDefault="00A568A1">
            <w:pPr>
              <w:pStyle w:val="TABLEROW"/>
            </w:pPr>
            <w:r>
              <w:t>6</w:t>
            </w:r>
          </w:p>
        </w:tc>
        <w:tc>
          <w:tcPr>
            <w:tcW w:w="2496" w:type="dxa"/>
          </w:tcPr>
          <w:p w14:paraId="1EE444FE" w14:textId="77777777" w:rsidR="00000000" w:rsidRDefault="00A568A1">
            <w:pPr>
              <w:pStyle w:val="TABLEROW"/>
            </w:pPr>
            <w:r>
              <w:t>MT Copay Required</w:t>
            </w:r>
          </w:p>
        </w:tc>
      </w:tr>
      <w:tr w:rsidR="00000000" w14:paraId="27E026F2" w14:textId="77777777">
        <w:tblPrEx>
          <w:tblCellMar>
            <w:top w:w="0" w:type="dxa"/>
            <w:bottom w:w="0" w:type="dxa"/>
          </w:tblCellMar>
        </w:tblPrEx>
        <w:trPr>
          <w:jc w:val="center"/>
        </w:trPr>
        <w:tc>
          <w:tcPr>
            <w:tcW w:w="1405" w:type="dxa"/>
          </w:tcPr>
          <w:p w14:paraId="0C3E4CCB" w14:textId="77777777" w:rsidR="00000000" w:rsidRDefault="00A568A1">
            <w:pPr>
              <w:pStyle w:val="TABLEROW"/>
            </w:pPr>
            <w:r>
              <w:t>7</w:t>
            </w:r>
          </w:p>
        </w:tc>
        <w:tc>
          <w:tcPr>
            <w:tcW w:w="1887" w:type="dxa"/>
          </w:tcPr>
          <w:p w14:paraId="4D14B0CE" w14:textId="77777777" w:rsidR="00000000" w:rsidRDefault="00A568A1">
            <w:pPr>
              <w:pStyle w:val="TABLEROW"/>
            </w:pPr>
            <w:r>
              <w:t>Yes</w:t>
            </w:r>
          </w:p>
        </w:tc>
        <w:tc>
          <w:tcPr>
            <w:tcW w:w="1476" w:type="dxa"/>
          </w:tcPr>
          <w:p w14:paraId="2DCFBD5B" w14:textId="77777777" w:rsidR="00000000" w:rsidRDefault="00A568A1">
            <w:pPr>
              <w:pStyle w:val="TABLEROW"/>
            </w:pPr>
            <w:r>
              <w:t>7</w:t>
            </w:r>
          </w:p>
        </w:tc>
        <w:tc>
          <w:tcPr>
            <w:tcW w:w="2496" w:type="dxa"/>
          </w:tcPr>
          <w:p w14:paraId="15A022D4" w14:textId="77777777" w:rsidR="00000000" w:rsidRDefault="00A568A1">
            <w:pPr>
              <w:pStyle w:val="TABLEROW"/>
            </w:pPr>
            <w:r>
              <w:t>GMT Copay Required</w:t>
            </w:r>
          </w:p>
          <w:p w14:paraId="3B64DF88" w14:textId="77777777" w:rsidR="00000000" w:rsidRDefault="00A568A1">
            <w:pPr>
              <w:pStyle w:val="TABLEROW"/>
              <w:rPr>
                <w:b/>
                <w:bCs/>
              </w:rPr>
            </w:pPr>
            <w:r>
              <w:rPr>
                <w:b/>
                <w:bCs/>
              </w:rPr>
              <w:t>Only if</w:t>
            </w:r>
            <w:r>
              <w:rPr>
                <w:b/>
                <w:bCs/>
              </w:rPr>
              <w:t xml:space="preserve"> MT is within past year &amp; GMT is greater than MT threshold</w:t>
            </w:r>
          </w:p>
        </w:tc>
      </w:tr>
      <w:tr w:rsidR="00000000" w14:paraId="47D1DC5D" w14:textId="77777777">
        <w:tblPrEx>
          <w:tblCellMar>
            <w:top w:w="0" w:type="dxa"/>
            <w:bottom w:w="0" w:type="dxa"/>
          </w:tblCellMar>
        </w:tblPrEx>
        <w:trPr>
          <w:jc w:val="center"/>
        </w:trPr>
        <w:tc>
          <w:tcPr>
            <w:tcW w:w="1405" w:type="dxa"/>
          </w:tcPr>
          <w:p w14:paraId="5D42D0C7" w14:textId="77777777" w:rsidR="00000000" w:rsidRDefault="00A568A1">
            <w:pPr>
              <w:pStyle w:val="TABLEROW"/>
            </w:pPr>
            <w:r>
              <w:t>7</w:t>
            </w:r>
          </w:p>
        </w:tc>
        <w:tc>
          <w:tcPr>
            <w:tcW w:w="1887" w:type="dxa"/>
          </w:tcPr>
          <w:p w14:paraId="67504B57" w14:textId="77777777" w:rsidR="00000000" w:rsidRDefault="00A568A1">
            <w:pPr>
              <w:pStyle w:val="TABLEROW"/>
            </w:pPr>
            <w:r>
              <w:t>Yes</w:t>
            </w:r>
          </w:p>
        </w:tc>
        <w:tc>
          <w:tcPr>
            <w:tcW w:w="1476" w:type="dxa"/>
          </w:tcPr>
          <w:p w14:paraId="0E673BC6" w14:textId="77777777" w:rsidR="00000000" w:rsidRDefault="00A568A1">
            <w:pPr>
              <w:pStyle w:val="TABLEROW"/>
            </w:pPr>
            <w:r>
              <w:t>8</w:t>
            </w:r>
          </w:p>
        </w:tc>
        <w:tc>
          <w:tcPr>
            <w:tcW w:w="2496" w:type="dxa"/>
          </w:tcPr>
          <w:p w14:paraId="296CD560" w14:textId="77777777" w:rsidR="00000000" w:rsidRDefault="00A568A1">
            <w:pPr>
              <w:pStyle w:val="TABLEROW"/>
            </w:pPr>
            <w:r>
              <w:t>MT Copay Required</w:t>
            </w:r>
          </w:p>
          <w:p w14:paraId="4F42916D" w14:textId="77777777" w:rsidR="00000000" w:rsidRDefault="00A568A1">
            <w:pPr>
              <w:pStyle w:val="TABLEROW"/>
              <w:rPr>
                <w:b/>
                <w:bCs/>
              </w:rPr>
            </w:pPr>
            <w:r>
              <w:rPr>
                <w:b/>
                <w:bCs/>
              </w:rPr>
              <w:t>Only if MT is greater than 365 days</w:t>
            </w:r>
          </w:p>
        </w:tc>
      </w:tr>
      <w:tr w:rsidR="00000000" w14:paraId="744105C8" w14:textId="77777777">
        <w:tblPrEx>
          <w:tblCellMar>
            <w:top w:w="0" w:type="dxa"/>
            <w:bottom w:w="0" w:type="dxa"/>
          </w:tblCellMar>
        </w:tblPrEx>
        <w:trPr>
          <w:jc w:val="center"/>
        </w:trPr>
        <w:tc>
          <w:tcPr>
            <w:tcW w:w="1405" w:type="dxa"/>
          </w:tcPr>
          <w:p w14:paraId="58FFA67D" w14:textId="77777777" w:rsidR="00000000" w:rsidRDefault="00A568A1">
            <w:pPr>
              <w:pStyle w:val="TABLEROW"/>
            </w:pPr>
            <w:r>
              <w:t>7</w:t>
            </w:r>
          </w:p>
        </w:tc>
        <w:tc>
          <w:tcPr>
            <w:tcW w:w="1887" w:type="dxa"/>
          </w:tcPr>
          <w:p w14:paraId="62A2E6EB" w14:textId="77777777" w:rsidR="00000000" w:rsidRDefault="00A568A1">
            <w:pPr>
              <w:pStyle w:val="TABLEROW"/>
            </w:pPr>
            <w:r>
              <w:t>No</w:t>
            </w:r>
          </w:p>
        </w:tc>
        <w:tc>
          <w:tcPr>
            <w:tcW w:w="1476" w:type="dxa"/>
          </w:tcPr>
          <w:p w14:paraId="1E81B996" w14:textId="77777777" w:rsidR="00000000" w:rsidRDefault="00A568A1">
            <w:pPr>
              <w:pStyle w:val="TABLEROW"/>
            </w:pPr>
            <w:r>
              <w:t>8</w:t>
            </w:r>
          </w:p>
        </w:tc>
        <w:tc>
          <w:tcPr>
            <w:tcW w:w="2496" w:type="dxa"/>
          </w:tcPr>
          <w:p w14:paraId="71B97EC3" w14:textId="77777777" w:rsidR="00000000" w:rsidRDefault="00A568A1">
            <w:pPr>
              <w:pStyle w:val="TABLEROW"/>
            </w:pPr>
            <w:r>
              <w:t>MT Copay Required</w:t>
            </w:r>
          </w:p>
        </w:tc>
      </w:tr>
      <w:tr w:rsidR="00000000" w14:paraId="31BAD8B3" w14:textId="77777777">
        <w:tblPrEx>
          <w:tblCellMar>
            <w:top w:w="0" w:type="dxa"/>
            <w:bottom w:w="0" w:type="dxa"/>
          </w:tblCellMar>
        </w:tblPrEx>
        <w:trPr>
          <w:jc w:val="center"/>
        </w:trPr>
        <w:tc>
          <w:tcPr>
            <w:tcW w:w="1405" w:type="dxa"/>
            <w:tcBorders>
              <w:bottom w:val="single" w:sz="4" w:space="0" w:color="auto"/>
            </w:tcBorders>
          </w:tcPr>
          <w:p w14:paraId="7D87CF1A" w14:textId="77777777" w:rsidR="00000000" w:rsidRDefault="00A568A1">
            <w:pPr>
              <w:pStyle w:val="TABLEROW"/>
            </w:pPr>
            <w:r>
              <w:t>7</w:t>
            </w:r>
          </w:p>
        </w:tc>
        <w:tc>
          <w:tcPr>
            <w:tcW w:w="1887" w:type="dxa"/>
            <w:tcBorders>
              <w:bottom w:val="single" w:sz="4" w:space="0" w:color="auto"/>
            </w:tcBorders>
          </w:tcPr>
          <w:p w14:paraId="5E21059D" w14:textId="77777777" w:rsidR="00000000" w:rsidRDefault="00A568A1" w:rsidP="00A568A1">
            <w:pPr>
              <w:pStyle w:val="TABLEROW"/>
              <w:numPr>
                <w:ilvl w:val="0"/>
                <w:numId w:val="18"/>
              </w:numPr>
            </w:pPr>
            <w:r>
              <w:t>Declines to provide financial information</w:t>
            </w:r>
          </w:p>
          <w:p w14:paraId="33E14AE7" w14:textId="77777777" w:rsidR="00000000" w:rsidRDefault="00A568A1" w:rsidP="00A568A1">
            <w:pPr>
              <w:pStyle w:val="TABLEROW"/>
              <w:numPr>
                <w:ilvl w:val="0"/>
                <w:numId w:val="18"/>
              </w:numPr>
            </w:pPr>
            <w:r>
              <w:t>Agrees to Pay Copayments</w:t>
            </w:r>
          </w:p>
        </w:tc>
        <w:tc>
          <w:tcPr>
            <w:tcW w:w="1476" w:type="dxa"/>
          </w:tcPr>
          <w:p w14:paraId="650344DA" w14:textId="77777777" w:rsidR="00000000" w:rsidRDefault="00A568A1">
            <w:pPr>
              <w:pStyle w:val="TABLEROW"/>
            </w:pPr>
            <w:r>
              <w:t>8</w:t>
            </w:r>
          </w:p>
        </w:tc>
        <w:tc>
          <w:tcPr>
            <w:tcW w:w="2496" w:type="dxa"/>
          </w:tcPr>
          <w:p w14:paraId="49753D3B" w14:textId="77777777" w:rsidR="00000000" w:rsidRDefault="00A568A1">
            <w:pPr>
              <w:pStyle w:val="TABLEROW"/>
            </w:pPr>
            <w:r>
              <w:t>MT Copay Required</w:t>
            </w:r>
          </w:p>
        </w:tc>
      </w:tr>
      <w:tr w:rsidR="00000000" w14:paraId="58410119" w14:textId="77777777">
        <w:tblPrEx>
          <w:tblCellMar>
            <w:top w:w="0" w:type="dxa"/>
            <w:bottom w:w="0" w:type="dxa"/>
          </w:tblCellMar>
        </w:tblPrEx>
        <w:trPr>
          <w:jc w:val="center"/>
        </w:trPr>
        <w:tc>
          <w:tcPr>
            <w:tcW w:w="3292" w:type="dxa"/>
            <w:gridSpan w:val="2"/>
            <w:tcBorders>
              <w:bottom w:val="single" w:sz="4" w:space="0" w:color="auto"/>
            </w:tcBorders>
            <w:shd w:val="clear" w:color="auto" w:fill="00FFFF"/>
          </w:tcPr>
          <w:p w14:paraId="681823D1" w14:textId="77777777" w:rsidR="00000000" w:rsidRDefault="00A568A1">
            <w:pPr>
              <w:pStyle w:val="TABLEROW"/>
              <w:rPr>
                <w:b/>
                <w:bCs/>
              </w:rPr>
            </w:pPr>
            <w:r>
              <w:rPr>
                <w:b/>
                <w:bCs/>
              </w:rPr>
              <w:t>Net Worth determi</w:t>
            </w:r>
            <w:r>
              <w:rPr>
                <w:b/>
                <w:bCs/>
              </w:rPr>
              <w:t>nation on all veterans providing income</w:t>
            </w:r>
          </w:p>
        </w:tc>
        <w:tc>
          <w:tcPr>
            <w:tcW w:w="1476" w:type="dxa"/>
          </w:tcPr>
          <w:p w14:paraId="0122EC23" w14:textId="77777777" w:rsidR="00000000" w:rsidRDefault="00A568A1">
            <w:pPr>
              <w:pStyle w:val="TABLEROW"/>
            </w:pPr>
          </w:p>
        </w:tc>
        <w:tc>
          <w:tcPr>
            <w:tcW w:w="2496" w:type="dxa"/>
          </w:tcPr>
          <w:p w14:paraId="33C99AB6" w14:textId="77777777" w:rsidR="00000000" w:rsidRDefault="00A568A1">
            <w:pPr>
              <w:pStyle w:val="TABLEROW"/>
            </w:pPr>
          </w:p>
        </w:tc>
      </w:tr>
      <w:tr w:rsidR="00000000" w14:paraId="5D88DDFC" w14:textId="77777777">
        <w:tblPrEx>
          <w:tblCellMar>
            <w:top w:w="0" w:type="dxa"/>
            <w:bottom w:w="0" w:type="dxa"/>
          </w:tblCellMar>
        </w:tblPrEx>
        <w:trPr>
          <w:jc w:val="center"/>
        </w:trPr>
        <w:tc>
          <w:tcPr>
            <w:tcW w:w="1405" w:type="dxa"/>
            <w:shd w:val="pct15" w:color="auto" w:fill="CCFFFF"/>
          </w:tcPr>
          <w:p w14:paraId="50D3FE46" w14:textId="77777777" w:rsidR="00000000" w:rsidRDefault="00A568A1">
            <w:pPr>
              <w:pStyle w:val="TABLEROW"/>
            </w:pPr>
            <w:r>
              <w:t>Income</w:t>
            </w:r>
          </w:p>
        </w:tc>
        <w:tc>
          <w:tcPr>
            <w:tcW w:w="1887" w:type="dxa"/>
            <w:shd w:val="pct15" w:color="auto" w:fill="CCFFFF"/>
          </w:tcPr>
          <w:p w14:paraId="6FCEB205" w14:textId="77777777" w:rsidR="00000000" w:rsidRDefault="00A568A1">
            <w:pPr>
              <w:pStyle w:val="TABLEROW"/>
            </w:pPr>
            <w:r>
              <w:t>Net Worth</w:t>
            </w:r>
          </w:p>
        </w:tc>
        <w:tc>
          <w:tcPr>
            <w:tcW w:w="1476" w:type="dxa"/>
          </w:tcPr>
          <w:p w14:paraId="67906DEA" w14:textId="77777777" w:rsidR="00000000" w:rsidRDefault="00A568A1">
            <w:pPr>
              <w:pStyle w:val="TABLEROW"/>
            </w:pPr>
          </w:p>
        </w:tc>
        <w:tc>
          <w:tcPr>
            <w:tcW w:w="2496" w:type="dxa"/>
          </w:tcPr>
          <w:p w14:paraId="2AD58CD7" w14:textId="77777777" w:rsidR="00000000" w:rsidRDefault="00A568A1">
            <w:pPr>
              <w:pStyle w:val="TABLEROW"/>
            </w:pPr>
          </w:p>
        </w:tc>
      </w:tr>
      <w:tr w:rsidR="00000000" w14:paraId="1DFD040E" w14:textId="77777777">
        <w:tblPrEx>
          <w:tblCellMar>
            <w:top w:w="0" w:type="dxa"/>
            <w:bottom w:w="0" w:type="dxa"/>
          </w:tblCellMar>
        </w:tblPrEx>
        <w:trPr>
          <w:jc w:val="center"/>
        </w:trPr>
        <w:tc>
          <w:tcPr>
            <w:tcW w:w="1405" w:type="dxa"/>
          </w:tcPr>
          <w:p w14:paraId="66B8EA21" w14:textId="77777777" w:rsidR="00000000" w:rsidRDefault="00A568A1">
            <w:pPr>
              <w:pStyle w:val="TABLEROW"/>
            </w:pPr>
            <w:r>
              <w:t>Less than MT</w:t>
            </w:r>
          </w:p>
        </w:tc>
        <w:tc>
          <w:tcPr>
            <w:tcW w:w="1887" w:type="dxa"/>
          </w:tcPr>
          <w:p w14:paraId="5EFAEF2B" w14:textId="77777777" w:rsidR="00000000" w:rsidRDefault="00A568A1">
            <w:pPr>
              <w:pStyle w:val="TABLEROW"/>
            </w:pPr>
            <w:r>
              <w:t>Greater than $80K</w:t>
            </w:r>
          </w:p>
        </w:tc>
        <w:tc>
          <w:tcPr>
            <w:tcW w:w="1476" w:type="dxa"/>
          </w:tcPr>
          <w:p w14:paraId="5BB63623" w14:textId="77777777" w:rsidR="00000000" w:rsidRDefault="00A568A1">
            <w:pPr>
              <w:pStyle w:val="TABLEROW"/>
            </w:pPr>
            <w:r>
              <w:t>7</w:t>
            </w:r>
          </w:p>
        </w:tc>
        <w:tc>
          <w:tcPr>
            <w:tcW w:w="2496" w:type="dxa"/>
          </w:tcPr>
          <w:p w14:paraId="7847BDAB" w14:textId="77777777" w:rsidR="00000000" w:rsidRDefault="00A568A1">
            <w:pPr>
              <w:pStyle w:val="TABLEROW"/>
            </w:pPr>
            <w:r>
              <w:t>GMT Copay Required</w:t>
            </w:r>
          </w:p>
          <w:p w14:paraId="73444AF8" w14:textId="77777777" w:rsidR="00000000" w:rsidRDefault="00A568A1">
            <w:pPr>
              <w:pStyle w:val="TABLEROW"/>
              <w:rPr>
                <w:b/>
                <w:bCs/>
              </w:rPr>
            </w:pPr>
            <w:r>
              <w:rPr>
                <w:b/>
                <w:bCs/>
              </w:rPr>
              <w:t>If GMT threshold is greater than MT threshold</w:t>
            </w:r>
          </w:p>
        </w:tc>
      </w:tr>
      <w:tr w:rsidR="00000000" w14:paraId="7AC51779" w14:textId="77777777">
        <w:tblPrEx>
          <w:tblCellMar>
            <w:top w:w="0" w:type="dxa"/>
            <w:bottom w:w="0" w:type="dxa"/>
          </w:tblCellMar>
        </w:tblPrEx>
        <w:trPr>
          <w:jc w:val="center"/>
        </w:trPr>
        <w:tc>
          <w:tcPr>
            <w:tcW w:w="1405" w:type="dxa"/>
          </w:tcPr>
          <w:p w14:paraId="0E915F96" w14:textId="77777777" w:rsidR="00000000" w:rsidRDefault="00A568A1">
            <w:pPr>
              <w:pStyle w:val="TABLEROW"/>
            </w:pPr>
            <w:r>
              <w:t>Less than MT</w:t>
            </w:r>
          </w:p>
        </w:tc>
        <w:tc>
          <w:tcPr>
            <w:tcW w:w="1887" w:type="dxa"/>
          </w:tcPr>
          <w:p w14:paraId="7A0CB071" w14:textId="77777777" w:rsidR="00000000" w:rsidRDefault="00A568A1">
            <w:pPr>
              <w:pStyle w:val="TABLEROW"/>
            </w:pPr>
            <w:r>
              <w:t>Greater than $80K</w:t>
            </w:r>
          </w:p>
        </w:tc>
        <w:tc>
          <w:tcPr>
            <w:tcW w:w="1476" w:type="dxa"/>
          </w:tcPr>
          <w:p w14:paraId="53D9CCAC" w14:textId="77777777" w:rsidR="00000000" w:rsidRDefault="00A568A1">
            <w:pPr>
              <w:pStyle w:val="TABLEROW"/>
            </w:pPr>
            <w:r>
              <w:t>8</w:t>
            </w:r>
          </w:p>
        </w:tc>
        <w:tc>
          <w:tcPr>
            <w:tcW w:w="2496" w:type="dxa"/>
          </w:tcPr>
          <w:p w14:paraId="658DB26E" w14:textId="77777777" w:rsidR="00000000" w:rsidRDefault="00A568A1">
            <w:pPr>
              <w:pStyle w:val="TABLEROW"/>
            </w:pPr>
            <w:r>
              <w:t>MT Copay Required</w:t>
            </w:r>
          </w:p>
          <w:p w14:paraId="08031EE6" w14:textId="77777777" w:rsidR="00000000" w:rsidRDefault="00A568A1">
            <w:pPr>
              <w:pStyle w:val="TABLEROW"/>
              <w:rPr>
                <w:b/>
                <w:bCs/>
              </w:rPr>
            </w:pPr>
            <w:r>
              <w:rPr>
                <w:b/>
                <w:bCs/>
              </w:rPr>
              <w:t>If GMT threshold is less than MT threshold</w:t>
            </w:r>
          </w:p>
        </w:tc>
      </w:tr>
    </w:tbl>
    <w:p w14:paraId="76226674" w14:textId="77777777" w:rsidR="00000000" w:rsidRDefault="00A568A1"/>
    <w:p w14:paraId="20C166C1" w14:textId="77777777" w:rsidR="00A568A1" w:rsidRDefault="00A568A1">
      <w:bookmarkStart w:id="28" w:name="_GoBack"/>
      <w:bookmarkEnd w:id="28"/>
    </w:p>
    <w:sectPr w:rsidR="00A568A1">
      <w:head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8E628" w14:textId="77777777" w:rsidR="00A568A1" w:rsidRDefault="00A568A1">
      <w:r>
        <w:separator/>
      </w:r>
    </w:p>
  </w:endnote>
  <w:endnote w:type="continuationSeparator" w:id="0">
    <w:p w14:paraId="745F08B6" w14:textId="77777777" w:rsidR="00A568A1" w:rsidRDefault="00A56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069B6" w14:textId="77777777" w:rsidR="00000000" w:rsidRDefault="00A568A1">
    <w:pPr>
      <w:pStyle w:val="Footer"/>
      <w:rPr>
        <w:rStyle w:val="PageNumber"/>
      </w:rPr>
    </w:pPr>
    <w:r>
      <w:t>November 2002</w:t>
    </w:r>
    <w:r>
      <w:tab/>
      <w:t>GMT Release Notes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14:paraId="242455BE" w14:textId="77777777" w:rsidR="00000000" w:rsidRDefault="00A568A1">
    <w:pPr>
      <w:pStyle w:val="Footer"/>
    </w:pPr>
    <w:r>
      <w:rPr>
        <w:rStyle w:val="PageNumber"/>
      </w:rPr>
      <w:tab/>
      <w:t>IVMB*2*686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F39BF" w14:textId="77777777" w:rsidR="00000000" w:rsidRDefault="00A568A1">
    <w:pPr>
      <w:pStyle w:val="Footer"/>
      <w:rPr>
        <w:rStyle w:val="PageNumber"/>
      </w:rPr>
    </w:pPr>
    <w:r>
      <w:t>December 2002</w:t>
    </w:r>
    <w:r>
      <w:tab/>
      <w:t>GMT Release Notes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p w14:paraId="157729CF" w14:textId="77777777" w:rsidR="00000000" w:rsidRDefault="00A568A1">
    <w:pPr>
      <w:pStyle w:val="Footer"/>
    </w:pPr>
    <w:r>
      <w:rPr>
        <w:rStyle w:val="PageNumber"/>
      </w:rPr>
      <w:tab/>
      <w:t>IVMB*2*686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8BF47" w14:textId="77777777" w:rsidR="00000000" w:rsidRDefault="00A568A1">
    <w:pPr>
      <w:pStyle w:val="Footer"/>
      <w:rPr>
        <w:rStyle w:val="PageNumber"/>
      </w:rPr>
    </w:pPr>
    <w:r>
      <w:t>December 2002</w:t>
    </w:r>
    <w:r>
      <w:tab/>
      <w:t>GMT Release Notes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14:paraId="387EED39" w14:textId="77777777" w:rsidR="00000000" w:rsidRDefault="00A568A1">
    <w:pPr>
      <w:pStyle w:val="Footer"/>
    </w:pPr>
    <w:r>
      <w:rPr>
        <w:rStyle w:val="PageNumber"/>
      </w:rPr>
      <w:tab/>
      <w:t>IVMB*2*686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0E4AC" w14:textId="77777777" w:rsidR="00A568A1" w:rsidRDefault="00A568A1">
      <w:r>
        <w:separator/>
      </w:r>
    </w:p>
  </w:footnote>
  <w:footnote w:type="continuationSeparator" w:id="0">
    <w:p w14:paraId="5A2A31FB" w14:textId="77777777" w:rsidR="00A568A1" w:rsidRDefault="00A568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442DD" w14:textId="77777777" w:rsidR="00000000" w:rsidRDefault="00A568A1">
    <w:pPr>
      <w:pStyle w:val="Header"/>
    </w:pPr>
    <w:r>
      <w:tab/>
      <w:t>Introduction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E03B2" w14:textId="77777777" w:rsidR="00000000" w:rsidRDefault="00A568A1">
    <w:pPr>
      <w:pStyle w:val="Header"/>
    </w:pPr>
    <w:r>
      <w:tab/>
      <w:t>User Release Notes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B16E5" w14:textId="77777777" w:rsidR="00000000" w:rsidRDefault="00A568A1">
    <w:pPr>
      <w:pStyle w:val="Header"/>
    </w:pPr>
    <w:r>
      <w:tab/>
      <w:t>Technical Release Notes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84BFA" w14:textId="77777777" w:rsidR="00000000" w:rsidRDefault="00A568A1">
    <w:pPr>
      <w:pStyle w:val="Header"/>
    </w:pPr>
    <w:r>
      <w:rPr>
        <w:noProof/>
      </w:rPr>
      <w:pict w14:anchorId="32FFE0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168.75pt;margin-top:3.35pt;width:49.5pt;height:24.75pt;z-index:1">
          <v:shadow on="t"/>
          <v:textpath style="font-family:&quot;Arial Black&quot;;font-size:18pt;font-style:italic;v-text-kern:t" trim="t" fitpath="t" string="Draft"/>
        </v:shape>
      </w:pict>
    </w:r>
    <w:r>
      <w:tab/>
      <w:t>Technical Release No</w:t>
    </w:r>
    <w:r>
      <w:t>tes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AF2D3" w14:textId="77777777" w:rsidR="00000000" w:rsidRDefault="00A568A1">
    <w:pPr>
      <w:pStyle w:val="Header"/>
    </w:pPr>
    <w:r>
      <w:rPr>
        <w:noProof/>
      </w:rPr>
      <w:pict w14:anchorId="1D6555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168.75pt;margin-top:3.35pt;width:49.5pt;height:24.75pt;z-index:2">
          <v:shadow on="t"/>
          <v:textpath style="font-family:&quot;Arial Black&quot;;font-size:18pt;font-style:italic;v-text-kern:t" trim="t" fitpath="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3066C"/>
    <w:multiLevelType w:val="hybridMultilevel"/>
    <w:tmpl w:val="3BC6702A"/>
    <w:lvl w:ilvl="0" w:tplc="4B100A1C">
      <w:start w:val="1"/>
      <w:numFmt w:val="bullet"/>
      <w:lvlText w:val=""/>
      <w:lvlJc w:val="left"/>
      <w:pPr>
        <w:tabs>
          <w:tab w:val="num" w:pos="360"/>
        </w:tabs>
        <w:ind w:left="360" w:hanging="360"/>
      </w:pPr>
      <w:rPr>
        <w:rFonts w:ascii="Symbol" w:hAnsi="Symbol"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E4103E0"/>
    <w:multiLevelType w:val="hybridMultilevel"/>
    <w:tmpl w:val="21BC6E4C"/>
    <w:lvl w:ilvl="0" w:tplc="399C9248">
      <w:start w:val="1"/>
      <w:numFmt w:val="decimal"/>
      <w:lvlText w:val="%1."/>
      <w:lvlJc w:val="left"/>
      <w:pPr>
        <w:tabs>
          <w:tab w:val="num" w:pos="360"/>
        </w:tabs>
        <w:ind w:left="360" w:hanging="360"/>
      </w:pPr>
      <w:rPr>
        <w:rFonts w:hint="default"/>
      </w:rPr>
    </w:lvl>
    <w:lvl w:ilvl="1" w:tplc="66FEB3B6">
      <w:numFmt w:val="bullet"/>
      <w:lvlText w:val="-"/>
      <w:lvlJc w:val="left"/>
      <w:pPr>
        <w:tabs>
          <w:tab w:val="num" w:pos="720"/>
        </w:tabs>
        <w:ind w:left="720" w:hanging="360"/>
      </w:pPr>
      <w:rPr>
        <w:rFonts w:ascii="Times New Roman" w:eastAsia="Times New Roman" w:hAnsi="Times New Roman" w:cs="Times New Roman" w:hint="default"/>
      </w:rPr>
    </w:lvl>
    <w:lvl w:ilvl="2" w:tplc="4B100A1C">
      <w:start w:val="1"/>
      <w:numFmt w:val="bullet"/>
      <w:lvlText w:val=""/>
      <w:lvlJc w:val="left"/>
      <w:pPr>
        <w:tabs>
          <w:tab w:val="num" w:pos="1620"/>
        </w:tabs>
        <w:ind w:left="1620" w:hanging="360"/>
      </w:pPr>
      <w:rPr>
        <w:rFonts w:ascii="Symbol" w:hAnsi="Symbol" w:cs="Times New Roman"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156A4703"/>
    <w:multiLevelType w:val="hybridMultilevel"/>
    <w:tmpl w:val="21BC6E4C"/>
    <w:lvl w:ilvl="0" w:tplc="4B100A1C">
      <w:start w:val="1"/>
      <w:numFmt w:val="bullet"/>
      <w:lvlText w:val=""/>
      <w:lvlJc w:val="left"/>
      <w:pPr>
        <w:tabs>
          <w:tab w:val="num" w:pos="360"/>
        </w:tabs>
        <w:ind w:left="360" w:hanging="360"/>
      </w:pPr>
      <w:rPr>
        <w:rFonts w:ascii="Symbol" w:hAnsi="Symbol" w:cs="Times New Roman"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 w15:restartNumberingAfterBreak="0">
    <w:nsid w:val="1D487A11"/>
    <w:multiLevelType w:val="hybridMultilevel"/>
    <w:tmpl w:val="77C08066"/>
    <w:lvl w:ilvl="0" w:tplc="4B100A1C">
      <w:start w:val="1"/>
      <w:numFmt w:val="bullet"/>
      <w:lvlText w:val=""/>
      <w:lvlJc w:val="left"/>
      <w:pPr>
        <w:tabs>
          <w:tab w:val="num" w:pos="360"/>
        </w:tabs>
        <w:ind w:left="360" w:hanging="360"/>
      </w:pPr>
      <w:rPr>
        <w:rFonts w:ascii="Symbol" w:hAnsi="Symbol" w:cs="Times New Roman" w:hint="default"/>
      </w:rPr>
    </w:lvl>
    <w:lvl w:ilvl="1" w:tplc="66FEB3B6">
      <w:numFmt w:val="bullet"/>
      <w:lvlText w:val="-"/>
      <w:lvlJc w:val="left"/>
      <w:pPr>
        <w:tabs>
          <w:tab w:val="num" w:pos="720"/>
        </w:tabs>
        <w:ind w:left="720" w:hanging="360"/>
      </w:pPr>
      <w:rPr>
        <w:rFonts w:ascii="Times New Roman" w:eastAsia="Times New Roman" w:hAnsi="Times New Roman"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9C6DCF"/>
    <w:multiLevelType w:val="hybridMultilevel"/>
    <w:tmpl w:val="FA0AE3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3413FE7"/>
    <w:multiLevelType w:val="hybridMultilevel"/>
    <w:tmpl w:val="EC6448AE"/>
    <w:lvl w:ilvl="0" w:tplc="0409000F">
      <w:start w:val="1"/>
      <w:numFmt w:val="decimal"/>
      <w:lvlText w:val="%1."/>
      <w:lvlJc w:val="left"/>
      <w:pPr>
        <w:tabs>
          <w:tab w:val="num" w:pos="360"/>
        </w:tabs>
        <w:ind w:left="360" w:hanging="360"/>
      </w:pPr>
    </w:lvl>
    <w:lvl w:ilvl="1" w:tplc="66FEB3B6">
      <w:numFmt w:val="bullet"/>
      <w:lvlText w:val="-"/>
      <w:lvlJc w:val="left"/>
      <w:pPr>
        <w:tabs>
          <w:tab w:val="num" w:pos="720"/>
        </w:tabs>
        <w:ind w:left="720" w:hanging="360"/>
      </w:pPr>
      <w:rPr>
        <w:rFonts w:ascii="Times New Roman" w:eastAsia="Times New Roman" w:hAnsi="Times New Roman" w:cs="Times New Roman" w:hint="default"/>
      </w:rPr>
    </w:lvl>
    <w:lvl w:ilvl="2" w:tplc="C4684684">
      <w:start w:val="6"/>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3692627"/>
    <w:multiLevelType w:val="hybridMultilevel"/>
    <w:tmpl w:val="E4285624"/>
    <w:lvl w:ilvl="0" w:tplc="4B100A1C">
      <w:start w:val="1"/>
      <w:numFmt w:val="bullet"/>
      <w:lvlText w:val=""/>
      <w:lvlJc w:val="left"/>
      <w:pPr>
        <w:tabs>
          <w:tab w:val="num" w:pos="720"/>
        </w:tabs>
        <w:ind w:left="72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0440DD"/>
    <w:multiLevelType w:val="hybridMultilevel"/>
    <w:tmpl w:val="DFEC0600"/>
    <w:lvl w:ilvl="0" w:tplc="4B100A1C">
      <w:start w:val="1"/>
      <w:numFmt w:val="bullet"/>
      <w:lvlText w:val=""/>
      <w:lvlJc w:val="left"/>
      <w:pPr>
        <w:tabs>
          <w:tab w:val="num" w:pos="360"/>
        </w:tabs>
        <w:ind w:left="36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3F644A"/>
    <w:multiLevelType w:val="hybridMultilevel"/>
    <w:tmpl w:val="645A52B8"/>
    <w:lvl w:ilvl="0" w:tplc="4B100A1C">
      <w:start w:val="1"/>
      <w:numFmt w:val="bullet"/>
      <w:lvlText w:val=""/>
      <w:lvlJc w:val="left"/>
      <w:pPr>
        <w:tabs>
          <w:tab w:val="num" w:pos="720"/>
        </w:tabs>
        <w:ind w:left="72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8A6BEC"/>
    <w:multiLevelType w:val="hybridMultilevel"/>
    <w:tmpl w:val="6966F8FC"/>
    <w:lvl w:ilvl="0" w:tplc="4B100A1C">
      <w:start w:val="1"/>
      <w:numFmt w:val="bullet"/>
      <w:lvlText w:val=""/>
      <w:lvlJc w:val="left"/>
      <w:pPr>
        <w:tabs>
          <w:tab w:val="num" w:pos="360"/>
        </w:tabs>
        <w:ind w:left="360" w:hanging="360"/>
      </w:pPr>
      <w:rPr>
        <w:rFonts w:ascii="Symbol" w:hAnsi="Symbol" w:cs="Times New Roman"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431F4B8E"/>
    <w:multiLevelType w:val="hybridMultilevel"/>
    <w:tmpl w:val="78D64ED0"/>
    <w:lvl w:ilvl="0" w:tplc="4B100A1C">
      <w:start w:val="1"/>
      <w:numFmt w:val="bullet"/>
      <w:lvlText w:val=""/>
      <w:lvlJc w:val="left"/>
      <w:pPr>
        <w:tabs>
          <w:tab w:val="num" w:pos="360"/>
        </w:tabs>
        <w:ind w:left="360" w:hanging="360"/>
      </w:pPr>
      <w:rPr>
        <w:rFonts w:ascii="Symbol" w:hAnsi="Symbol"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DB60572"/>
    <w:multiLevelType w:val="hybridMultilevel"/>
    <w:tmpl w:val="77C08066"/>
    <w:lvl w:ilvl="0" w:tplc="4B100A1C">
      <w:start w:val="1"/>
      <w:numFmt w:val="bullet"/>
      <w:lvlText w:val=""/>
      <w:lvlJc w:val="left"/>
      <w:pPr>
        <w:tabs>
          <w:tab w:val="num" w:pos="360"/>
        </w:tabs>
        <w:ind w:left="360" w:hanging="360"/>
      </w:pPr>
      <w:rPr>
        <w:rFonts w:ascii="Symbol" w:hAnsi="Symbol" w:cs="Times New Roman" w:hint="default"/>
      </w:rPr>
    </w:lvl>
    <w:lvl w:ilvl="1" w:tplc="7E9EFBC0">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EE56D7E"/>
    <w:multiLevelType w:val="hybridMultilevel"/>
    <w:tmpl w:val="77C08066"/>
    <w:lvl w:ilvl="0" w:tplc="4B100A1C">
      <w:start w:val="1"/>
      <w:numFmt w:val="bullet"/>
      <w:lvlText w:val=""/>
      <w:lvlJc w:val="left"/>
      <w:pPr>
        <w:tabs>
          <w:tab w:val="num" w:pos="360"/>
        </w:tabs>
        <w:ind w:left="360" w:hanging="360"/>
      </w:pPr>
      <w:rPr>
        <w:rFonts w:ascii="Symbol" w:hAnsi="Symbol" w:cs="Times New Roman" w:hint="default"/>
      </w:rPr>
    </w:lvl>
    <w:lvl w:ilvl="1" w:tplc="66FEB3B6">
      <w:numFmt w:val="bullet"/>
      <w:lvlText w:val="-"/>
      <w:lvlJc w:val="left"/>
      <w:pPr>
        <w:tabs>
          <w:tab w:val="num" w:pos="720"/>
        </w:tabs>
        <w:ind w:left="720" w:hanging="360"/>
      </w:pPr>
      <w:rPr>
        <w:rFonts w:ascii="Times New Roman" w:eastAsia="Times New Roman" w:hAnsi="Times New Roman"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F8979FD"/>
    <w:multiLevelType w:val="hybridMultilevel"/>
    <w:tmpl w:val="80E689C6"/>
    <w:lvl w:ilvl="0" w:tplc="4B100A1C">
      <w:start w:val="1"/>
      <w:numFmt w:val="bullet"/>
      <w:lvlText w:val=""/>
      <w:lvlJc w:val="left"/>
      <w:pPr>
        <w:tabs>
          <w:tab w:val="num" w:pos="360"/>
        </w:tabs>
        <w:ind w:left="360" w:hanging="360"/>
      </w:pPr>
      <w:rPr>
        <w:rFonts w:ascii="Symbol" w:hAnsi="Symbol"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6F40C6E"/>
    <w:multiLevelType w:val="hybridMultilevel"/>
    <w:tmpl w:val="FDCAD1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7517D77"/>
    <w:multiLevelType w:val="hybridMultilevel"/>
    <w:tmpl w:val="EC6448AE"/>
    <w:lvl w:ilvl="0" w:tplc="4B100A1C">
      <w:start w:val="1"/>
      <w:numFmt w:val="bullet"/>
      <w:lvlText w:val=""/>
      <w:lvlJc w:val="left"/>
      <w:pPr>
        <w:tabs>
          <w:tab w:val="num" w:pos="360"/>
        </w:tabs>
        <w:ind w:left="360" w:hanging="360"/>
      </w:pPr>
      <w:rPr>
        <w:rFonts w:ascii="Symbol" w:hAnsi="Symbol" w:cs="Times New Roman" w:hint="default"/>
      </w:rPr>
    </w:lvl>
    <w:lvl w:ilvl="1" w:tplc="7CA8D2D6">
      <w:start w:val="1"/>
      <w:numFmt w:val="lowerLetter"/>
      <w:lvlText w:val="%2."/>
      <w:lvlJc w:val="left"/>
      <w:pPr>
        <w:tabs>
          <w:tab w:val="num" w:pos="1080"/>
        </w:tabs>
        <w:ind w:left="1080" w:hanging="360"/>
      </w:pPr>
      <w:rPr>
        <w:rFonts w:hint="default"/>
      </w:rPr>
    </w:lvl>
    <w:lvl w:ilvl="2" w:tplc="C4684684">
      <w:start w:val="6"/>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B807F51"/>
    <w:multiLevelType w:val="hybridMultilevel"/>
    <w:tmpl w:val="301CF568"/>
    <w:lvl w:ilvl="0" w:tplc="4B100A1C">
      <w:start w:val="1"/>
      <w:numFmt w:val="bullet"/>
      <w:lvlText w:val=""/>
      <w:lvlJc w:val="left"/>
      <w:pPr>
        <w:tabs>
          <w:tab w:val="num" w:pos="360"/>
        </w:tabs>
        <w:ind w:left="360" w:hanging="360"/>
      </w:pPr>
      <w:rPr>
        <w:rFonts w:ascii="Symbol" w:hAnsi="Symbol"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FB97637"/>
    <w:multiLevelType w:val="hybridMultilevel"/>
    <w:tmpl w:val="B658BB9A"/>
    <w:lvl w:ilvl="0" w:tplc="4B100A1C">
      <w:start w:val="1"/>
      <w:numFmt w:val="bullet"/>
      <w:lvlText w:val=""/>
      <w:lvlJc w:val="left"/>
      <w:pPr>
        <w:tabs>
          <w:tab w:val="num" w:pos="720"/>
        </w:tabs>
        <w:ind w:left="72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DB3552"/>
    <w:multiLevelType w:val="hybridMultilevel"/>
    <w:tmpl w:val="9AB0C1A4"/>
    <w:lvl w:ilvl="0" w:tplc="4B100A1C">
      <w:start w:val="1"/>
      <w:numFmt w:val="bullet"/>
      <w:lvlText w:val=""/>
      <w:lvlJc w:val="left"/>
      <w:pPr>
        <w:tabs>
          <w:tab w:val="num" w:pos="720"/>
        </w:tabs>
        <w:ind w:left="72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C648EE"/>
    <w:multiLevelType w:val="hybridMultilevel"/>
    <w:tmpl w:val="43DC9B14"/>
    <w:lvl w:ilvl="0" w:tplc="4B100A1C">
      <w:start w:val="1"/>
      <w:numFmt w:val="bullet"/>
      <w:lvlText w:val=""/>
      <w:lvlJc w:val="left"/>
      <w:pPr>
        <w:tabs>
          <w:tab w:val="num" w:pos="720"/>
        </w:tabs>
        <w:ind w:left="72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292FC1"/>
    <w:multiLevelType w:val="hybridMultilevel"/>
    <w:tmpl w:val="60C6E85C"/>
    <w:lvl w:ilvl="0" w:tplc="4B100A1C">
      <w:start w:val="1"/>
      <w:numFmt w:val="bullet"/>
      <w:lvlText w:val=""/>
      <w:lvlJc w:val="left"/>
      <w:pPr>
        <w:tabs>
          <w:tab w:val="num" w:pos="720"/>
        </w:tabs>
        <w:ind w:left="72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31581B"/>
    <w:multiLevelType w:val="hybridMultilevel"/>
    <w:tmpl w:val="77C08066"/>
    <w:lvl w:ilvl="0" w:tplc="4B100A1C">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0"/>
  </w:num>
  <w:num w:numId="3">
    <w:abstractNumId w:val="21"/>
  </w:num>
  <w:num w:numId="4">
    <w:abstractNumId w:val="18"/>
  </w:num>
  <w:num w:numId="5">
    <w:abstractNumId w:val="2"/>
  </w:num>
  <w:num w:numId="6">
    <w:abstractNumId w:val="1"/>
  </w:num>
  <w:num w:numId="7">
    <w:abstractNumId w:val="15"/>
  </w:num>
  <w:num w:numId="8">
    <w:abstractNumId w:val="5"/>
  </w:num>
  <w:num w:numId="9">
    <w:abstractNumId w:val="7"/>
  </w:num>
  <w:num w:numId="10">
    <w:abstractNumId w:val="12"/>
  </w:num>
  <w:num w:numId="11">
    <w:abstractNumId w:val="11"/>
  </w:num>
  <w:num w:numId="12">
    <w:abstractNumId w:val="3"/>
  </w:num>
  <w:num w:numId="13">
    <w:abstractNumId w:val="9"/>
  </w:num>
  <w:num w:numId="14">
    <w:abstractNumId w:val="6"/>
  </w:num>
  <w:num w:numId="15">
    <w:abstractNumId w:val="19"/>
  </w:num>
  <w:num w:numId="16">
    <w:abstractNumId w:val="20"/>
  </w:num>
  <w:num w:numId="17">
    <w:abstractNumId w:val="17"/>
  </w:num>
  <w:num w:numId="18">
    <w:abstractNumId w:val="13"/>
  </w:num>
  <w:num w:numId="19">
    <w:abstractNumId w:val="8"/>
  </w:num>
  <w:num w:numId="20">
    <w:abstractNumId w:val="16"/>
  </w:num>
  <w:num w:numId="21">
    <w:abstractNumId w:val="4"/>
  </w:num>
  <w:num w:numId="22">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3F23"/>
    <w:rsid w:val="006B3FD1"/>
    <w:rsid w:val="00A568A1"/>
    <w:rsid w:val="00F63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07B3932A"/>
  <w15:chartTrackingRefBased/>
  <w15:docId w15:val="{2679B2BC-0BF8-4AD1-B360-376A5D5BA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Cs/>
      <w:kern w:val="32"/>
      <w:sz w:val="36"/>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outlineLvl w:val="2"/>
    </w:pPr>
    <w:rPr>
      <w:rFonts w:ascii="Arial" w:hAnsi="Arial" w:cs="Arial"/>
      <w:sz w:val="28"/>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i/>
      <w:i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3">
    <w:name w:val="Bullet3"/>
    <w:basedOn w:val="Normal"/>
    <w:pPr>
      <w:ind w:left="1080" w:hanging="360"/>
    </w:pPr>
    <w:rPr>
      <w:sz w:val="20"/>
      <w:szCs w:val="20"/>
    </w:rPr>
  </w:style>
  <w:style w:type="character" w:styleId="Hyperlink">
    <w:name w:val="Hyperlink"/>
    <w:semiHidden/>
    <w:rPr>
      <w:color w:val="0000FF"/>
      <w:u w:val="single"/>
    </w:rPr>
  </w:style>
  <w:style w:type="paragraph" w:customStyle="1" w:styleId="TITLEMAJOR">
    <w:name w:val="TITLE MAJOR"/>
    <w:basedOn w:val="Title"/>
    <w:pPr>
      <w:spacing w:before="0" w:after="0"/>
    </w:pPr>
    <w:rPr>
      <w:b w:val="0"/>
      <w:caps/>
      <w:sz w:val="48"/>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TITLEMINOR">
    <w:name w:val="TITLE MINOR"/>
    <w:basedOn w:val="TITLEMAJOR"/>
    <w:rPr>
      <w:caps w:val="0"/>
    </w:rPr>
  </w:style>
  <w:style w:type="paragraph" w:customStyle="1" w:styleId="HEADING20">
    <w:name w:val="HEADING 2"/>
    <w:basedOn w:val="Heading2"/>
    <w:pPr>
      <w:spacing w:before="0" w:after="0"/>
    </w:pPr>
    <w:rPr>
      <w:sz w:val="32"/>
    </w:rPr>
  </w:style>
  <w:style w:type="paragraph" w:styleId="Index1">
    <w:name w:val="index 1"/>
    <w:basedOn w:val="Normal"/>
    <w:next w:val="Normal"/>
    <w:semiHidden/>
    <w:pPr>
      <w:tabs>
        <w:tab w:val="right" w:leader="dot" w:pos="9360"/>
      </w:tabs>
      <w:ind w:left="240" w:hanging="240"/>
    </w:pPr>
  </w:style>
  <w:style w:type="paragraph" w:customStyle="1" w:styleId="TitlePage">
    <w:name w:val="Title Page"/>
    <w:basedOn w:val="Normal"/>
    <w:pPr>
      <w:overflowPunct w:val="0"/>
      <w:autoSpaceDE w:val="0"/>
      <w:autoSpaceDN w:val="0"/>
      <w:adjustRightInd w:val="0"/>
      <w:jc w:val="center"/>
      <w:textAlignment w:val="baseline"/>
    </w:pPr>
    <w:rPr>
      <w:rFonts w:ascii="Arial" w:hAnsi="Arial"/>
      <w:szCs w:val="20"/>
    </w:rPr>
  </w:style>
  <w:style w:type="paragraph" w:styleId="Footer">
    <w:name w:val="footer"/>
    <w:basedOn w:val="Normal"/>
    <w:semiHidden/>
    <w:pPr>
      <w:tabs>
        <w:tab w:val="center" w:pos="4320"/>
        <w:tab w:val="right" w:pos="9360"/>
      </w:tabs>
    </w:pPr>
    <w:rPr>
      <w:sz w:val="20"/>
    </w:rPr>
  </w:style>
  <w:style w:type="paragraph" w:styleId="TOC1">
    <w:name w:val="toc 1"/>
    <w:basedOn w:val="Normal"/>
    <w:next w:val="Normal"/>
    <w:semiHidden/>
    <w:pPr>
      <w:spacing w:before="120" w:after="120"/>
    </w:pPr>
    <w:rPr>
      <w:b/>
      <w:bCs/>
      <w:caps/>
    </w:rPr>
  </w:style>
  <w:style w:type="paragraph" w:styleId="TOC2">
    <w:name w:val="toc 2"/>
    <w:basedOn w:val="Normal"/>
    <w:next w:val="Normal"/>
    <w:semiHidden/>
    <w:pPr>
      <w:ind w:left="240"/>
    </w:pPr>
    <w:rPr>
      <w:smallCaps/>
    </w:rPr>
  </w:style>
  <w:style w:type="paragraph" w:styleId="TOC3">
    <w:name w:val="toc 3"/>
    <w:basedOn w:val="Normal"/>
    <w:next w:val="Normal"/>
    <w:semiHidden/>
    <w:pPr>
      <w:ind w:left="480"/>
    </w:pPr>
    <w:rPr>
      <w:i/>
      <w:iCs/>
    </w:rPr>
  </w:style>
  <w:style w:type="paragraph" w:customStyle="1" w:styleId="TABLEROW">
    <w:name w:val="TABLE ROW"/>
    <w:basedOn w:val="Normal"/>
    <w:rPr>
      <w:sz w:val="20"/>
    </w:rPr>
  </w:style>
  <w:style w:type="character" w:customStyle="1" w:styleId="TABLEHEADING">
    <w:name w:val="TABLE HEADING"/>
    <w:rPr>
      <w:rFonts w:ascii="Times New Roman Bold" w:hAnsi="Times New Roman Bold"/>
      <w:b/>
      <w:dstrike w:val="0"/>
      <w:sz w:val="20"/>
      <w:bdr w:val="none" w:sz="0" w:space="0" w:color="auto"/>
      <w:vertAlign w:val="baseline"/>
    </w:rPr>
  </w:style>
  <w:style w:type="paragraph" w:styleId="Header">
    <w:name w:val="header"/>
    <w:basedOn w:val="Normal"/>
    <w:semiHidden/>
    <w:pPr>
      <w:tabs>
        <w:tab w:val="right" w:pos="9360"/>
      </w:tabs>
    </w:pPr>
    <w:rPr>
      <w:sz w:val="20"/>
    </w:rPr>
  </w:style>
  <w:style w:type="paragraph" w:customStyle="1" w:styleId="Table">
    <w:name w:val="Table"/>
    <w:basedOn w:val="Normal"/>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line="180" w:lineRule="exact"/>
    </w:pPr>
    <w:rPr>
      <w:kern w:val="16"/>
      <w:sz w:val="16"/>
    </w:rPr>
  </w:style>
  <w:style w:type="character" w:customStyle="1" w:styleId="tableheading0">
    <w:name w:val="table heading"/>
    <w:rPr>
      <w:rFonts w:ascii="Times New Roman" w:hAnsi="Times New Roman"/>
      <w:dstrike w:val="0"/>
      <w:sz w:val="18"/>
      <w:vertAlign w:val="baseline"/>
    </w:rPr>
  </w:style>
  <w:style w:type="paragraph" w:customStyle="1" w:styleId="HEADING40">
    <w:name w:val="HEADING 4"/>
    <w:basedOn w:val="Normal"/>
    <w:rPr>
      <w:rFonts w:ascii="Arial" w:hAnsi="Arial"/>
    </w:rPr>
  </w:style>
  <w:style w:type="paragraph" w:customStyle="1" w:styleId="Paragraph4">
    <w:name w:val="Paragraph4"/>
    <w:basedOn w:val="Normal"/>
    <w:pPr>
      <w:spacing w:before="80"/>
      <w:ind w:left="720"/>
      <w:jc w:val="both"/>
    </w:pPr>
    <w:rPr>
      <w:sz w:val="20"/>
      <w:szCs w:val="20"/>
    </w:rPr>
  </w:style>
  <w:style w:type="paragraph" w:styleId="TOC4">
    <w:name w:val="toc 4"/>
    <w:basedOn w:val="Normal"/>
    <w:next w:val="Normal"/>
    <w:autoRedefine/>
    <w:semiHidden/>
    <w:pPr>
      <w:ind w:left="720"/>
    </w:pPr>
    <w:rPr>
      <w:szCs w:val="21"/>
    </w:rPr>
  </w:style>
  <w:style w:type="paragraph" w:styleId="TOC5">
    <w:name w:val="toc 5"/>
    <w:basedOn w:val="Normal"/>
    <w:next w:val="Normal"/>
    <w:autoRedefine/>
    <w:semiHidden/>
    <w:pPr>
      <w:ind w:left="960"/>
    </w:pPr>
    <w:rPr>
      <w:szCs w:val="21"/>
    </w:rPr>
  </w:style>
  <w:style w:type="paragraph" w:styleId="TOC6">
    <w:name w:val="toc 6"/>
    <w:basedOn w:val="Normal"/>
    <w:next w:val="Normal"/>
    <w:autoRedefine/>
    <w:semiHidden/>
    <w:pPr>
      <w:ind w:left="1200"/>
    </w:pPr>
    <w:rPr>
      <w:szCs w:val="21"/>
    </w:rPr>
  </w:style>
  <w:style w:type="paragraph" w:styleId="TOC7">
    <w:name w:val="toc 7"/>
    <w:basedOn w:val="Normal"/>
    <w:next w:val="Normal"/>
    <w:autoRedefine/>
    <w:semiHidden/>
    <w:pPr>
      <w:ind w:left="1440"/>
    </w:pPr>
    <w:rPr>
      <w:szCs w:val="21"/>
    </w:rPr>
  </w:style>
  <w:style w:type="paragraph" w:styleId="TOC8">
    <w:name w:val="toc 8"/>
    <w:basedOn w:val="Normal"/>
    <w:next w:val="Normal"/>
    <w:autoRedefine/>
    <w:semiHidden/>
    <w:pPr>
      <w:ind w:left="1680"/>
    </w:pPr>
    <w:rPr>
      <w:szCs w:val="21"/>
    </w:rPr>
  </w:style>
  <w:style w:type="paragraph" w:styleId="TOC9">
    <w:name w:val="toc 9"/>
    <w:basedOn w:val="Normal"/>
    <w:next w:val="Normal"/>
    <w:autoRedefine/>
    <w:semiHidden/>
    <w:pPr>
      <w:ind w:left="1920"/>
    </w:pPr>
    <w:rPr>
      <w:szCs w:val="21"/>
    </w:rPr>
  </w:style>
  <w:style w:type="character" w:styleId="FollowedHyperlink">
    <w:name w:val="FollowedHyperlink"/>
    <w:semiHidden/>
    <w:rPr>
      <w:color w:val="800080"/>
      <w:u w:val="single"/>
    </w:rPr>
  </w:style>
  <w:style w:type="paragraph" w:customStyle="1" w:styleId="Paragraph2">
    <w:name w:val="Paragraph2"/>
    <w:basedOn w:val="Normal"/>
    <w:pPr>
      <w:spacing w:before="80"/>
      <w:jc w:val="both"/>
    </w:pPr>
    <w:rPr>
      <w:sz w:val="20"/>
      <w:szCs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odyText">
    <w:name w:val="Body Text"/>
    <w:basedOn w:val="Normal"/>
    <w:semiHidden/>
    <w:rPr>
      <w:color w:val="000080"/>
      <w:sz w:val="20"/>
      <w:szCs w:val="20"/>
    </w:rPr>
  </w:style>
  <w:style w:type="paragraph" w:styleId="BodyText2">
    <w:name w:val="Body Text 2"/>
    <w:basedOn w:val="Normal"/>
    <w:semiHidden/>
    <w:rPr>
      <w:b/>
      <w:bCs/>
      <w:i/>
      <w:iCs/>
      <w:u w:val="single"/>
    </w:r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uduser.org/datasets/il.html" TargetMode="Externa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2980</Words>
  <Characters>16991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Gmt release notes</vt:lpstr>
    </vt:vector>
  </TitlesOfParts>
  <Company>Department of Veterans Affairs</Company>
  <LinksUpToDate>false</LinksUpToDate>
  <CharactersWithSpaces>19932</CharactersWithSpaces>
  <SharedDoc>false</SharedDoc>
  <HLinks>
    <vt:vector size="150" baseType="variant">
      <vt:variant>
        <vt:i4>8323171</vt:i4>
      </vt:variant>
      <vt:variant>
        <vt:i4>147</vt:i4>
      </vt:variant>
      <vt:variant>
        <vt:i4>0</vt:i4>
      </vt:variant>
      <vt:variant>
        <vt:i4>5</vt:i4>
      </vt:variant>
      <vt:variant>
        <vt:lpwstr>http://www.huduser.org/datasets/il.html</vt:lpwstr>
      </vt:variant>
      <vt:variant>
        <vt:lpwstr/>
      </vt:variant>
      <vt:variant>
        <vt:i4>1441845</vt:i4>
      </vt:variant>
      <vt:variant>
        <vt:i4>140</vt:i4>
      </vt:variant>
      <vt:variant>
        <vt:i4>0</vt:i4>
      </vt:variant>
      <vt:variant>
        <vt:i4>5</vt:i4>
      </vt:variant>
      <vt:variant>
        <vt:lpwstr/>
      </vt:variant>
      <vt:variant>
        <vt:lpwstr>_Toc22544661</vt:lpwstr>
      </vt:variant>
      <vt:variant>
        <vt:i4>1507381</vt:i4>
      </vt:variant>
      <vt:variant>
        <vt:i4>134</vt:i4>
      </vt:variant>
      <vt:variant>
        <vt:i4>0</vt:i4>
      </vt:variant>
      <vt:variant>
        <vt:i4>5</vt:i4>
      </vt:variant>
      <vt:variant>
        <vt:lpwstr/>
      </vt:variant>
      <vt:variant>
        <vt:lpwstr>_Toc22544660</vt:lpwstr>
      </vt:variant>
      <vt:variant>
        <vt:i4>1966134</vt:i4>
      </vt:variant>
      <vt:variant>
        <vt:i4>128</vt:i4>
      </vt:variant>
      <vt:variant>
        <vt:i4>0</vt:i4>
      </vt:variant>
      <vt:variant>
        <vt:i4>5</vt:i4>
      </vt:variant>
      <vt:variant>
        <vt:lpwstr/>
      </vt:variant>
      <vt:variant>
        <vt:lpwstr>_Toc22544659</vt:lpwstr>
      </vt:variant>
      <vt:variant>
        <vt:i4>2031670</vt:i4>
      </vt:variant>
      <vt:variant>
        <vt:i4>122</vt:i4>
      </vt:variant>
      <vt:variant>
        <vt:i4>0</vt:i4>
      </vt:variant>
      <vt:variant>
        <vt:i4>5</vt:i4>
      </vt:variant>
      <vt:variant>
        <vt:lpwstr/>
      </vt:variant>
      <vt:variant>
        <vt:lpwstr>_Toc22544658</vt:lpwstr>
      </vt:variant>
      <vt:variant>
        <vt:i4>1048630</vt:i4>
      </vt:variant>
      <vt:variant>
        <vt:i4>116</vt:i4>
      </vt:variant>
      <vt:variant>
        <vt:i4>0</vt:i4>
      </vt:variant>
      <vt:variant>
        <vt:i4>5</vt:i4>
      </vt:variant>
      <vt:variant>
        <vt:lpwstr/>
      </vt:variant>
      <vt:variant>
        <vt:lpwstr>_Toc22544657</vt:lpwstr>
      </vt:variant>
      <vt:variant>
        <vt:i4>1114166</vt:i4>
      </vt:variant>
      <vt:variant>
        <vt:i4>110</vt:i4>
      </vt:variant>
      <vt:variant>
        <vt:i4>0</vt:i4>
      </vt:variant>
      <vt:variant>
        <vt:i4>5</vt:i4>
      </vt:variant>
      <vt:variant>
        <vt:lpwstr/>
      </vt:variant>
      <vt:variant>
        <vt:lpwstr>_Toc22544656</vt:lpwstr>
      </vt:variant>
      <vt:variant>
        <vt:i4>1179702</vt:i4>
      </vt:variant>
      <vt:variant>
        <vt:i4>104</vt:i4>
      </vt:variant>
      <vt:variant>
        <vt:i4>0</vt:i4>
      </vt:variant>
      <vt:variant>
        <vt:i4>5</vt:i4>
      </vt:variant>
      <vt:variant>
        <vt:lpwstr/>
      </vt:variant>
      <vt:variant>
        <vt:lpwstr>_Toc22544655</vt:lpwstr>
      </vt:variant>
      <vt:variant>
        <vt:i4>1245238</vt:i4>
      </vt:variant>
      <vt:variant>
        <vt:i4>98</vt:i4>
      </vt:variant>
      <vt:variant>
        <vt:i4>0</vt:i4>
      </vt:variant>
      <vt:variant>
        <vt:i4>5</vt:i4>
      </vt:variant>
      <vt:variant>
        <vt:lpwstr/>
      </vt:variant>
      <vt:variant>
        <vt:lpwstr>_Toc22544654</vt:lpwstr>
      </vt:variant>
      <vt:variant>
        <vt:i4>1310774</vt:i4>
      </vt:variant>
      <vt:variant>
        <vt:i4>92</vt:i4>
      </vt:variant>
      <vt:variant>
        <vt:i4>0</vt:i4>
      </vt:variant>
      <vt:variant>
        <vt:i4>5</vt:i4>
      </vt:variant>
      <vt:variant>
        <vt:lpwstr/>
      </vt:variant>
      <vt:variant>
        <vt:lpwstr>_Toc22544653</vt:lpwstr>
      </vt:variant>
      <vt:variant>
        <vt:i4>1376310</vt:i4>
      </vt:variant>
      <vt:variant>
        <vt:i4>86</vt:i4>
      </vt:variant>
      <vt:variant>
        <vt:i4>0</vt:i4>
      </vt:variant>
      <vt:variant>
        <vt:i4>5</vt:i4>
      </vt:variant>
      <vt:variant>
        <vt:lpwstr/>
      </vt:variant>
      <vt:variant>
        <vt:lpwstr>_Toc22544652</vt:lpwstr>
      </vt:variant>
      <vt:variant>
        <vt:i4>1441846</vt:i4>
      </vt:variant>
      <vt:variant>
        <vt:i4>80</vt:i4>
      </vt:variant>
      <vt:variant>
        <vt:i4>0</vt:i4>
      </vt:variant>
      <vt:variant>
        <vt:i4>5</vt:i4>
      </vt:variant>
      <vt:variant>
        <vt:lpwstr/>
      </vt:variant>
      <vt:variant>
        <vt:lpwstr>_Toc22544651</vt:lpwstr>
      </vt:variant>
      <vt:variant>
        <vt:i4>1507382</vt:i4>
      </vt:variant>
      <vt:variant>
        <vt:i4>74</vt:i4>
      </vt:variant>
      <vt:variant>
        <vt:i4>0</vt:i4>
      </vt:variant>
      <vt:variant>
        <vt:i4>5</vt:i4>
      </vt:variant>
      <vt:variant>
        <vt:lpwstr/>
      </vt:variant>
      <vt:variant>
        <vt:lpwstr>_Toc22544650</vt:lpwstr>
      </vt:variant>
      <vt:variant>
        <vt:i4>1966135</vt:i4>
      </vt:variant>
      <vt:variant>
        <vt:i4>68</vt:i4>
      </vt:variant>
      <vt:variant>
        <vt:i4>0</vt:i4>
      </vt:variant>
      <vt:variant>
        <vt:i4>5</vt:i4>
      </vt:variant>
      <vt:variant>
        <vt:lpwstr/>
      </vt:variant>
      <vt:variant>
        <vt:lpwstr>_Toc22544649</vt:lpwstr>
      </vt:variant>
      <vt:variant>
        <vt:i4>2031671</vt:i4>
      </vt:variant>
      <vt:variant>
        <vt:i4>62</vt:i4>
      </vt:variant>
      <vt:variant>
        <vt:i4>0</vt:i4>
      </vt:variant>
      <vt:variant>
        <vt:i4>5</vt:i4>
      </vt:variant>
      <vt:variant>
        <vt:lpwstr/>
      </vt:variant>
      <vt:variant>
        <vt:lpwstr>_Toc22544648</vt:lpwstr>
      </vt:variant>
      <vt:variant>
        <vt:i4>1048631</vt:i4>
      </vt:variant>
      <vt:variant>
        <vt:i4>56</vt:i4>
      </vt:variant>
      <vt:variant>
        <vt:i4>0</vt:i4>
      </vt:variant>
      <vt:variant>
        <vt:i4>5</vt:i4>
      </vt:variant>
      <vt:variant>
        <vt:lpwstr/>
      </vt:variant>
      <vt:variant>
        <vt:lpwstr>_Toc22544647</vt:lpwstr>
      </vt:variant>
      <vt:variant>
        <vt:i4>1114167</vt:i4>
      </vt:variant>
      <vt:variant>
        <vt:i4>50</vt:i4>
      </vt:variant>
      <vt:variant>
        <vt:i4>0</vt:i4>
      </vt:variant>
      <vt:variant>
        <vt:i4>5</vt:i4>
      </vt:variant>
      <vt:variant>
        <vt:lpwstr/>
      </vt:variant>
      <vt:variant>
        <vt:lpwstr>_Toc22544646</vt:lpwstr>
      </vt:variant>
      <vt:variant>
        <vt:i4>1179703</vt:i4>
      </vt:variant>
      <vt:variant>
        <vt:i4>44</vt:i4>
      </vt:variant>
      <vt:variant>
        <vt:i4>0</vt:i4>
      </vt:variant>
      <vt:variant>
        <vt:i4>5</vt:i4>
      </vt:variant>
      <vt:variant>
        <vt:lpwstr/>
      </vt:variant>
      <vt:variant>
        <vt:lpwstr>_Toc22544645</vt:lpwstr>
      </vt:variant>
      <vt:variant>
        <vt:i4>1245239</vt:i4>
      </vt:variant>
      <vt:variant>
        <vt:i4>38</vt:i4>
      </vt:variant>
      <vt:variant>
        <vt:i4>0</vt:i4>
      </vt:variant>
      <vt:variant>
        <vt:i4>5</vt:i4>
      </vt:variant>
      <vt:variant>
        <vt:lpwstr/>
      </vt:variant>
      <vt:variant>
        <vt:lpwstr>_Toc22544644</vt:lpwstr>
      </vt:variant>
      <vt:variant>
        <vt:i4>1310775</vt:i4>
      </vt:variant>
      <vt:variant>
        <vt:i4>32</vt:i4>
      </vt:variant>
      <vt:variant>
        <vt:i4>0</vt:i4>
      </vt:variant>
      <vt:variant>
        <vt:i4>5</vt:i4>
      </vt:variant>
      <vt:variant>
        <vt:lpwstr/>
      </vt:variant>
      <vt:variant>
        <vt:lpwstr>_Toc22544643</vt:lpwstr>
      </vt:variant>
      <vt:variant>
        <vt:i4>1376311</vt:i4>
      </vt:variant>
      <vt:variant>
        <vt:i4>26</vt:i4>
      </vt:variant>
      <vt:variant>
        <vt:i4>0</vt:i4>
      </vt:variant>
      <vt:variant>
        <vt:i4>5</vt:i4>
      </vt:variant>
      <vt:variant>
        <vt:lpwstr/>
      </vt:variant>
      <vt:variant>
        <vt:lpwstr>_Toc22544642</vt:lpwstr>
      </vt:variant>
      <vt:variant>
        <vt:i4>1441847</vt:i4>
      </vt:variant>
      <vt:variant>
        <vt:i4>20</vt:i4>
      </vt:variant>
      <vt:variant>
        <vt:i4>0</vt:i4>
      </vt:variant>
      <vt:variant>
        <vt:i4>5</vt:i4>
      </vt:variant>
      <vt:variant>
        <vt:lpwstr/>
      </vt:variant>
      <vt:variant>
        <vt:lpwstr>_Toc22544641</vt:lpwstr>
      </vt:variant>
      <vt:variant>
        <vt:i4>1507383</vt:i4>
      </vt:variant>
      <vt:variant>
        <vt:i4>14</vt:i4>
      </vt:variant>
      <vt:variant>
        <vt:i4>0</vt:i4>
      </vt:variant>
      <vt:variant>
        <vt:i4>5</vt:i4>
      </vt:variant>
      <vt:variant>
        <vt:lpwstr/>
      </vt:variant>
      <vt:variant>
        <vt:lpwstr>_Toc22544640</vt:lpwstr>
      </vt:variant>
      <vt:variant>
        <vt:i4>1966128</vt:i4>
      </vt:variant>
      <vt:variant>
        <vt:i4>8</vt:i4>
      </vt:variant>
      <vt:variant>
        <vt:i4>0</vt:i4>
      </vt:variant>
      <vt:variant>
        <vt:i4>5</vt:i4>
      </vt:variant>
      <vt:variant>
        <vt:lpwstr/>
      </vt:variant>
      <vt:variant>
        <vt:lpwstr>_Toc22544639</vt:lpwstr>
      </vt:variant>
      <vt:variant>
        <vt:i4>2031664</vt:i4>
      </vt:variant>
      <vt:variant>
        <vt:i4>2</vt:i4>
      </vt:variant>
      <vt:variant>
        <vt:i4>0</vt:i4>
      </vt:variant>
      <vt:variant>
        <vt:i4>5</vt:i4>
      </vt:variant>
      <vt:variant>
        <vt:lpwstr/>
      </vt:variant>
      <vt:variant>
        <vt:lpwstr>_Toc22544638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Gmt release notes</dc:title>
  <dc:subject/>
  <dc:creator>Albany OI Field Office</dc:creator>
  <cp:keywords/>
  <dc:description/>
  <cp:lastModifiedBy>Lowery, Cindy</cp:lastModifiedBy>
  <cp:revision>3</cp:revision>
  <cp:lastPrinted>2020-12-10T15:46:00Z</cp:lastPrinted>
  <dcterms:created xsi:type="dcterms:W3CDTF">2020-12-10T15:45:00Z</dcterms:created>
  <dcterms:modified xsi:type="dcterms:W3CDTF">2020-12-10T15:46:00Z</dcterms:modified>
</cp:coreProperties>
</file>