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A4EC" w14:textId="77777777" w:rsidR="002F1DAB" w:rsidRDefault="00307118" w:rsidP="002F1DAB">
      <w:pPr>
        <w:spacing w:after="120" w:line="240" w:lineRule="auto"/>
        <w:jc w:val="center"/>
        <w:rPr>
          <w:rStyle w:val="Heading1Char"/>
          <w:rFonts w:ascii="Arial" w:hAnsi="Arial" w:cs="Arial"/>
        </w:rPr>
      </w:pPr>
      <w:r w:rsidRPr="00207531">
        <w:rPr>
          <w:rStyle w:val="Heading1Char"/>
          <w:rFonts w:ascii="Arial" w:hAnsi="Arial" w:cs="Arial"/>
        </w:rPr>
        <w:t>Program Integrity's Goal</w:t>
      </w:r>
    </w:p>
    <w:p w14:paraId="145BC402" w14:textId="77777777" w:rsidR="00307118" w:rsidRPr="002F1DAB" w:rsidRDefault="00307118" w:rsidP="002F1DAB">
      <w:pPr>
        <w:pStyle w:val="Kicker"/>
        <w:rPr>
          <w:rStyle w:val="Heading1Char"/>
          <w:rFonts w:ascii="Arial" w:eastAsiaTheme="minorHAnsi" w:hAnsi="Arial" w:cs="Arial"/>
          <w:b w:val="0"/>
          <w:bCs w:val="0"/>
          <w:sz w:val="22"/>
          <w:szCs w:val="22"/>
        </w:rPr>
      </w:pPr>
      <w:r w:rsidRPr="002F1DAB">
        <w:rPr>
          <w:rStyle w:val="Heading1Char"/>
          <w:rFonts w:ascii="Arial" w:eastAsiaTheme="minorHAnsi" w:hAnsi="Arial" w:cs="Arial"/>
          <w:b w:val="0"/>
          <w:bCs w:val="0"/>
          <w:sz w:val="22"/>
          <w:szCs w:val="22"/>
        </w:rPr>
        <w:t>Through vigilance and unyielding dedication, Program Integrity will strive to safeguard taxpayer dollars that are utilized to care for our nation's Veterans and their families.</w:t>
      </w:r>
    </w:p>
    <w:p w14:paraId="1F7B4523" w14:textId="64A55DC4" w:rsidR="002F1DAB" w:rsidRPr="00055328" w:rsidRDefault="00055328" w:rsidP="00055328">
      <w:pPr>
        <w:autoSpaceDE w:val="0"/>
        <w:autoSpaceDN w:val="0"/>
        <w:rPr>
          <w:rFonts w:ascii="Georgia" w:hAnsi="Georgia"/>
        </w:rPr>
      </w:pPr>
      <w:r w:rsidRPr="00055328">
        <w:rPr>
          <w:rFonts w:ascii="Georgia" w:eastAsia="Times New Roman" w:hAnsi="Georgia"/>
        </w:rPr>
        <w:t xml:space="preserve">Office of Integrated Veteran Care </w:t>
      </w:r>
      <w:r w:rsidR="00307118" w:rsidRPr="00055328">
        <w:rPr>
          <w:rFonts w:ascii="Georgia" w:hAnsi="Georgia"/>
        </w:rPr>
        <w:t xml:space="preserve">Program Integrity </w:t>
      </w:r>
      <w:r w:rsidR="00451F25" w:rsidRPr="00055328">
        <w:rPr>
          <w:rFonts w:ascii="Georgia" w:hAnsi="Georgia"/>
        </w:rPr>
        <w:t>Tools</w:t>
      </w:r>
      <w:r w:rsidR="00307118" w:rsidRPr="00055328">
        <w:rPr>
          <w:rFonts w:ascii="Georgia" w:hAnsi="Georgia"/>
        </w:rPr>
        <w:t xml:space="preserve"> score and reject medical claims in a prepayment environment.</w:t>
      </w:r>
      <w:r w:rsidR="002B7C44" w:rsidRPr="00055328">
        <w:rPr>
          <w:rFonts w:ascii="Georgia" w:hAnsi="Georgia"/>
        </w:rPr>
        <w:t xml:space="preserve"> </w:t>
      </w:r>
      <w:r w:rsidR="00307118" w:rsidRPr="00055328">
        <w:rPr>
          <w:rFonts w:ascii="Georgia" w:hAnsi="Georgia"/>
        </w:rPr>
        <w:t xml:space="preserve">Claims or individual claim lines that are rejected will be assigned a score and </w:t>
      </w:r>
      <w:r w:rsidR="003850B2">
        <w:rPr>
          <w:rFonts w:ascii="Georgia" w:hAnsi="Georgia"/>
        </w:rPr>
        <w:t xml:space="preserve">an </w:t>
      </w:r>
      <w:r w:rsidR="00307118" w:rsidRPr="00055328">
        <w:rPr>
          <w:rFonts w:ascii="Georgia" w:hAnsi="Georgia"/>
        </w:rPr>
        <w:t>explanation.</w:t>
      </w:r>
      <w:r w:rsidR="002B7C44" w:rsidRPr="00055328">
        <w:rPr>
          <w:rFonts w:ascii="Georgia" w:hAnsi="Georgia"/>
        </w:rPr>
        <w:t xml:space="preserve"> </w:t>
      </w:r>
      <w:r w:rsidR="00307118" w:rsidRPr="00055328">
        <w:rPr>
          <w:rFonts w:ascii="Georgia" w:hAnsi="Georgia"/>
        </w:rPr>
        <w:t xml:space="preserve">Use this document to compare the rejection code and explanation found on the explanation of benefits you received from the </w:t>
      </w:r>
      <w:r w:rsidR="006351DA">
        <w:rPr>
          <w:rFonts w:ascii="Georgia" w:hAnsi="Georgia"/>
        </w:rPr>
        <w:t xml:space="preserve">Department of </w:t>
      </w:r>
      <w:r w:rsidR="00307118" w:rsidRPr="00055328">
        <w:rPr>
          <w:rFonts w:ascii="Georgia" w:hAnsi="Georgia"/>
        </w:rPr>
        <w:t>Veterans Affairs.</w:t>
      </w:r>
      <w:r w:rsidR="002B7C44" w:rsidRPr="00055328">
        <w:rPr>
          <w:rFonts w:ascii="Georgia" w:hAnsi="Georgia"/>
        </w:rPr>
        <w:t xml:space="preserve"> </w:t>
      </w:r>
      <w:r w:rsidR="00307118" w:rsidRPr="00055328">
        <w:rPr>
          <w:rFonts w:ascii="Georgia" w:hAnsi="Georgia"/>
        </w:rPr>
        <w:t>In most cases, the claim or claim line is not payable under any circumstances and should not be resubmitted.</w:t>
      </w:r>
      <w:r w:rsidR="002B7C44" w:rsidRPr="00055328">
        <w:rPr>
          <w:rFonts w:ascii="Georgia" w:hAnsi="Georgia"/>
        </w:rPr>
        <w:t xml:space="preserve"> </w:t>
      </w:r>
      <w:r w:rsidR="00307118" w:rsidRPr="00055328">
        <w:rPr>
          <w:rFonts w:ascii="Georgia" w:hAnsi="Georgia"/>
        </w:rPr>
        <w:t>If a claim is resubmitted using alternative CPT/HCPCS codes, the submission may be consider</w:t>
      </w:r>
      <w:r w:rsidR="00C1422B">
        <w:rPr>
          <w:rFonts w:ascii="Georgia" w:hAnsi="Georgia"/>
        </w:rPr>
        <w:t>ed</w:t>
      </w:r>
      <w:r w:rsidR="00307118" w:rsidRPr="00055328">
        <w:rPr>
          <w:rFonts w:ascii="Georgia" w:hAnsi="Georgia"/>
        </w:rPr>
        <w:t xml:space="preserve"> fraudulent under </w:t>
      </w:r>
      <w:r w:rsidR="006351DA">
        <w:rPr>
          <w:rFonts w:ascii="Georgia" w:hAnsi="Georgia"/>
        </w:rPr>
        <w:br/>
      </w:r>
      <w:r w:rsidR="00307118" w:rsidRPr="00055328">
        <w:rPr>
          <w:rFonts w:ascii="Georgia" w:hAnsi="Georgia"/>
        </w:rPr>
        <w:t xml:space="preserve">31 U.S.C. </w:t>
      </w:r>
      <w:r w:rsidR="00C1422B">
        <w:rPr>
          <w:rFonts w:ascii="Georgia" w:hAnsi="Georgia"/>
        </w:rPr>
        <w:t>§</w:t>
      </w:r>
      <w:r w:rsidR="00307118" w:rsidRPr="00055328">
        <w:rPr>
          <w:rFonts w:ascii="Georgia" w:hAnsi="Georgia"/>
        </w:rPr>
        <w:t>3729.</w:t>
      </w:r>
    </w:p>
    <w:p w14:paraId="57182355" w14:textId="4DCAA665" w:rsidR="00307118" w:rsidRDefault="00307118" w:rsidP="005A65FF">
      <w:pPr>
        <w:pStyle w:val="bodycopy"/>
      </w:pPr>
      <w:r w:rsidRPr="00307118">
        <w:t xml:space="preserve">Additionally, all medical providers and medical facilities that are aware of any overpayment made to them by the s Affairs are obligated by law (31 U.S.C. </w:t>
      </w:r>
      <w:r w:rsidR="003850B2">
        <w:t>§</w:t>
      </w:r>
      <w:r w:rsidRPr="00307118">
        <w:t>3729) to return the overpayment amount.</w:t>
      </w:r>
    </w:p>
    <w:p w14:paraId="541068FE" w14:textId="77777777" w:rsidR="00AD7FAE" w:rsidRPr="00C66BE7" w:rsidRDefault="00AD7FAE" w:rsidP="00AD7FAE">
      <w:pPr>
        <w:pStyle w:val="Caption"/>
        <w:keepNext/>
        <w:rPr>
          <w:color w:val="365F91" w:themeColor="accent1" w:themeShade="BF"/>
        </w:rPr>
      </w:pPr>
      <w:r w:rsidRPr="00C66BE7">
        <w:rPr>
          <w:color w:val="365F91" w:themeColor="accent1" w:themeShade="BF"/>
        </w:rPr>
        <w:t xml:space="preserve">Table </w:t>
      </w:r>
      <w:r w:rsidR="004231DF" w:rsidRPr="00C66BE7">
        <w:rPr>
          <w:color w:val="365F91" w:themeColor="accent1" w:themeShade="BF"/>
        </w:rPr>
        <w:fldChar w:fldCharType="begin"/>
      </w:r>
      <w:r w:rsidR="004231DF" w:rsidRPr="00C66BE7">
        <w:rPr>
          <w:color w:val="365F91" w:themeColor="accent1" w:themeShade="BF"/>
        </w:rPr>
        <w:instrText xml:space="preserve"> SEQ Table \* ARABIC </w:instrText>
      </w:r>
      <w:r w:rsidR="004231DF" w:rsidRPr="00C66BE7">
        <w:rPr>
          <w:color w:val="365F91" w:themeColor="accent1" w:themeShade="BF"/>
        </w:rPr>
        <w:fldChar w:fldCharType="separate"/>
      </w:r>
      <w:r w:rsidRPr="00C66BE7">
        <w:rPr>
          <w:noProof/>
          <w:color w:val="365F91" w:themeColor="accent1" w:themeShade="BF"/>
        </w:rPr>
        <w:t>1</w:t>
      </w:r>
      <w:r w:rsidR="004231DF" w:rsidRPr="00C66BE7">
        <w:rPr>
          <w:noProof/>
          <w:color w:val="365F91" w:themeColor="accent1" w:themeShade="BF"/>
        </w:rPr>
        <w:fldChar w:fldCharType="end"/>
      </w:r>
      <w:r w:rsidRPr="00C66BE7">
        <w:rPr>
          <w:color w:val="365F91" w:themeColor="accent1" w:themeShade="BF"/>
        </w:rPr>
        <w:t>: Explanation of Rejection Codes</w:t>
      </w:r>
    </w:p>
    <w:tbl>
      <w:tblPr>
        <w:tblStyle w:val="TableGrid"/>
        <w:tblW w:w="5000" w:type="pct"/>
        <w:tblCellMar>
          <w:top w:w="115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Caption w:val="Table 1: Explanation of Rejection Codes"/>
      </w:tblPr>
      <w:tblGrid>
        <w:gridCol w:w="1705"/>
        <w:gridCol w:w="3837"/>
        <w:gridCol w:w="4672"/>
      </w:tblGrid>
      <w:tr w:rsidR="005A65FF" w:rsidRPr="00C1422B" w14:paraId="109B043C" w14:textId="77777777" w:rsidTr="00C1422B">
        <w:trPr>
          <w:cantSplit/>
          <w:trHeight w:val="432"/>
          <w:tblHeader/>
        </w:trPr>
        <w:tc>
          <w:tcPr>
            <w:tcW w:w="1705" w:type="dxa"/>
            <w:shd w:val="clear" w:color="auto" w:fill="365F91" w:themeFill="accent1" w:themeFillShade="BF"/>
            <w:vAlign w:val="center"/>
            <w:hideMark/>
          </w:tcPr>
          <w:p w14:paraId="1498AE72" w14:textId="77777777" w:rsidR="002F1DAB" w:rsidRPr="00C1422B" w:rsidRDefault="00307118" w:rsidP="002F1DAB">
            <w:pPr>
              <w:pStyle w:val="Tableheading"/>
              <w:rPr>
                <w:sz w:val="20"/>
                <w:szCs w:val="22"/>
              </w:rPr>
            </w:pPr>
            <w:r w:rsidRPr="00C1422B">
              <w:rPr>
                <w:sz w:val="20"/>
                <w:szCs w:val="22"/>
              </w:rPr>
              <w:t>Rejection Code</w:t>
            </w:r>
          </w:p>
        </w:tc>
        <w:tc>
          <w:tcPr>
            <w:tcW w:w="3837" w:type="dxa"/>
            <w:shd w:val="clear" w:color="auto" w:fill="365F91" w:themeFill="accent1" w:themeFillShade="BF"/>
            <w:noWrap/>
            <w:vAlign w:val="center"/>
            <w:hideMark/>
          </w:tcPr>
          <w:p w14:paraId="4068FA8B" w14:textId="77777777" w:rsidR="00307118" w:rsidRPr="00C1422B" w:rsidRDefault="00307118" w:rsidP="002F1DAB">
            <w:pPr>
              <w:pStyle w:val="Tableheading"/>
              <w:rPr>
                <w:sz w:val="20"/>
                <w:szCs w:val="22"/>
              </w:rPr>
            </w:pPr>
            <w:r w:rsidRPr="00C1422B">
              <w:rPr>
                <w:sz w:val="20"/>
                <w:szCs w:val="22"/>
              </w:rPr>
              <w:t>Rejection Explanation</w:t>
            </w:r>
          </w:p>
        </w:tc>
        <w:tc>
          <w:tcPr>
            <w:tcW w:w="4672" w:type="dxa"/>
            <w:shd w:val="clear" w:color="auto" w:fill="365F91" w:themeFill="accent1" w:themeFillShade="BF"/>
            <w:noWrap/>
            <w:vAlign w:val="center"/>
            <w:hideMark/>
          </w:tcPr>
          <w:p w14:paraId="16608A01" w14:textId="77777777" w:rsidR="00307118" w:rsidRPr="00C1422B" w:rsidRDefault="00307118" w:rsidP="002F1DAB">
            <w:pPr>
              <w:pStyle w:val="Tableheading"/>
              <w:rPr>
                <w:sz w:val="20"/>
                <w:szCs w:val="22"/>
              </w:rPr>
            </w:pPr>
            <w:r w:rsidRPr="00C1422B">
              <w:rPr>
                <w:sz w:val="20"/>
                <w:szCs w:val="22"/>
              </w:rPr>
              <w:t>What Should the Provider Do?</w:t>
            </w:r>
          </w:p>
        </w:tc>
      </w:tr>
      <w:tr w:rsidR="005A65FF" w:rsidRPr="002F1DAB" w14:paraId="7DA84491" w14:textId="77777777" w:rsidTr="00C1422B">
        <w:trPr>
          <w:cantSplit/>
          <w:trHeight w:val="1440"/>
        </w:trPr>
        <w:tc>
          <w:tcPr>
            <w:tcW w:w="1705" w:type="dxa"/>
            <w:noWrap/>
            <w:hideMark/>
          </w:tcPr>
          <w:p w14:paraId="25FE2A4B" w14:textId="77777777" w:rsidR="00307118" w:rsidRPr="002F1DAB" w:rsidRDefault="00307118" w:rsidP="005A65FF">
            <w:pPr>
              <w:pStyle w:val="Tabledata"/>
            </w:pPr>
            <w:r w:rsidRPr="002F1DAB">
              <w:t>RL00110</w:t>
            </w:r>
          </w:p>
        </w:tc>
        <w:tc>
          <w:tcPr>
            <w:tcW w:w="3837" w:type="dxa"/>
            <w:hideMark/>
          </w:tcPr>
          <w:p w14:paraId="22A95770" w14:textId="77777777" w:rsidR="00307118" w:rsidRPr="002F1DAB" w:rsidRDefault="00307118" w:rsidP="005A65FF">
            <w:pPr>
              <w:pStyle w:val="Tabledata"/>
            </w:pPr>
            <w:r w:rsidRPr="002F1DAB">
              <w:t xml:space="preserve">Provider is listed on the current active "LEIE List" </w:t>
            </w:r>
            <w:r w:rsidR="00C028F4" w:rsidRPr="002F1DAB">
              <w:t>and the</w:t>
            </w:r>
            <w:r w:rsidRPr="002F1DAB">
              <w:t xml:space="preserve"> claim line service date is within the LEIE exclusion dates. </w:t>
            </w:r>
          </w:p>
        </w:tc>
        <w:tc>
          <w:tcPr>
            <w:tcW w:w="4672" w:type="dxa"/>
            <w:hideMark/>
          </w:tcPr>
          <w:p w14:paraId="558C3582" w14:textId="77777777" w:rsidR="005A65FF" w:rsidRPr="005A65FF" w:rsidRDefault="00C028F4" w:rsidP="005A65FF">
            <w:pPr>
              <w:pStyle w:val="Tabledata"/>
            </w:pPr>
            <w:r w:rsidRPr="005A65FF">
              <w:t>The rendering</w:t>
            </w:r>
            <w:r w:rsidR="00307118" w:rsidRPr="005A65FF">
              <w:t xml:space="preserve"> provider must contact the HHS-OIG to have their name removed or data modified by the HHS-OIG.</w:t>
            </w:r>
            <w:r w:rsidR="002B7C44">
              <w:t xml:space="preserve"> </w:t>
            </w:r>
            <w:r w:rsidR="00307118" w:rsidRPr="005A65FF">
              <w:t>If the provider's information was incorrect, they must attach a cover letter to the claim(s) explaining the circumstances and request that the claim(s) be repro</w:t>
            </w:r>
            <w:r w:rsidR="005A65FF" w:rsidRPr="005A65FF">
              <w:t>cessed.</w:t>
            </w:r>
          </w:p>
          <w:p w14:paraId="7EEDA38D" w14:textId="77777777" w:rsidR="00307118" w:rsidRPr="002F1DAB" w:rsidRDefault="00307118" w:rsidP="005A65FF">
            <w:pPr>
              <w:pStyle w:val="Tabledata"/>
            </w:pPr>
            <w:r w:rsidRPr="002F1DAB">
              <w:t>**Under no circumstances shall the provider balance bill the Veteran or beneficiary.</w:t>
            </w:r>
            <w:r w:rsidR="002B7C44">
              <w:t xml:space="preserve"> </w:t>
            </w:r>
            <w:r w:rsidRPr="002F1DAB">
              <w:t>Any adverse action taken against the Veteran or beneficiary will be reported to the appropriate authorities such as, but not limited to, State Licensing Board, HHS-OIG, District Attorney, etc.</w:t>
            </w:r>
          </w:p>
        </w:tc>
      </w:tr>
      <w:tr w:rsidR="005A65FF" w:rsidRPr="00C028F4" w14:paraId="06D87434" w14:textId="77777777" w:rsidTr="00C1422B">
        <w:trPr>
          <w:cantSplit/>
          <w:trHeight w:val="1440"/>
        </w:trPr>
        <w:tc>
          <w:tcPr>
            <w:tcW w:w="1705" w:type="dxa"/>
            <w:noWrap/>
            <w:hideMark/>
          </w:tcPr>
          <w:p w14:paraId="3B5B61B1" w14:textId="77777777" w:rsidR="00307118" w:rsidRPr="00C028F4" w:rsidRDefault="00307118" w:rsidP="005A65FF">
            <w:pPr>
              <w:pStyle w:val="Tabledata"/>
            </w:pPr>
            <w:r w:rsidRPr="00C028F4">
              <w:t>RL00210</w:t>
            </w:r>
          </w:p>
        </w:tc>
        <w:tc>
          <w:tcPr>
            <w:tcW w:w="3837" w:type="dxa"/>
            <w:hideMark/>
          </w:tcPr>
          <w:p w14:paraId="3BBF963F" w14:textId="77777777" w:rsidR="00307118" w:rsidRPr="00C028F4" w:rsidRDefault="00307118" w:rsidP="005A65FF">
            <w:pPr>
              <w:pStyle w:val="Tabledata"/>
            </w:pPr>
            <w:r w:rsidRPr="00C028F4">
              <w:t xml:space="preserve">Modifier -26 Duplicate Payment Rule - claim line score and reason indicate that either the professional component or the global </w:t>
            </w:r>
            <w:r w:rsidR="00C028F4" w:rsidRPr="00C028F4">
              <w:t>service was</w:t>
            </w:r>
            <w:r w:rsidRPr="00C028F4">
              <w:t xml:space="preserve"> paid on a previous claim based on a unique combination of the following: Patient ID, Service Date Range, and Procedure Code. </w:t>
            </w:r>
          </w:p>
        </w:tc>
        <w:tc>
          <w:tcPr>
            <w:tcW w:w="4672" w:type="dxa"/>
            <w:hideMark/>
          </w:tcPr>
          <w:p w14:paraId="3FF3CBA6" w14:textId="77777777" w:rsidR="00307118" w:rsidRPr="00C028F4" w:rsidRDefault="00307118" w:rsidP="005A65FF">
            <w:pPr>
              <w:pStyle w:val="Tabledata"/>
            </w:pPr>
            <w:r w:rsidRPr="00C028F4">
              <w:t xml:space="preserve">If you or your affiliate were not paid, please </w:t>
            </w:r>
            <w:r w:rsidR="00AD5C68">
              <w:t>contact the office that processed your claim</w:t>
            </w:r>
            <w:r w:rsidRPr="00C028F4">
              <w:t xml:space="preserve"> with a cover letter of explanation. </w:t>
            </w:r>
          </w:p>
        </w:tc>
      </w:tr>
      <w:tr w:rsidR="005A65FF" w:rsidRPr="00C028F4" w14:paraId="4975928D" w14:textId="77777777" w:rsidTr="00C1422B">
        <w:trPr>
          <w:cantSplit/>
          <w:trHeight w:val="1440"/>
        </w:trPr>
        <w:tc>
          <w:tcPr>
            <w:tcW w:w="1705" w:type="dxa"/>
            <w:noWrap/>
            <w:hideMark/>
          </w:tcPr>
          <w:p w14:paraId="38EE9AA6" w14:textId="77777777" w:rsidR="00307118" w:rsidRPr="00C028F4" w:rsidRDefault="00307118" w:rsidP="005A65FF">
            <w:pPr>
              <w:pStyle w:val="Tabledata"/>
            </w:pPr>
            <w:r w:rsidRPr="00C028F4">
              <w:t>RL00220</w:t>
            </w:r>
          </w:p>
        </w:tc>
        <w:tc>
          <w:tcPr>
            <w:tcW w:w="3837" w:type="dxa"/>
            <w:hideMark/>
          </w:tcPr>
          <w:p w14:paraId="34AFAF24" w14:textId="77777777" w:rsidR="00307118" w:rsidRPr="00C028F4" w:rsidRDefault="00307118" w:rsidP="005A65FF">
            <w:pPr>
              <w:pStyle w:val="Tabledata"/>
            </w:pPr>
            <w:r w:rsidRPr="00C028F4">
              <w:t xml:space="preserve">Modifier -TC Duplicate Payment Rule - claim line score and reason indicate that either the technical component or the global </w:t>
            </w:r>
            <w:r w:rsidR="00C028F4" w:rsidRPr="00C028F4">
              <w:t>service was</w:t>
            </w:r>
            <w:r w:rsidRPr="00C028F4">
              <w:t xml:space="preserve"> paid on a previous claim</w:t>
            </w:r>
            <w:r w:rsidR="002B7C44">
              <w:t xml:space="preserve"> </w:t>
            </w:r>
            <w:r w:rsidRPr="00C028F4">
              <w:t xml:space="preserve">based on a unique combination of the following: Patient ID, Service Date Range, and Procedure Code. </w:t>
            </w:r>
          </w:p>
        </w:tc>
        <w:tc>
          <w:tcPr>
            <w:tcW w:w="4672" w:type="dxa"/>
            <w:hideMark/>
          </w:tcPr>
          <w:p w14:paraId="52DED3F0" w14:textId="77777777" w:rsidR="00307118" w:rsidRPr="00C028F4" w:rsidRDefault="00307118" w:rsidP="005A65FF">
            <w:pPr>
              <w:pStyle w:val="Tabledata"/>
            </w:pPr>
            <w:r w:rsidRPr="00C028F4">
              <w:t xml:space="preserve">If you or your affiliate were not paid, please </w:t>
            </w:r>
            <w:r w:rsidR="00AD5C68">
              <w:t>contact the office that processed your claim</w:t>
            </w:r>
            <w:r w:rsidRPr="00C028F4">
              <w:t xml:space="preserve"> with a cover letter of explanation. </w:t>
            </w:r>
          </w:p>
        </w:tc>
      </w:tr>
      <w:tr w:rsidR="005A65FF" w:rsidRPr="00C028F4" w14:paraId="334FEE0A" w14:textId="77777777" w:rsidTr="00C1422B">
        <w:trPr>
          <w:cantSplit/>
          <w:trHeight w:val="1440"/>
        </w:trPr>
        <w:tc>
          <w:tcPr>
            <w:tcW w:w="1705" w:type="dxa"/>
            <w:noWrap/>
            <w:hideMark/>
          </w:tcPr>
          <w:p w14:paraId="3E84086F" w14:textId="77777777" w:rsidR="00307118" w:rsidRPr="00C028F4" w:rsidRDefault="00307118" w:rsidP="005A65FF">
            <w:pPr>
              <w:pStyle w:val="Tabledata"/>
            </w:pPr>
            <w:r w:rsidRPr="00C028F4">
              <w:lastRenderedPageBreak/>
              <w:t>RL00230</w:t>
            </w:r>
          </w:p>
        </w:tc>
        <w:tc>
          <w:tcPr>
            <w:tcW w:w="3837" w:type="dxa"/>
            <w:hideMark/>
          </w:tcPr>
          <w:p w14:paraId="6A4462AA" w14:textId="77777777" w:rsidR="00307118" w:rsidRPr="00C028F4" w:rsidRDefault="00307118" w:rsidP="005A65FF">
            <w:pPr>
              <w:pStyle w:val="Tabledata"/>
            </w:pPr>
            <w:r w:rsidRPr="00C028F4">
              <w:t>Global Diagnostic Service Component Duplicate Payment Rule - claim line score and reason indicate that either the professional component, technical component or the global service were paid on a previous claim based on a unique combination of the following: Patient ID, Service Date Range, and Procedure Code.</w:t>
            </w:r>
          </w:p>
        </w:tc>
        <w:tc>
          <w:tcPr>
            <w:tcW w:w="4672" w:type="dxa"/>
            <w:hideMark/>
          </w:tcPr>
          <w:p w14:paraId="5C89F384" w14:textId="77777777" w:rsidR="00307118" w:rsidRPr="00C028F4" w:rsidRDefault="00307118" w:rsidP="005A65FF">
            <w:pPr>
              <w:pStyle w:val="Tabledata"/>
            </w:pPr>
            <w:r w:rsidRPr="00C028F4">
              <w:t xml:space="preserve">If you or your affiliate were not paid, please </w:t>
            </w:r>
            <w:r w:rsidR="00AD5C68">
              <w:t>contact the office that processed your claim</w:t>
            </w:r>
            <w:r w:rsidRPr="00C028F4">
              <w:t xml:space="preserve"> with a cover letter of explanation. </w:t>
            </w:r>
          </w:p>
        </w:tc>
      </w:tr>
      <w:tr w:rsidR="005A65FF" w:rsidRPr="00C028F4" w14:paraId="0215ED69" w14:textId="77777777" w:rsidTr="00C1422B">
        <w:trPr>
          <w:cantSplit/>
          <w:trHeight w:val="1440"/>
        </w:trPr>
        <w:tc>
          <w:tcPr>
            <w:tcW w:w="1705" w:type="dxa"/>
            <w:noWrap/>
            <w:hideMark/>
          </w:tcPr>
          <w:p w14:paraId="1C6BBC5E" w14:textId="77777777" w:rsidR="00307118" w:rsidRPr="00C028F4" w:rsidRDefault="00307118" w:rsidP="005A65FF">
            <w:pPr>
              <w:pStyle w:val="Tabledata"/>
            </w:pPr>
            <w:r w:rsidRPr="00C028F4">
              <w:t>RL00410</w:t>
            </w:r>
          </w:p>
        </w:tc>
        <w:tc>
          <w:tcPr>
            <w:tcW w:w="3837" w:type="dxa"/>
            <w:hideMark/>
          </w:tcPr>
          <w:p w14:paraId="6C26279B" w14:textId="77777777" w:rsidR="00307118" w:rsidRPr="00C028F4" w:rsidRDefault="00307118" w:rsidP="005A65FF">
            <w:pPr>
              <w:pStyle w:val="Tabledata"/>
            </w:pPr>
            <w:r w:rsidRPr="00C028F4">
              <w:t xml:space="preserve">Duplicate Professional Medical Claim - the claim line matched a previously paid claim line based on the unique combination of the following: Provider ID, Patient ID, Service Date, Place of Service, Procedure Code, and Modifier(s). </w:t>
            </w:r>
          </w:p>
        </w:tc>
        <w:tc>
          <w:tcPr>
            <w:tcW w:w="4672" w:type="dxa"/>
            <w:hideMark/>
          </w:tcPr>
          <w:p w14:paraId="0ECA4DC3" w14:textId="77777777" w:rsidR="00307118" w:rsidRPr="00C028F4" w:rsidRDefault="00307118" w:rsidP="005A65FF">
            <w:pPr>
              <w:pStyle w:val="Tabledata"/>
            </w:pPr>
            <w:r w:rsidRPr="00C028F4">
              <w:t xml:space="preserve">If you are submitting a corrected claim or if there was a payment and/or billing error initially, please </w:t>
            </w:r>
            <w:r w:rsidR="00AD5C68">
              <w:t>contact the office that processed your claim</w:t>
            </w:r>
            <w:r w:rsidRPr="00C028F4">
              <w:t xml:space="preserve"> with supporting medical documentation that validates a change in coding/billing with a cover letter of explanation. </w:t>
            </w:r>
          </w:p>
        </w:tc>
      </w:tr>
      <w:tr w:rsidR="005A65FF" w:rsidRPr="00C028F4" w14:paraId="5D6570F9" w14:textId="77777777" w:rsidTr="00C1422B">
        <w:trPr>
          <w:cantSplit/>
          <w:trHeight w:val="1440"/>
        </w:trPr>
        <w:tc>
          <w:tcPr>
            <w:tcW w:w="1705" w:type="dxa"/>
            <w:noWrap/>
            <w:hideMark/>
          </w:tcPr>
          <w:p w14:paraId="1E419822" w14:textId="77777777" w:rsidR="00307118" w:rsidRPr="00C028F4" w:rsidRDefault="00307118" w:rsidP="005A65FF">
            <w:pPr>
              <w:pStyle w:val="Tabledata"/>
            </w:pPr>
            <w:r w:rsidRPr="00C028F4">
              <w:t>RL00420</w:t>
            </w:r>
          </w:p>
        </w:tc>
        <w:tc>
          <w:tcPr>
            <w:tcW w:w="3837" w:type="dxa"/>
            <w:hideMark/>
          </w:tcPr>
          <w:p w14:paraId="557612AA" w14:textId="77777777" w:rsidR="00307118" w:rsidRPr="00C028F4" w:rsidRDefault="00307118" w:rsidP="005A65FF">
            <w:pPr>
              <w:pStyle w:val="Tabledata"/>
            </w:pPr>
            <w:r w:rsidRPr="00C028F4">
              <w:t xml:space="preserve">Duplicate Institutional Inpatient Claim </w:t>
            </w:r>
            <w:r w:rsidR="00C028F4" w:rsidRPr="00C028F4">
              <w:t>- the</w:t>
            </w:r>
            <w:r w:rsidRPr="00C028F4">
              <w:t xml:space="preserve"> claim matched a previously paid inpatient claim based on the unique combination of the following: Provider ID, Patient ID, Principal Diagnosis, and Type of Bill. </w:t>
            </w:r>
          </w:p>
        </w:tc>
        <w:tc>
          <w:tcPr>
            <w:tcW w:w="4672" w:type="dxa"/>
            <w:hideMark/>
          </w:tcPr>
          <w:p w14:paraId="2DB6EB16" w14:textId="77777777" w:rsidR="00307118" w:rsidRPr="00C028F4" w:rsidRDefault="00307118" w:rsidP="005A65FF">
            <w:pPr>
              <w:pStyle w:val="Tabledata"/>
            </w:pPr>
            <w:r w:rsidRPr="00C028F4">
              <w:t xml:space="preserve">If you are submitting a corrected claim or if there was a payment and/or billing error initially, please </w:t>
            </w:r>
            <w:r w:rsidR="00AD5C68">
              <w:t>contact the office that processed your claim</w:t>
            </w:r>
            <w:r w:rsidRPr="00C028F4">
              <w:t xml:space="preserve"> with supporting medical documentation that validates a change in coding/billing with a cover letter of explanation.</w:t>
            </w:r>
          </w:p>
        </w:tc>
      </w:tr>
      <w:tr w:rsidR="005A65FF" w:rsidRPr="00C028F4" w14:paraId="594882CF" w14:textId="77777777" w:rsidTr="00C1422B">
        <w:trPr>
          <w:cantSplit/>
          <w:trHeight w:val="1440"/>
        </w:trPr>
        <w:tc>
          <w:tcPr>
            <w:tcW w:w="1705" w:type="dxa"/>
            <w:noWrap/>
            <w:hideMark/>
          </w:tcPr>
          <w:p w14:paraId="17ABF353" w14:textId="77777777" w:rsidR="00307118" w:rsidRPr="00C028F4" w:rsidRDefault="00307118" w:rsidP="005A65FF">
            <w:pPr>
              <w:pStyle w:val="Tabledata"/>
            </w:pPr>
            <w:r w:rsidRPr="00C028F4">
              <w:t>RL00430</w:t>
            </w:r>
          </w:p>
        </w:tc>
        <w:tc>
          <w:tcPr>
            <w:tcW w:w="3837" w:type="dxa"/>
            <w:hideMark/>
          </w:tcPr>
          <w:p w14:paraId="3AA27C16" w14:textId="77777777" w:rsidR="00307118" w:rsidRPr="00C028F4" w:rsidRDefault="00307118" w:rsidP="005A65FF">
            <w:pPr>
              <w:pStyle w:val="Tabledata"/>
            </w:pPr>
            <w:r w:rsidRPr="00C028F4">
              <w:t xml:space="preserve">Duplicate Institutional Outpatient Claim </w:t>
            </w:r>
            <w:r w:rsidR="00F27AAC" w:rsidRPr="00C028F4">
              <w:t>- the</w:t>
            </w:r>
            <w:r w:rsidRPr="00C028F4">
              <w:t xml:space="preserve"> claim line matched a previously paid claim line based on the unique combination of the following: Provider ID, Patient ID, Service Date, Billed Amount, Procedure Code, Modifier(s), and Type of Bill. </w:t>
            </w:r>
          </w:p>
        </w:tc>
        <w:tc>
          <w:tcPr>
            <w:tcW w:w="4672" w:type="dxa"/>
            <w:hideMark/>
          </w:tcPr>
          <w:p w14:paraId="067F3608" w14:textId="77777777" w:rsidR="00307118" w:rsidRPr="00C028F4" w:rsidRDefault="00307118" w:rsidP="005A65FF">
            <w:pPr>
              <w:pStyle w:val="Tabledata"/>
            </w:pPr>
            <w:r w:rsidRPr="00C028F4">
              <w:t xml:space="preserve">If you are submitting a corrected claim or if there was a payment and/or billing error initially, please </w:t>
            </w:r>
            <w:r w:rsidR="00AD5C68">
              <w:t>contact the office that processed your claim</w:t>
            </w:r>
            <w:r w:rsidRPr="00C028F4">
              <w:t xml:space="preserve"> with supporting medical documentation that validates a change in coding/billing with a cover letter of explanation.</w:t>
            </w:r>
          </w:p>
        </w:tc>
      </w:tr>
      <w:tr w:rsidR="005A65FF" w:rsidRPr="00C028F4" w14:paraId="13DA25F6" w14:textId="77777777" w:rsidTr="00C1422B">
        <w:trPr>
          <w:cantSplit/>
          <w:trHeight w:val="1440"/>
        </w:trPr>
        <w:tc>
          <w:tcPr>
            <w:tcW w:w="1705" w:type="dxa"/>
            <w:noWrap/>
            <w:hideMark/>
          </w:tcPr>
          <w:p w14:paraId="4DCF17FD" w14:textId="77777777" w:rsidR="00307118" w:rsidRPr="00C028F4" w:rsidRDefault="00307118" w:rsidP="005A65FF">
            <w:pPr>
              <w:pStyle w:val="Tabledata"/>
            </w:pPr>
            <w:r w:rsidRPr="00C028F4">
              <w:t>RL00450</w:t>
            </w:r>
          </w:p>
        </w:tc>
        <w:tc>
          <w:tcPr>
            <w:tcW w:w="3837" w:type="dxa"/>
            <w:hideMark/>
          </w:tcPr>
          <w:p w14:paraId="1CD8281E" w14:textId="77777777" w:rsidR="00307118" w:rsidRPr="00C028F4" w:rsidRDefault="00307118" w:rsidP="005A65FF">
            <w:pPr>
              <w:pStyle w:val="Tabledata"/>
            </w:pPr>
            <w:r w:rsidRPr="00C028F4">
              <w:t>Pharmacy Duplicate Claim Multiple Providers (CHAMPVA claims ONLY) - the claim line matched a previously paid claim line based on the unique combination of the following: Patient ID, Service Date (Fill Date), National Drug Code, and Quantity.</w:t>
            </w:r>
          </w:p>
        </w:tc>
        <w:tc>
          <w:tcPr>
            <w:tcW w:w="4672" w:type="dxa"/>
            <w:hideMark/>
          </w:tcPr>
          <w:p w14:paraId="2B87CD42" w14:textId="77777777" w:rsidR="00307118" w:rsidRPr="00C028F4" w:rsidRDefault="00307118" w:rsidP="005A65FF">
            <w:pPr>
              <w:pStyle w:val="Tabledata"/>
            </w:pPr>
            <w:r w:rsidRPr="00C028F4">
              <w:t xml:space="preserve">If you are submitting a corrected claim or if there was a payment and/or billing error initially, please </w:t>
            </w:r>
            <w:r w:rsidR="00AD5C68">
              <w:t>contact the office that processed your claim</w:t>
            </w:r>
            <w:r w:rsidRPr="00C028F4">
              <w:t xml:space="preserve"> with supporting medical documentation that validates a change in coding/billing with a cover letter of explanation.</w:t>
            </w:r>
          </w:p>
        </w:tc>
      </w:tr>
      <w:tr w:rsidR="005A65FF" w:rsidRPr="00C028F4" w14:paraId="28CBDC4E" w14:textId="77777777" w:rsidTr="00C1422B">
        <w:trPr>
          <w:cantSplit/>
          <w:trHeight w:val="1440"/>
        </w:trPr>
        <w:tc>
          <w:tcPr>
            <w:tcW w:w="1705" w:type="dxa"/>
            <w:noWrap/>
            <w:hideMark/>
          </w:tcPr>
          <w:p w14:paraId="32EEFEB2" w14:textId="77777777" w:rsidR="00307118" w:rsidRPr="00C028F4" w:rsidRDefault="00307118" w:rsidP="005A65FF">
            <w:pPr>
              <w:pStyle w:val="Tabledata"/>
            </w:pPr>
            <w:r w:rsidRPr="00C028F4">
              <w:lastRenderedPageBreak/>
              <w:t>RL00460</w:t>
            </w:r>
          </w:p>
        </w:tc>
        <w:tc>
          <w:tcPr>
            <w:tcW w:w="3837" w:type="dxa"/>
            <w:hideMark/>
          </w:tcPr>
          <w:p w14:paraId="15ADD293" w14:textId="77777777" w:rsidR="00307118" w:rsidRPr="00C028F4" w:rsidRDefault="00307118" w:rsidP="005A65FF">
            <w:pPr>
              <w:pStyle w:val="Tabledata"/>
            </w:pPr>
            <w:r w:rsidRPr="00C028F4">
              <w:t>Pharmacy Duplicate Claim Same Provider (CHAMPVA claims ONLY) - the claim line matched a previously paid claim line based on a unique combination of the following: Provider ID, Patient ID, Service Date (Fill Date), National Drug Code, and Quantity.</w:t>
            </w:r>
          </w:p>
        </w:tc>
        <w:tc>
          <w:tcPr>
            <w:tcW w:w="4672" w:type="dxa"/>
            <w:hideMark/>
          </w:tcPr>
          <w:p w14:paraId="4874180F" w14:textId="77777777" w:rsidR="00307118" w:rsidRPr="00C028F4" w:rsidRDefault="00307118" w:rsidP="005A65FF">
            <w:pPr>
              <w:pStyle w:val="Tabledata"/>
            </w:pPr>
            <w:r w:rsidRPr="00C028F4">
              <w:t xml:space="preserve">If you are submitting a corrected claim or if there was a payment and/or billing error initially, please </w:t>
            </w:r>
            <w:r w:rsidR="00AD5C68">
              <w:t>contact the office that processed your claim</w:t>
            </w:r>
            <w:r w:rsidRPr="00C028F4">
              <w:t xml:space="preserve"> with supporting medical documentation that validates a change in coding/billing with a cover letter of explanation.</w:t>
            </w:r>
          </w:p>
        </w:tc>
      </w:tr>
      <w:tr w:rsidR="005A65FF" w:rsidRPr="00C028F4" w14:paraId="7C8A9D5A" w14:textId="77777777" w:rsidTr="00C1422B">
        <w:trPr>
          <w:cantSplit/>
          <w:trHeight w:val="1440"/>
        </w:trPr>
        <w:tc>
          <w:tcPr>
            <w:tcW w:w="1705" w:type="dxa"/>
            <w:noWrap/>
            <w:hideMark/>
          </w:tcPr>
          <w:p w14:paraId="2FCF628C" w14:textId="77777777" w:rsidR="00307118" w:rsidRPr="00C028F4" w:rsidRDefault="00307118" w:rsidP="005A65FF">
            <w:pPr>
              <w:pStyle w:val="Tabledata"/>
            </w:pPr>
            <w:r w:rsidRPr="00C028F4">
              <w:t>RL00470</w:t>
            </w:r>
          </w:p>
        </w:tc>
        <w:tc>
          <w:tcPr>
            <w:tcW w:w="3837" w:type="dxa"/>
            <w:hideMark/>
          </w:tcPr>
          <w:p w14:paraId="42044FE7" w14:textId="77777777" w:rsidR="00307118" w:rsidRPr="00C028F4" w:rsidRDefault="00307118" w:rsidP="005A65FF">
            <w:pPr>
              <w:pStyle w:val="Tabledata"/>
            </w:pPr>
            <w:r w:rsidRPr="00C028F4">
              <w:t>Pharmacy Duplicate Claim Same Provider &amp; Script (CHAMPVA claims ONLY) - the claim line matched a previously paid claim line based on a unique combination of the following: Provider ID, Patient ID, Service Date (Fill Date), National Drug Code, Quantity, and Prescription Number.</w:t>
            </w:r>
          </w:p>
        </w:tc>
        <w:tc>
          <w:tcPr>
            <w:tcW w:w="4672" w:type="dxa"/>
            <w:hideMark/>
          </w:tcPr>
          <w:p w14:paraId="3A7A2FDA" w14:textId="77777777" w:rsidR="00307118" w:rsidRPr="00C028F4" w:rsidRDefault="00307118" w:rsidP="005A65FF">
            <w:pPr>
              <w:pStyle w:val="Tabledata"/>
            </w:pPr>
            <w:r w:rsidRPr="00C028F4">
              <w:t xml:space="preserve">If you are submitting a corrected claim or if there was a payment and/or billing error initially, please </w:t>
            </w:r>
            <w:r w:rsidR="00AD5C68">
              <w:t>contact the office that processed your claim</w:t>
            </w:r>
            <w:r w:rsidRPr="00C028F4">
              <w:t xml:space="preserve"> with supporting medical documentation that validates a change in coding/billing with a cover letter of explanation.</w:t>
            </w:r>
          </w:p>
        </w:tc>
      </w:tr>
      <w:tr w:rsidR="005A65FF" w:rsidRPr="00C028F4" w14:paraId="332B1202" w14:textId="77777777" w:rsidTr="00C1422B">
        <w:trPr>
          <w:cantSplit/>
          <w:trHeight w:val="1440"/>
        </w:trPr>
        <w:tc>
          <w:tcPr>
            <w:tcW w:w="1705" w:type="dxa"/>
            <w:noWrap/>
            <w:hideMark/>
          </w:tcPr>
          <w:p w14:paraId="6CC379C2" w14:textId="77777777" w:rsidR="00307118" w:rsidRPr="00C028F4" w:rsidRDefault="00307118" w:rsidP="005A65FF">
            <w:pPr>
              <w:pStyle w:val="Tabledata"/>
            </w:pPr>
            <w:r w:rsidRPr="00C028F4">
              <w:t>RL00480</w:t>
            </w:r>
          </w:p>
        </w:tc>
        <w:tc>
          <w:tcPr>
            <w:tcW w:w="3837" w:type="dxa"/>
            <w:hideMark/>
          </w:tcPr>
          <w:p w14:paraId="2222EF41" w14:textId="77777777" w:rsidR="00307118" w:rsidRPr="00C028F4" w:rsidRDefault="00307118" w:rsidP="005A65FF">
            <w:pPr>
              <w:pStyle w:val="Tabledata"/>
            </w:pPr>
            <w:r w:rsidRPr="00C028F4">
              <w:t xml:space="preserve">Duplicate Dental Claim (CHAMPVA claims ONLY) - the claim line matched a previously paid claim line based on a unique combination of the following: Provider ID, Patient ID, Service Date, Procedure Code, Modifier(s), and Tooth Number. </w:t>
            </w:r>
          </w:p>
        </w:tc>
        <w:tc>
          <w:tcPr>
            <w:tcW w:w="4672" w:type="dxa"/>
            <w:hideMark/>
          </w:tcPr>
          <w:p w14:paraId="31415A1F" w14:textId="77777777" w:rsidR="00307118" w:rsidRPr="00C028F4" w:rsidRDefault="00307118" w:rsidP="005A65FF">
            <w:pPr>
              <w:pStyle w:val="Tabledata"/>
            </w:pPr>
            <w:r w:rsidRPr="00C028F4">
              <w:t xml:space="preserve">If you are submitting a corrected claim or if there was a payment and/or billing error initially, please </w:t>
            </w:r>
            <w:r w:rsidR="00AD5C68">
              <w:t>contact the office that processed your claim</w:t>
            </w:r>
            <w:r w:rsidRPr="00C028F4">
              <w:t xml:space="preserve"> with supporting medical documentation that validates a change in coding/billing with a cover letter of explanation.</w:t>
            </w:r>
          </w:p>
        </w:tc>
      </w:tr>
      <w:tr w:rsidR="005A65FF" w:rsidRPr="00C028F4" w14:paraId="28DBB8CB" w14:textId="77777777" w:rsidTr="00C1422B">
        <w:trPr>
          <w:cantSplit/>
          <w:trHeight w:val="1440"/>
        </w:trPr>
        <w:tc>
          <w:tcPr>
            <w:tcW w:w="1705" w:type="dxa"/>
            <w:noWrap/>
            <w:hideMark/>
          </w:tcPr>
          <w:p w14:paraId="165E99CA" w14:textId="77777777" w:rsidR="00307118" w:rsidRPr="00C028F4" w:rsidRDefault="00307118" w:rsidP="005A65FF">
            <w:pPr>
              <w:pStyle w:val="Tabledata"/>
            </w:pPr>
            <w:r w:rsidRPr="00C028F4">
              <w:t>RL00610</w:t>
            </w:r>
          </w:p>
        </w:tc>
        <w:tc>
          <w:tcPr>
            <w:tcW w:w="3837" w:type="dxa"/>
            <w:hideMark/>
          </w:tcPr>
          <w:p w14:paraId="463EA3AA" w14:textId="77777777" w:rsidR="00307118" w:rsidRPr="00C028F4" w:rsidRDefault="00307118" w:rsidP="005A65FF">
            <w:pPr>
              <w:pStyle w:val="Tabledata"/>
            </w:pPr>
            <w:r w:rsidRPr="00C028F4">
              <w:t>Inconsistent Procedure Code and Diagnosis Code Inclusive Rule - claim line score and reason indicate the diagnosis is inconsistent with the procedure code. The service is not covered for the submitted diagnosis code.</w:t>
            </w:r>
          </w:p>
        </w:tc>
        <w:tc>
          <w:tcPr>
            <w:tcW w:w="4672" w:type="dxa"/>
            <w:hideMark/>
          </w:tcPr>
          <w:p w14:paraId="6C197CF5" w14:textId="77777777" w:rsidR="00307118" w:rsidRPr="00C028F4" w:rsidRDefault="00307118" w:rsidP="005A65FF">
            <w:pPr>
              <w:pStyle w:val="Tabledata"/>
            </w:pPr>
            <w:r w:rsidRPr="00C028F4">
              <w:t>If this is a coding error</w:t>
            </w:r>
            <w:r w:rsidR="00654360">
              <w:t xml:space="preserve"> or </w:t>
            </w:r>
            <w:r w:rsidR="00A442E6">
              <w:t>you believe the claims was rejected in error, contact the office that processed your claim</w:t>
            </w:r>
            <w:r w:rsidR="00A442E6" w:rsidRPr="00C028F4">
              <w:t xml:space="preserve"> with supporting medical documentation that validates a change in coding/billing with a cover letter of explanation.</w:t>
            </w:r>
          </w:p>
        </w:tc>
      </w:tr>
      <w:tr w:rsidR="005A65FF" w:rsidRPr="00C028F4" w14:paraId="47140FC0" w14:textId="77777777" w:rsidTr="00C1422B">
        <w:trPr>
          <w:cantSplit/>
          <w:trHeight w:val="1440"/>
        </w:trPr>
        <w:tc>
          <w:tcPr>
            <w:tcW w:w="1705" w:type="dxa"/>
            <w:noWrap/>
            <w:hideMark/>
          </w:tcPr>
          <w:p w14:paraId="104D0BE8" w14:textId="77777777" w:rsidR="00307118" w:rsidRPr="00C028F4" w:rsidRDefault="00307118" w:rsidP="005A65FF">
            <w:pPr>
              <w:pStyle w:val="Tabledata"/>
            </w:pPr>
            <w:r w:rsidRPr="00C028F4">
              <w:t>RL00620</w:t>
            </w:r>
          </w:p>
        </w:tc>
        <w:tc>
          <w:tcPr>
            <w:tcW w:w="3837" w:type="dxa"/>
            <w:hideMark/>
          </w:tcPr>
          <w:p w14:paraId="76CE73AF" w14:textId="77777777" w:rsidR="00307118" w:rsidRPr="00C028F4" w:rsidRDefault="00307118" w:rsidP="005A65FF">
            <w:pPr>
              <w:pStyle w:val="Tabledata"/>
            </w:pPr>
            <w:r w:rsidRPr="00C028F4">
              <w:t>Inconsistent Procedure Code and Diagnosis Code Exclusive Rule - claim line score and reason indicate the diagnosis is inconsistent with the procedure code. The service is not covered for the submitted diagnosis code.</w:t>
            </w:r>
          </w:p>
        </w:tc>
        <w:tc>
          <w:tcPr>
            <w:tcW w:w="4672" w:type="dxa"/>
            <w:hideMark/>
          </w:tcPr>
          <w:p w14:paraId="6938E773" w14:textId="77777777" w:rsidR="00307118" w:rsidRPr="00C028F4" w:rsidRDefault="00A442E6" w:rsidP="005A65FF">
            <w:pPr>
              <w:pStyle w:val="Tabledata"/>
            </w:pPr>
            <w:r w:rsidRPr="00C028F4">
              <w:t>If this is a coding error</w:t>
            </w:r>
            <w:r>
              <w:t xml:space="preserve"> or you believe the claims was rejected in error, contact the office that processed your claim</w:t>
            </w:r>
            <w:r w:rsidR="002B7C44">
              <w:t xml:space="preserve"> </w:t>
            </w:r>
            <w:r w:rsidRPr="00C028F4">
              <w:t>with supporting medical documentation that validates a change in coding/billing with a cover letter of explanation.</w:t>
            </w:r>
          </w:p>
        </w:tc>
      </w:tr>
      <w:tr w:rsidR="005A65FF" w:rsidRPr="00C028F4" w14:paraId="21925261" w14:textId="77777777" w:rsidTr="00C1422B">
        <w:trPr>
          <w:cantSplit/>
          <w:trHeight w:val="1440"/>
        </w:trPr>
        <w:tc>
          <w:tcPr>
            <w:tcW w:w="1705" w:type="dxa"/>
            <w:noWrap/>
            <w:hideMark/>
          </w:tcPr>
          <w:p w14:paraId="67AD24F2" w14:textId="77777777" w:rsidR="00A442E6" w:rsidRPr="00C028F4" w:rsidRDefault="00A442E6" w:rsidP="005A65FF">
            <w:pPr>
              <w:pStyle w:val="Tabledata"/>
            </w:pPr>
            <w:r w:rsidRPr="00C028F4">
              <w:t>RL00710</w:t>
            </w:r>
          </w:p>
        </w:tc>
        <w:tc>
          <w:tcPr>
            <w:tcW w:w="3837" w:type="dxa"/>
            <w:hideMark/>
          </w:tcPr>
          <w:p w14:paraId="786F3CD7" w14:textId="77777777" w:rsidR="00A442E6" w:rsidRPr="00C028F4" w:rsidRDefault="00A442E6" w:rsidP="005A65FF">
            <w:pPr>
              <w:pStyle w:val="Tabledata"/>
            </w:pPr>
            <w:r w:rsidRPr="00C028F4">
              <w:t>Inconsistent Place of Service and Procedure Code Inclusive Rule - claim line score and reason indicate the procedure code is inconsistent with the place of service.</w:t>
            </w:r>
          </w:p>
        </w:tc>
        <w:tc>
          <w:tcPr>
            <w:tcW w:w="4672" w:type="dxa"/>
            <w:hideMark/>
          </w:tcPr>
          <w:p w14:paraId="5E7DF7A5" w14:textId="77777777" w:rsidR="00A442E6" w:rsidRPr="00C028F4" w:rsidRDefault="00A442E6" w:rsidP="005A65FF">
            <w:pPr>
              <w:pStyle w:val="Tabledata"/>
            </w:pPr>
            <w:r w:rsidRPr="00CF4544">
              <w:t>If this is a coding error or you believe the claims was rejected in error, contact the office that processed your claim</w:t>
            </w:r>
            <w:r w:rsidR="002B7C44">
              <w:t xml:space="preserve"> </w:t>
            </w:r>
            <w:r w:rsidRPr="00CF4544">
              <w:t>with supporting medical documentation that validates a change in coding/billing with a cover letter of explanation.</w:t>
            </w:r>
          </w:p>
        </w:tc>
      </w:tr>
      <w:tr w:rsidR="005A65FF" w:rsidRPr="00C028F4" w14:paraId="21A179B1" w14:textId="77777777" w:rsidTr="00C1422B">
        <w:trPr>
          <w:cantSplit/>
          <w:trHeight w:val="1440"/>
        </w:trPr>
        <w:tc>
          <w:tcPr>
            <w:tcW w:w="1705" w:type="dxa"/>
            <w:noWrap/>
            <w:hideMark/>
          </w:tcPr>
          <w:p w14:paraId="056F1A20" w14:textId="77777777" w:rsidR="00A442E6" w:rsidRPr="00C028F4" w:rsidRDefault="00A442E6" w:rsidP="005A65FF">
            <w:pPr>
              <w:pStyle w:val="Tabledata"/>
            </w:pPr>
            <w:r w:rsidRPr="00C028F4">
              <w:lastRenderedPageBreak/>
              <w:t>RL00720</w:t>
            </w:r>
          </w:p>
        </w:tc>
        <w:tc>
          <w:tcPr>
            <w:tcW w:w="3837" w:type="dxa"/>
            <w:hideMark/>
          </w:tcPr>
          <w:p w14:paraId="1249EAA9" w14:textId="77777777" w:rsidR="00A442E6" w:rsidRPr="00C028F4" w:rsidRDefault="00A442E6" w:rsidP="005A65FF">
            <w:pPr>
              <w:pStyle w:val="Tabledata"/>
            </w:pPr>
            <w:r w:rsidRPr="00C028F4">
              <w:t>Inconsistent Place Of Service and Procedure Code Exclusive Rule - claim line score and reason indicate the procedure code is inconsistent with the place of service.</w:t>
            </w:r>
          </w:p>
        </w:tc>
        <w:tc>
          <w:tcPr>
            <w:tcW w:w="4672" w:type="dxa"/>
            <w:hideMark/>
          </w:tcPr>
          <w:p w14:paraId="38BC0F3D" w14:textId="77777777" w:rsidR="00A442E6" w:rsidRPr="00C028F4" w:rsidRDefault="00A442E6" w:rsidP="005A65FF">
            <w:pPr>
              <w:pStyle w:val="Tabledata"/>
            </w:pPr>
            <w:r w:rsidRPr="00CF4544">
              <w:t>If this is a coding error or you believe the claims was rejected in error, contact the office that processed your claim</w:t>
            </w:r>
            <w:r w:rsidR="002B7C44">
              <w:t xml:space="preserve"> </w:t>
            </w:r>
            <w:r w:rsidRPr="00CF4544">
              <w:t>with supporting medical documentation that validates a change in coding/billing with a cover letter of explanation.</w:t>
            </w:r>
          </w:p>
        </w:tc>
      </w:tr>
      <w:tr w:rsidR="005A65FF" w:rsidRPr="00C028F4" w14:paraId="2A7A2681" w14:textId="77777777" w:rsidTr="00C1422B">
        <w:trPr>
          <w:cantSplit/>
          <w:trHeight w:val="1440"/>
        </w:trPr>
        <w:tc>
          <w:tcPr>
            <w:tcW w:w="1705" w:type="dxa"/>
            <w:noWrap/>
            <w:hideMark/>
          </w:tcPr>
          <w:p w14:paraId="4AC64FAB" w14:textId="77777777" w:rsidR="00A442E6" w:rsidRPr="00C028F4" w:rsidRDefault="00A442E6" w:rsidP="005A65FF">
            <w:pPr>
              <w:pStyle w:val="Tabledata"/>
            </w:pPr>
            <w:r w:rsidRPr="00C028F4">
              <w:t>RL00810</w:t>
            </w:r>
          </w:p>
        </w:tc>
        <w:tc>
          <w:tcPr>
            <w:tcW w:w="3837" w:type="dxa"/>
            <w:hideMark/>
          </w:tcPr>
          <w:p w14:paraId="34EB4131" w14:textId="77777777" w:rsidR="00A442E6" w:rsidRPr="00C028F4" w:rsidRDefault="00A442E6" w:rsidP="005A65FF">
            <w:pPr>
              <w:pStyle w:val="Tabledata"/>
            </w:pPr>
            <w:r w:rsidRPr="00C028F4">
              <w:t>Inconsistent Provider Specialty Licensure and Procedure Code Inclusive Rule - claim line score and reason indicate the specialty licensure is inconsistent with the procedure code.</w:t>
            </w:r>
          </w:p>
        </w:tc>
        <w:tc>
          <w:tcPr>
            <w:tcW w:w="4672" w:type="dxa"/>
            <w:hideMark/>
          </w:tcPr>
          <w:p w14:paraId="4030C81F" w14:textId="77777777" w:rsidR="00A442E6" w:rsidRPr="00C028F4" w:rsidRDefault="00A442E6" w:rsidP="005A65FF">
            <w:pPr>
              <w:pStyle w:val="Tabledata"/>
            </w:pPr>
            <w:r w:rsidRPr="000A1672">
              <w:t>If this is a coding error or you believe the claims was rejected in error, contact the office that processed your claim</w:t>
            </w:r>
            <w:r w:rsidR="002B7C44">
              <w:t xml:space="preserve"> </w:t>
            </w:r>
            <w:r w:rsidRPr="000A1672">
              <w:t>with supporting medical documentation that validates a change in coding/billing with a cover letter of explanation.</w:t>
            </w:r>
          </w:p>
        </w:tc>
      </w:tr>
      <w:tr w:rsidR="005A65FF" w:rsidRPr="00C028F4" w14:paraId="1F02F5FA" w14:textId="77777777" w:rsidTr="00C1422B">
        <w:trPr>
          <w:cantSplit/>
          <w:trHeight w:val="1440"/>
        </w:trPr>
        <w:tc>
          <w:tcPr>
            <w:tcW w:w="1705" w:type="dxa"/>
            <w:noWrap/>
            <w:hideMark/>
          </w:tcPr>
          <w:p w14:paraId="2B23E327" w14:textId="77777777" w:rsidR="00A442E6" w:rsidRPr="00C028F4" w:rsidRDefault="00A442E6" w:rsidP="005A65FF">
            <w:pPr>
              <w:pStyle w:val="Tabledata"/>
            </w:pPr>
            <w:r w:rsidRPr="00C028F4">
              <w:t>RL00820</w:t>
            </w:r>
          </w:p>
        </w:tc>
        <w:tc>
          <w:tcPr>
            <w:tcW w:w="3837" w:type="dxa"/>
            <w:hideMark/>
          </w:tcPr>
          <w:p w14:paraId="1ACE232A" w14:textId="77777777" w:rsidR="00A442E6" w:rsidRPr="00C028F4" w:rsidRDefault="00A442E6" w:rsidP="005A65FF">
            <w:pPr>
              <w:pStyle w:val="Tabledata"/>
            </w:pPr>
            <w:r w:rsidRPr="00C028F4">
              <w:t>Inconsistent Provider Specialty Licensure and Procedure Code Exclusive Rule - claim line score and reason indicate the specialty licensure is inconsistent with the procedure code.</w:t>
            </w:r>
          </w:p>
        </w:tc>
        <w:tc>
          <w:tcPr>
            <w:tcW w:w="4672" w:type="dxa"/>
            <w:hideMark/>
          </w:tcPr>
          <w:p w14:paraId="7127CD7C" w14:textId="77777777" w:rsidR="00A442E6" w:rsidRPr="00C028F4" w:rsidRDefault="00A442E6" w:rsidP="005A65FF">
            <w:pPr>
              <w:pStyle w:val="Tabledata"/>
            </w:pPr>
            <w:r w:rsidRPr="000A1672">
              <w:t>If this is a coding error or you believe the claims was rejected in error, contact the office that processed your claim</w:t>
            </w:r>
            <w:r w:rsidR="002B7C44">
              <w:t xml:space="preserve"> </w:t>
            </w:r>
            <w:r w:rsidRPr="000A1672">
              <w:t>with supporting medical documentation that validates a change in coding/billing with a cover letter of explanation.</w:t>
            </w:r>
          </w:p>
        </w:tc>
      </w:tr>
      <w:tr w:rsidR="005A65FF" w:rsidRPr="00C028F4" w14:paraId="344A6D99" w14:textId="77777777" w:rsidTr="00C1422B">
        <w:trPr>
          <w:cantSplit/>
          <w:trHeight w:val="1440"/>
        </w:trPr>
        <w:tc>
          <w:tcPr>
            <w:tcW w:w="1705" w:type="dxa"/>
            <w:noWrap/>
            <w:hideMark/>
          </w:tcPr>
          <w:p w14:paraId="4FA328E6" w14:textId="77777777" w:rsidR="00307118" w:rsidRPr="00C028F4" w:rsidRDefault="00307118" w:rsidP="005A65FF">
            <w:pPr>
              <w:pStyle w:val="Tabledata"/>
            </w:pPr>
            <w:r w:rsidRPr="00C028F4">
              <w:t>FB…..</w:t>
            </w:r>
          </w:p>
        </w:tc>
        <w:tc>
          <w:tcPr>
            <w:tcW w:w="3837" w:type="dxa"/>
            <w:hideMark/>
          </w:tcPr>
          <w:p w14:paraId="4164D86B" w14:textId="239ED109" w:rsidR="00307118" w:rsidRPr="00C028F4" w:rsidRDefault="00307118" w:rsidP="005A65FF">
            <w:pPr>
              <w:pStyle w:val="Tabledata"/>
            </w:pPr>
            <w:r w:rsidRPr="00C028F4">
              <w:t xml:space="preserve">The claim was rejected by the Program Integrity </w:t>
            </w:r>
            <w:r w:rsidR="001A21E1">
              <w:t>Tool</w:t>
            </w:r>
            <w:r w:rsidR="00451F25">
              <w:t>s</w:t>
            </w:r>
            <w:r w:rsidR="00C1422B">
              <w:t>.</w:t>
            </w:r>
          </w:p>
        </w:tc>
        <w:tc>
          <w:tcPr>
            <w:tcW w:w="4672" w:type="dxa"/>
            <w:hideMark/>
          </w:tcPr>
          <w:p w14:paraId="54CF6B0B" w14:textId="77777777" w:rsidR="00307118" w:rsidRPr="00C028F4" w:rsidRDefault="00307118" w:rsidP="005A65FF">
            <w:pPr>
              <w:pStyle w:val="Tabledata"/>
            </w:pPr>
            <w:r w:rsidRPr="00C028F4">
              <w:t xml:space="preserve">Based </w:t>
            </w:r>
            <w:r w:rsidR="00451F25">
              <w:t xml:space="preserve">on </w:t>
            </w:r>
            <w:r w:rsidRPr="00C028F4">
              <w:t>multiple Fraud Abuse Management System Rules the claim</w:t>
            </w:r>
            <w:r w:rsidR="00451F25">
              <w:t xml:space="preserve"> or claim lines</w:t>
            </w:r>
            <w:r w:rsidRPr="00C028F4">
              <w:t xml:space="preserve"> ha</w:t>
            </w:r>
            <w:r w:rsidR="00451F25">
              <w:t>ve</w:t>
            </w:r>
            <w:r w:rsidRPr="00C028F4">
              <w:t xml:space="preserve"> scored extremely high and must be reviewed prior to resubmission.</w:t>
            </w:r>
            <w:r w:rsidR="002B7C44">
              <w:t xml:space="preserve"> </w:t>
            </w:r>
            <w:r w:rsidRPr="00C028F4">
              <w:t xml:space="preserve">If you dispute this finding, please </w:t>
            </w:r>
            <w:r w:rsidR="00AD5C68">
              <w:t>contact the office that processed your claim</w:t>
            </w:r>
            <w:r w:rsidRPr="00C028F4">
              <w:t xml:space="preserve"> with a cover letter explaining the reason(s) you feel you should be paid.</w:t>
            </w:r>
          </w:p>
        </w:tc>
      </w:tr>
      <w:tr w:rsidR="005A65FF" w:rsidRPr="00C028F4" w14:paraId="2CB9911A" w14:textId="77777777" w:rsidTr="00C1422B">
        <w:trPr>
          <w:cantSplit/>
          <w:trHeight w:val="1440"/>
        </w:trPr>
        <w:tc>
          <w:tcPr>
            <w:tcW w:w="1705" w:type="dxa"/>
            <w:noWrap/>
            <w:hideMark/>
          </w:tcPr>
          <w:p w14:paraId="265B4FF0" w14:textId="77777777" w:rsidR="00307118" w:rsidRPr="00C028F4" w:rsidRDefault="00307118" w:rsidP="005A65FF">
            <w:pPr>
              <w:pStyle w:val="Tabledata"/>
            </w:pPr>
            <w:r w:rsidRPr="00C028F4">
              <w:t>FBG623 (RL00310)</w:t>
            </w:r>
          </w:p>
        </w:tc>
        <w:tc>
          <w:tcPr>
            <w:tcW w:w="3837" w:type="dxa"/>
            <w:hideMark/>
          </w:tcPr>
          <w:p w14:paraId="18167D5C" w14:textId="77777777" w:rsidR="00307118" w:rsidRPr="00C028F4" w:rsidRDefault="00307118" w:rsidP="005A65FF">
            <w:pPr>
              <w:pStyle w:val="Tabledata"/>
            </w:pPr>
            <w:r w:rsidRPr="00C028F4">
              <w:t>Billing Excessive Hours - claim line score and reason score indicate that an excessive amount of hours were billed by the rendering provider the service date.</w:t>
            </w:r>
          </w:p>
        </w:tc>
        <w:tc>
          <w:tcPr>
            <w:tcW w:w="4672" w:type="dxa"/>
            <w:hideMark/>
          </w:tcPr>
          <w:p w14:paraId="31D3FDBA" w14:textId="77777777" w:rsidR="00307118" w:rsidRPr="00C028F4" w:rsidRDefault="00307118" w:rsidP="005A65FF">
            <w:pPr>
              <w:pStyle w:val="Tabledata"/>
            </w:pPr>
            <w:r w:rsidRPr="00C028F4">
              <w:t>The provider billed an excessive amount of hours, based on the relative value units and quantify for each procedure code for this service date.</w:t>
            </w:r>
            <w:r w:rsidR="002B7C44">
              <w:t xml:space="preserve"> </w:t>
            </w:r>
            <w:r w:rsidRPr="00C028F4">
              <w:t>If you can justify the excessive hours, please provide medical documentation supporting the hours billed.</w:t>
            </w:r>
            <w:r w:rsidR="002B7C44">
              <w:t xml:space="preserve"> </w:t>
            </w:r>
            <w:r w:rsidRPr="00C028F4">
              <w:t xml:space="preserve">Please </w:t>
            </w:r>
            <w:r w:rsidR="00AD5C68">
              <w:t>contact the office that processed your claim</w:t>
            </w:r>
            <w:r w:rsidRPr="00C028F4">
              <w:t xml:space="preserve"> with a cover letter explaining the reason(s) you feel you should be paid.</w:t>
            </w:r>
          </w:p>
        </w:tc>
      </w:tr>
    </w:tbl>
    <w:p w14:paraId="660065B0" w14:textId="77777777" w:rsidR="00307118" w:rsidRPr="00C028F4" w:rsidRDefault="00307118">
      <w:pPr>
        <w:rPr>
          <w:sz w:val="20"/>
          <w:szCs w:val="20"/>
        </w:rPr>
      </w:pPr>
    </w:p>
    <w:sectPr w:rsidR="00307118" w:rsidRPr="00C028F4" w:rsidSect="006351DA">
      <w:headerReference w:type="default" r:id="rId7"/>
      <w:footerReference w:type="default" r:id="rId8"/>
      <w:pgSz w:w="12240" w:h="15840"/>
      <w:pgMar w:top="1008" w:right="1008" w:bottom="1008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A8D7" w14:textId="77777777" w:rsidR="00BD7CF4" w:rsidRDefault="00BD7CF4" w:rsidP="00307118">
      <w:pPr>
        <w:spacing w:after="0" w:line="240" w:lineRule="auto"/>
      </w:pPr>
      <w:r>
        <w:separator/>
      </w:r>
    </w:p>
  </w:endnote>
  <w:endnote w:type="continuationSeparator" w:id="0">
    <w:p w14:paraId="2DF40A67" w14:textId="77777777" w:rsidR="00BD7CF4" w:rsidRDefault="00BD7CF4" w:rsidP="0030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48287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3427D" w14:textId="5C223380" w:rsidR="00307118" w:rsidRPr="006351DA" w:rsidRDefault="006351DA" w:rsidP="006351DA">
        <w:pPr>
          <w:pStyle w:val="Footer"/>
          <w:tabs>
            <w:tab w:val="clear" w:pos="4680"/>
            <w:tab w:val="clear" w:pos="9360"/>
            <w:tab w:val="right" w:pos="10170"/>
          </w:tabs>
          <w:rPr>
            <w:sz w:val="20"/>
            <w:szCs w:val="20"/>
          </w:rPr>
        </w:pPr>
        <w:r w:rsidRPr="006351DA">
          <w:rPr>
            <w:sz w:val="20"/>
            <w:szCs w:val="20"/>
          </w:rPr>
          <w:t>Date Updated: August 2022</w:t>
        </w:r>
        <w:r w:rsidRPr="006351DA">
          <w:rPr>
            <w:sz w:val="20"/>
            <w:szCs w:val="20"/>
          </w:rPr>
          <w:tab/>
        </w:r>
        <w:r w:rsidR="00307118" w:rsidRPr="006351DA">
          <w:rPr>
            <w:sz w:val="20"/>
            <w:szCs w:val="20"/>
          </w:rPr>
          <w:fldChar w:fldCharType="begin"/>
        </w:r>
        <w:r w:rsidR="00307118" w:rsidRPr="006351DA">
          <w:rPr>
            <w:sz w:val="20"/>
            <w:szCs w:val="20"/>
          </w:rPr>
          <w:instrText xml:space="preserve"> PAGE   \* MERGEFORMAT </w:instrText>
        </w:r>
        <w:r w:rsidR="00307118" w:rsidRPr="006351DA">
          <w:rPr>
            <w:sz w:val="20"/>
            <w:szCs w:val="20"/>
          </w:rPr>
          <w:fldChar w:fldCharType="separate"/>
        </w:r>
        <w:r w:rsidR="00D1373D" w:rsidRPr="006351DA">
          <w:rPr>
            <w:noProof/>
            <w:sz w:val="20"/>
            <w:szCs w:val="20"/>
          </w:rPr>
          <w:t>1</w:t>
        </w:r>
        <w:r w:rsidR="00307118" w:rsidRPr="006351DA">
          <w:rPr>
            <w:noProof/>
            <w:sz w:val="20"/>
            <w:szCs w:val="20"/>
          </w:rPr>
          <w:fldChar w:fldCharType="end"/>
        </w:r>
      </w:p>
    </w:sdtContent>
  </w:sdt>
  <w:p w14:paraId="1A4A673D" w14:textId="77777777" w:rsidR="00307118" w:rsidRDefault="00307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4D1F" w14:textId="77777777" w:rsidR="00BD7CF4" w:rsidRDefault="00BD7CF4" w:rsidP="00307118">
      <w:pPr>
        <w:spacing w:after="0" w:line="240" w:lineRule="auto"/>
      </w:pPr>
      <w:r>
        <w:separator/>
      </w:r>
    </w:p>
  </w:footnote>
  <w:footnote w:type="continuationSeparator" w:id="0">
    <w:p w14:paraId="36F51541" w14:textId="77777777" w:rsidR="00BD7CF4" w:rsidRDefault="00BD7CF4" w:rsidP="00307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540E" w14:textId="498427C1" w:rsidR="006351DA" w:rsidRDefault="006351DA" w:rsidP="006351DA">
    <w:pPr>
      <w:pStyle w:val="Header"/>
      <w:spacing w:line="360" w:lineRule="auto"/>
    </w:pPr>
    <w:r>
      <w:rPr>
        <w:noProof/>
      </w:rPr>
      <w:drawing>
        <wp:inline distT="0" distB="0" distL="0" distR="0" wp14:anchorId="5317CFEF" wp14:editId="0DD0B734">
          <wp:extent cx="2188902" cy="428077"/>
          <wp:effectExtent l="0" t="0" r="1905" b="0"/>
          <wp:docPr id="1" name="Picture 1" descr="VHA Office of Integrated Veteran Car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VHA Office of Integrated Veteran Care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902" cy="42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XlVVY5x8BowPyhbzqdzrhdHrvAyNCFLIOGe8YadXqwGTUNndeugqS51mf4UkbjjxeoNCNR125/7MLOhG+SA5ow==" w:salt="VFl2tROxNI1oGOiWIxqn4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18"/>
    <w:rsid w:val="00011144"/>
    <w:rsid w:val="0001302A"/>
    <w:rsid w:val="00051DF7"/>
    <w:rsid w:val="0005392F"/>
    <w:rsid w:val="00055328"/>
    <w:rsid w:val="000702A4"/>
    <w:rsid w:val="00123463"/>
    <w:rsid w:val="00171DEB"/>
    <w:rsid w:val="001A21E1"/>
    <w:rsid w:val="00203FE9"/>
    <w:rsid w:val="00207531"/>
    <w:rsid w:val="00232F3D"/>
    <w:rsid w:val="00270E02"/>
    <w:rsid w:val="002B7C44"/>
    <w:rsid w:val="002F1DAB"/>
    <w:rsid w:val="00307118"/>
    <w:rsid w:val="00330443"/>
    <w:rsid w:val="003560E0"/>
    <w:rsid w:val="003850B2"/>
    <w:rsid w:val="003B7050"/>
    <w:rsid w:val="003E29AA"/>
    <w:rsid w:val="004231DF"/>
    <w:rsid w:val="00451F25"/>
    <w:rsid w:val="004642A4"/>
    <w:rsid w:val="004C7475"/>
    <w:rsid w:val="00504451"/>
    <w:rsid w:val="005A65FF"/>
    <w:rsid w:val="005B4A29"/>
    <w:rsid w:val="006253D8"/>
    <w:rsid w:val="006275B0"/>
    <w:rsid w:val="006351DA"/>
    <w:rsid w:val="00654360"/>
    <w:rsid w:val="00684766"/>
    <w:rsid w:val="0073682B"/>
    <w:rsid w:val="00764028"/>
    <w:rsid w:val="007B0FC7"/>
    <w:rsid w:val="007D6956"/>
    <w:rsid w:val="008766EA"/>
    <w:rsid w:val="008A7C14"/>
    <w:rsid w:val="00A00C3F"/>
    <w:rsid w:val="00A442E6"/>
    <w:rsid w:val="00AD5C68"/>
    <w:rsid w:val="00AD7FAE"/>
    <w:rsid w:val="00B05EF2"/>
    <w:rsid w:val="00B31CE5"/>
    <w:rsid w:val="00B40002"/>
    <w:rsid w:val="00B4757E"/>
    <w:rsid w:val="00B66E61"/>
    <w:rsid w:val="00BD7CF4"/>
    <w:rsid w:val="00C028F4"/>
    <w:rsid w:val="00C1422B"/>
    <w:rsid w:val="00C53400"/>
    <w:rsid w:val="00C66BE7"/>
    <w:rsid w:val="00D1373D"/>
    <w:rsid w:val="00D50D4C"/>
    <w:rsid w:val="00EC6071"/>
    <w:rsid w:val="00F27AAC"/>
    <w:rsid w:val="00FB610D"/>
    <w:rsid w:val="00FD6D1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4C2E7"/>
  <w15:docId w15:val="{CF379F4D-02F0-4309-A309-D6F08A29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5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118"/>
  </w:style>
  <w:style w:type="paragraph" w:styleId="Footer">
    <w:name w:val="footer"/>
    <w:basedOn w:val="Normal"/>
    <w:link w:val="FooterChar"/>
    <w:uiPriority w:val="99"/>
    <w:unhideWhenUsed/>
    <w:rsid w:val="0030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118"/>
  </w:style>
  <w:style w:type="paragraph" w:styleId="BalloonText">
    <w:name w:val="Balloon Text"/>
    <w:basedOn w:val="Normal"/>
    <w:link w:val="BalloonTextChar"/>
    <w:uiPriority w:val="99"/>
    <w:semiHidden/>
    <w:unhideWhenUsed/>
    <w:rsid w:val="0030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7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7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6253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Kicker">
    <w:name w:val="Kicker"/>
    <w:basedOn w:val="Normal"/>
    <w:qFormat/>
    <w:rsid w:val="002F1DAB"/>
    <w:pPr>
      <w:spacing w:after="240" w:line="240" w:lineRule="auto"/>
      <w:jc w:val="center"/>
    </w:pPr>
    <w:rPr>
      <w:rFonts w:ascii="Arial" w:hAnsi="Arial" w:cs="Arial"/>
      <w:i/>
      <w:color w:val="365F91" w:themeColor="accent1" w:themeShade="BF"/>
    </w:rPr>
  </w:style>
  <w:style w:type="paragraph" w:customStyle="1" w:styleId="bodycopy">
    <w:name w:val="body copy"/>
    <w:basedOn w:val="Normal"/>
    <w:qFormat/>
    <w:rsid w:val="005A65FF"/>
    <w:pPr>
      <w:spacing w:after="240" w:line="280" w:lineRule="exact"/>
    </w:pPr>
    <w:rPr>
      <w:rFonts w:ascii="Georgia" w:eastAsia="Times New Roman" w:hAnsi="Georgia" w:cs="Arial"/>
      <w:bCs/>
      <w:color w:val="000000"/>
      <w:szCs w:val="20"/>
    </w:rPr>
  </w:style>
  <w:style w:type="paragraph" w:customStyle="1" w:styleId="Tableheading">
    <w:name w:val="Table heading"/>
    <w:basedOn w:val="Heading1"/>
    <w:qFormat/>
    <w:rsid w:val="007D6956"/>
    <w:pPr>
      <w:keepNext w:val="0"/>
      <w:keepLines w:val="0"/>
      <w:spacing w:before="0" w:line="260" w:lineRule="exact"/>
      <w:jc w:val="center"/>
    </w:pPr>
    <w:rPr>
      <w:rFonts w:ascii="Arial" w:hAnsi="Arial" w:cs="Arial"/>
      <w:color w:val="FFFFFF" w:themeColor="background1"/>
      <w:sz w:val="22"/>
      <w:szCs w:val="24"/>
    </w:rPr>
  </w:style>
  <w:style w:type="paragraph" w:customStyle="1" w:styleId="Tabledata">
    <w:name w:val="Table data"/>
    <w:basedOn w:val="Tableheading"/>
    <w:qFormat/>
    <w:rsid w:val="005A65FF"/>
    <w:pPr>
      <w:spacing w:after="120"/>
      <w:jc w:val="left"/>
      <w:outlineLvl w:val="9"/>
    </w:pPr>
    <w:rPr>
      <w:b w:val="0"/>
      <w:bCs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CB95-BB52-460B-BC98-C88DCADD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1523</Words>
  <Characters>8683</Characters>
  <Application>Microsoft Office Word</Application>
  <DocSecurity>8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Rejection Codes</vt:lpstr>
    </vt:vector>
  </TitlesOfParts>
  <Company>Department of Veterans Affairs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Rejection Codes</dc:title>
  <dc:subject>Explanation of Preliminary Fee Remittance Advice Report (PFRAR) rejection claim codes.</dc:subject>
  <dc:creator>VHA Office of Integrated Veteran Care, Program Integrity Department</dc:creator>
  <cp:keywords>Department of Veterans Affairs; VA; Office of Integrated Veterans Care; IVC; Program Integrity Tools; medical claims; rejection code; fraud, waste and abuse; Preliminary Fee Remittance Advice Report; PFRAR</cp:keywords>
  <dc:description>Rejection codes for providers on the Preliminary Fee Remittance Advice Report (PFRAR).</dc:description>
  <cp:lastModifiedBy>Farmer, Kelly (OCC)</cp:lastModifiedBy>
  <cp:revision>10</cp:revision>
  <cp:lastPrinted>2013-07-03T15:39:00Z</cp:lastPrinted>
  <dcterms:created xsi:type="dcterms:W3CDTF">2022-08-22T14:54:00Z</dcterms:created>
  <dcterms:modified xsi:type="dcterms:W3CDTF">2022-08-22T22:22:00Z</dcterms:modified>
  <dc:language>English</dc:language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DateReviewed">
    <vt:lpwstr>20220822</vt:lpwstr>
  </property>
  <property fmtid="{D5CDD505-2E9C-101B-9397-08002B2CF9AE}" pid="4" name="Type">
    <vt:lpwstr>General Information</vt:lpwstr>
  </property>
  <property fmtid="{D5CDD505-2E9C-101B-9397-08002B2CF9AE}" pid="5" name="DateCreated">
    <vt:lpwstr>20160112</vt:lpwstr>
  </property>
  <property fmtid="{D5CDD505-2E9C-101B-9397-08002B2CF9AE}" pid="6" name="Description">
    <vt:lpwstr>Explanation of Preliminary Fee Remittance Advice Report (PFRAR) rejection claim codes.</vt:lpwstr>
  </property>
</Properties>
</file>