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42E3" w14:textId="6B09F598" w:rsidR="00D82AD7" w:rsidRPr="00B422B4" w:rsidRDefault="003E455B" w:rsidP="00B422B4">
      <w:pPr>
        <w:jc w:val="center"/>
        <w:rPr>
          <w:rFonts w:cs="Arial"/>
          <w:b/>
          <w:sz w:val="36"/>
          <w:szCs w:val="36"/>
        </w:rPr>
      </w:pPr>
      <w:r w:rsidRPr="00B422B4">
        <w:rPr>
          <w:rFonts w:cs="Arial"/>
          <w:b/>
          <w:sz w:val="36"/>
          <w:szCs w:val="36"/>
        </w:rPr>
        <w:t xml:space="preserve">Supportive Services for Veteran Families (SSVF) </w:t>
      </w:r>
    </w:p>
    <w:p w14:paraId="0D5292F7" w14:textId="77777777" w:rsidR="00B422B4" w:rsidRDefault="00B422B4" w:rsidP="00B422B4">
      <w:pPr>
        <w:jc w:val="center"/>
        <w:rPr>
          <w:rFonts w:cs="Arial"/>
          <w:b/>
          <w:sz w:val="32"/>
          <w:szCs w:val="32"/>
        </w:rPr>
      </w:pPr>
      <w:r>
        <w:rPr>
          <w:rFonts w:cs="Arial"/>
          <w:b/>
          <w:sz w:val="32"/>
          <w:szCs w:val="32"/>
        </w:rPr>
        <w:t xml:space="preserve">Financial and Operational Fitness Audit (FOFA) </w:t>
      </w:r>
    </w:p>
    <w:p w14:paraId="5080C220" w14:textId="3A035C5D" w:rsidR="003E455B" w:rsidRPr="00B422B4" w:rsidRDefault="00E71905" w:rsidP="00B422B4">
      <w:pPr>
        <w:jc w:val="center"/>
        <w:rPr>
          <w:rFonts w:cs="Arial"/>
          <w:b/>
          <w:sz w:val="32"/>
          <w:szCs w:val="36"/>
        </w:rPr>
      </w:pPr>
      <w:r w:rsidRPr="00B422B4">
        <w:rPr>
          <w:rFonts w:cs="Arial"/>
          <w:b/>
          <w:sz w:val="32"/>
          <w:szCs w:val="36"/>
        </w:rPr>
        <w:t>Self-</w:t>
      </w:r>
      <w:r w:rsidR="00CE06FB" w:rsidRPr="00B422B4">
        <w:rPr>
          <w:rFonts w:cs="Arial"/>
          <w:b/>
          <w:sz w:val="32"/>
          <w:szCs w:val="36"/>
        </w:rPr>
        <w:t>Assessment</w:t>
      </w:r>
      <w:r w:rsidR="00DC1688" w:rsidRPr="00B422B4">
        <w:rPr>
          <w:rFonts w:cs="Arial"/>
          <w:b/>
          <w:sz w:val="32"/>
          <w:szCs w:val="36"/>
        </w:rPr>
        <w:t xml:space="preserve"> &amp; Preparation</w:t>
      </w:r>
      <w:r w:rsidR="00CE06FB" w:rsidRPr="00B422B4">
        <w:rPr>
          <w:rFonts w:cs="Arial"/>
          <w:b/>
          <w:sz w:val="32"/>
          <w:szCs w:val="36"/>
        </w:rPr>
        <w:t xml:space="preserve"> </w:t>
      </w:r>
      <w:r w:rsidR="009678D0" w:rsidRPr="00B422B4">
        <w:rPr>
          <w:rFonts w:cs="Arial"/>
          <w:b/>
          <w:sz w:val="32"/>
          <w:szCs w:val="36"/>
        </w:rPr>
        <w:t>Tool</w:t>
      </w:r>
    </w:p>
    <w:p w14:paraId="2DFB206C" w14:textId="77777777" w:rsidR="00B422B4" w:rsidRPr="00B422B4" w:rsidRDefault="00B422B4" w:rsidP="00B422B4">
      <w:pPr>
        <w:jc w:val="center"/>
        <w:rPr>
          <w:rFonts w:cs="Arial"/>
          <w:b/>
          <w:sz w:val="16"/>
          <w:szCs w:val="36"/>
        </w:rPr>
      </w:pPr>
    </w:p>
    <w:p w14:paraId="07DACF54" w14:textId="79538975" w:rsidR="00EE0FF2" w:rsidRDefault="00D8630A" w:rsidP="00EE0FF2">
      <w:pPr>
        <w:autoSpaceDE w:val="0"/>
        <w:autoSpaceDN w:val="0"/>
        <w:adjustRightInd w:val="0"/>
        <w:spacing w:after="240"/>
        <w:rPr>
          <w:rFonts w:eastAsiaTheme="minorHAnsi" w:cs="Arial"/>
          <w:sz w:val="22"/>
          <w:szCs w:val="22"/>
          <w:lang w:eastAsia="en-US"/>
        </w:rPr>
      </w:pPr>
      <w:r>
        <w:rPr>
          <w:rFonts w:eastAsiaTheme="minorHAnsi" w:cs="Arial"/>
          <w:sz w:val="22"/>
          <w:szCs w:val="22"/>
          <w:lang w:eastAsia="en-US"/>
        </w:rPr>
        <w:t xml:space="preserve">Grantees should ensure they can </w:t>
      </w:r>
      <w:r w:rsidR="00FF1716">
        <w:rPr>
          <w:rFonts w:eastAsiaTheme="minorHAnsi" w:cs="Arial"/>
          <w:sz w:val="22"/>
          <w:szCs w:val="22"/>
          <w:lang w:eastAsia="en-US"/>
        </w:rPr>
        <w:t>check off</w:t>
      </w:r>
      <w:r>
        <w:rPr>
          <w:rFonts w:eastAsiaTheme="minorHAnsi" w:cs="Arial"/>
          <w:sz w:val="22"/>
          <w:szCs w:val="22"/>
          <w:lang w:eastAsia="en-US"/>
        </w:rPr>
        <w:t xml:space="preserve"> all </w:t>
      </w:r>
      <w:r w:rsidR="00FF1716">
        <w:rPr>
          <w:rFonts w:eastAsiaTheme="minorHAnsi" w:cs="Arial"/>
          <w:sz w:val="22"/>
          <w:szCs w:val="22"/>
          <w:lang w:eastAsia="en-US"/>
        </w:rPr>
        <w:t>statements</w:t>
      </w:r>
      <w:r>
        <w:rPr>
          <w:rFonts w:eastAsiaTheme="minorHAnsi" w:cs="Arial"/>
          <w:sz w:val="22"/>
          <w:szCs w:val="22"/>
          <w:lang w:eastAsia="en-US"/>
        </w:rPr>
        <w:t xml:space="preserve"> below</w:t>
      </w:r>
      <w:r w:rsidR="00D72866">
        <w:rPr>
          <w:rFonts w:eastAsiaTheme="minorHAnsi" w:cs="Arial"/>
          <w:sz w:val="22"/>
          <w:szCs w:val="22"/>
          <w:lang w:eastAsia="en-US"/>
        </w:rPr>
        <w:t xml:space="preserve"> and verify their programs meet all requirements outlined</w:t>
      </w:r>
      <w:r w:rsidR="004654B2">
        <w:rPr>
          <w:rFonts w:eastAsiaTheme="minorHAnsi" w:cs="Arial"/>
          <w:sz w:val="22"/>
          <w:szCs w:val="22"/>
          <w:lang w:eastAsia="en-US"/>
        </w:rPr>
        <w:t xml:space="preserve"> </w:t>
      </w:r>
      <w:r>
        <w:rPr>
          <w:rFonts w:eastAsiaTheme="minorHAnsi" w:cs="Arial"/>
          <w:sz w:val="22"/>
          <w:szCs w:val="22"/>
          <w:lang w:eastAsia="en-US"/>
        </w:rPr>
        <w:t>to be prepared for their</w:t>
      </w:r>
      <w:r w:rsidR="00D72866">
        <w:rPr>
          <w:rFonts w:eastAsiaTheme="minorHAnsi" w:cs="Arial"/>
          <w:sz w:val="22"/>
          <w:szCs w:val="22"/>
          <w:lang w:eastAsia="en-US"/>
        </w:rPr>
        <w:t xml:space="preserve"> </w:t>
      </w:r>
      <w:r w:rsidR="001116C1">
        <w:rPr>
          <w:rFonts w:eastAsiaTheme="minorHAnsi" w:cs="Arial"/>
          <w:sz w:val="22"/>
          <w:szCs w:val="22"/>
          <w:lang w:eastAsia="en-US"/>
        </w:rPr>
        <w:t>FOFA</w:t>
      </w:r>
      <w:r>
        <w:rPr>
          <w:rFonts w:eastAsiaTheme="minorHAnsi" w:cs="Arial"/>
          <w:sz w:val="22"/>
          <w:szCs w:val="22"/>
          <w:lang w:eastAsia="en-US"/>
        </w:rPr>
        <w:t>.</w:t>
      </w:r>
      <w:r w:rsidR="004654B2">
        <w:rPr>
          <w:rFonts w:eastAsiaTheme="minorHAnsi" w:cs="Arial"/>
          <w:sz w:val="22"/>
          <w:szCs w:val="22"/>
          <w:lang w:eastAsia="en-US"/>
        </w:rPr>
        <w:t xml:space="preserve"> </w:t>
      </w:r>
    </w:p>
    <w:tbl>
      <w:tblPr>
        <w:tblW w:w="9355" w:type="dxa"/>
        <w:tblLook w:val="04A0" w:firstRow="1" w:lastRow="0" w:firstColumn="1" w:lastColumn="0" w:noHBand="0" w:noVBand="1"/>
      </w:tblPr>
      <w:tblGrid>
        <w:gridCol w:w="9355"/>
      </w:tblGrid>
      <w:tr w:rsidR="00B62BE6" w:rsidRPr="00B62BE6" w14:paraId="4891DCBC" w14:textId="77777777" w:rsidTr="00B4590D">
        <w:trPr>
          <w:trHeight w:val="315"/>
        </w:trPr>
        <w:tc>
          <w:tcPr>
            <w:tcW w:w="935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EE093C6" w14:textId="77777777" w:rsidR="00B62BE6" w:rsidRPr="00B62BE6" w:rsidRDefault="00B62BE6" w:rsidP="00B62BE6">
            <w:pPr>
              <w:rPr>
                <w:rFonts w:eastAsia="Times New Roman" w:cs="Arial"/>
                <w:b/>
                <w:bCs/>
                <w:color w:val="000000"/>
                <w:sz w:val="24"/>
                <w:lang w:eastAsia="en-US"/>
              </w:rPr>
            </w:pPr>
            <w:r w:rsidRPr="00B62BE6">
              <w:rPr>
                <w:rFonts w:eastAsia="Times New Roman" w:cs="Arial"/>
                <w:b/>
                <w:bCs/>
                <w:color w:val="000000"/>
                <w:sz w:val="24"/>
                <w:lang w:eastAsia="en-US"/>
              </w:rPr>
              <w:t>Program Goals and Progress</w:t>
            </w:r>
            <w:r w:rsidRPr="00B62BE6">
              <w:rPr>
                <w:rFonts w:eastAsia="Times New Roman" w:cs="Arial"/>
                <w:color w:val="000000"/>
                <w:sz w:val="24"/>
                <w:lang w:eastAsia="en-US"/>
              </w:rPr>
              <w:t> </w:t>
            </w:r>
          </w:p>
        </w:tc>
      </w:tr>
      <w:tr w:rsidR="00B62BE6" w:rsidRPr="00B62BE6" w14:paraId="5D535FF2" w14:textId="77777777" w:rsidTr="00B4590D">
        <w:trPr>
          <w:trHeight w:val="368"/>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ECDEEEB"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 program is on track to achieve the annual households served goal.</w:t>
            </w:r>
          </w:p>
        </w:tc>
      </w:tr>
      <w:tr w:rsidR="00B62BE6" w:rsidRPr="00B62BE6" w14:paraId="7E65D590" w14:textId="77777777" w:rsidTr="00B4590D">
        <w:trPr>
          <w:trHeight w:val="332"/>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6294B80E"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 program is drawing down in line with VA recommendations to ensure efficient grant expenditure.</w:t>
            </w:r>
          </w:p>
        </w:tc>
      </w:tr>
      <w:tr w:rsidR="00B62BE6" w:rsidRPr="00B62BE6" w14:paraId="6D73966D"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23BEE568" w14:textId="333A09C2"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Current SSVF staff match exactly to the approved budget staffing plan or </w:t>
            </w:r>
            <w:r w:rsidR="006C0773">
              <w:rPr>
                <w:rFonts w:eastAsia="Times New Roman" w:cs="Arial"/>
                <w:color w:val="000000"/>
                <w:sz w:val="22"/>
                <w:szCs w:val="22"/>
                <w:lang w:eastAsia="en-US"/>
              </w:rPr>
              <w:t xml:space="preserve">there is </w:t>
            </w:r>
            <w:r w:rsidRPr="00B62BE6">
              <w:rPr>
                <w:rFonts w:eastAsia="Times New Roman" w:cs="Arial"/>
                <w:color w:val="000000"/>
                <w:sz w:val="22"/>
                <w:szCs w:val="22"/>
                <w:lang w:eastAsia="en-US"/>
              </w:rPr>
              <w:t>evidence of an approved budget change.</w:t>
            </w:r>
          </w:p>
        </w:tc>
      </w:tr>
      <w:tr w:rsidR="00B62BE6" w:rsidRPr="00B62BE6" w14:paraId="7F6BCBBB"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65ED707" w14:textId="14CD544E"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 </w:t>
            </w:r>
            <w:r w:rsidR="006C0773">
              <w:rPr>
                <w:rFonts w:eastAsia="Times New Roman" w:cs="Arial"/>
                <w:color w:val="000000"/>
                <w:sz w:val="22"/>
                <w:szCs w:val="22"/>
                <w:lang w:eastAsia="en-US"/>
              </w:rPr>
              <w:t>G</w:t>
            </w:r>
            <w:r w:rsidRPr="00B62BE6">
              <w:rPr>
                <w:rFonts w:eastAsia="Times New Roman" w:cs="Arial"/>
                <w:color w:val="000000"/>
                <w:sz w:val="22"/>
                <w:szCs w:val="22"/>
                <w:lang w:eastAsia="en-US"/>
              </w:rPr>
              <w:t xml:space="preserve">rantee is spending a minimum of 60% of </w:t>
            </w:r>
            <w:r w:rsidR="006C0773">
              <w:rPr>
                <w:rFonts w:eastAsia="Times New Roman" w:cs="Arial"/>
                <w:color w:val="000000"/>
                <w:sz w:val="22"/>
                <w:szCs w:val="22"/>
                <w:lang w:eastAsia="en-US"/>
              </w:rPr>
              <w:t>Temporary Financial Assistance (</w:t>
            </w:r>
            <w:r w:rsidRPr="00B62BE6">
              <w:rPr>
                <w:rFonts w:eastAsia="Times New Roman" w:cs="Arial"/>
                <w:color w:val="000000"/>
                <w:sz w:val="22"/>
                <w:szCs w:val="22"/>
                <w:lang w:eastAsia="en-US"/>
              </w:rPr>
              <w:t>TFA</w:t>
            </w:r>
            <w:r w:rsidR="006C0773">
              <w:rPr>
                <w:rFonts w:eastAsia="Times New Roman" w:cs="Arial"/>
                <w:color w:val="000000"/>
                <w:sz w:val="22"/>
                <w:szCs w:val="22"/>
                <w:lang w:eastAsia="en-US"/>
              </w:rPr>
              <w:t>)</w:t>
            </w:r>
            <w:r w:rsidRPr="00B62BE6">
              <w:rPr>
                <w:rFonts w:eastAsia="Times New Roman" w:cs="Arial"/>
                <w:color w:val="000000"/>
                <w:sz w:val="22"/>
                <w:szCs w:val="22"/>
                <w:lang w:eastAsia="en-US"/>
              </w:rPr>
              <w:t xml:space="preserve"> on Rapid Rehousing households or has a waiver and meets the requirements outlined in the waiver.</w:t>
            </w:r>
          </w:p>
        </w:tc>
      </w:tr>
      <w:tr w:rsidR="00B62BE6" w:rsidRPr="00B62BE6" w14:paraId="23D4D342" w14:textId="77777777" w:rsidTr="00B4590D">
        <w:trPr>
          <w:trHeight w:val="285"/>
        </w:trPr>
        <w:tc>
          <w:tcPr>
            <w:tcW w:w="9355" w:type="dxa"/>
            <w:tcBorders>
              <w:top w:val="nil"/>
              <w:left w:val="nil"/>
              <w:bottom w:val="nil"/>
              <w:right w:val="nil"/>
            </w:tcBorders>
            <w:shd w:val="clear" w:color="auto" w:fill="auto"/>
            <w:noWrap/>
            <w:vAlign w:val="bottom"/>
            <w:hideMark/>
          </w:tcPr>
          <w:p w14:paraId="6573BADE" w14:textId="77777777" w:rsidR="00B62BE6" w:rsidRPr="00B62BE6" w:rsidRDefault="00B62BE6" w:rsidP="00B62BE6">
            <w:pPr>
              <w:rPr>
                <w:rFonts w:eastAsia="Times New Roman" w:cs="Arial"/>
                <w:color w:val="000000"/>
                <w:sz w:val="22"/>
                <w:szCs w:val="22"/>
                <w:lang w:eastAsia="en-US"/>
              </w:rPr>
            </w:pPr>
          </w:p>
        </w:tc>
      </w:tr>
      <w:tr w:rsidR="00B62BE6" w:rsidRPr="00B62BE6" w14:paraId="7C025548" w14:textId="77777777" w:rsidTr="00B4590D">
        <w:trPr>
          <w:trHeight w:val="315"/>
        </w:trPr>
        <w:tc>
          <w:tcPr>
            <w:tcW w:w="935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6B94113" w14:textId="77777777" w:rsidR="00B62BE6" w:rsidRPr="00B62BE6" w:rsidRDefault="00B62BE6" w:rsidP="00B62BE6">
            <w:pPr>
              <w:rPr>
                <w:rFonts w:eastAsia="Times New Roman" w:cs="Arial"/>
                <w:b/>
                <w:bCs/>
                <w:color w:val="000000"/>
                <w:sz w:val="24"/>
                <w:lang w:eastAsia="en-US"/>
              </w:rPr>
            </w:pPr>
            <w:r w:rsidRPr="00B62BE6">
              <w:rPr>
                <w:rFonts w:eastAsia="Times New Roman" w:cs="Arial"/>
                <w:b/>
                <w:bCs/>
                <w:color w:val="000000"/>
                <w:sz w:val="24"/>
                <w:lang w:eastAsia="en-US"/>
              </w:rPr>
              <w:t>Policies and Procedures (P&amp;P)</w:t>
            </w:r>
          </w:p>
        </w:tc>
      </w:tr>
      <w:tr w:rsidR="00B62BE6" w:rsidRPr="00B62BE6" w14:paraId="7DA10AF6" w14:textId="77777777" w:rsidTr="00B4590D">
        <w:trPr>
          <w:trHeight w:val="683"/>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08EB421" w14:textId="7F30392D"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Established P&amp;P specific to SSVF (reflect the most recent version issued by the SSVF Program Office</w:t>
            </w:r>
            <w:r w:rsidR="007733F5">
              <w:rPr>
                <w:rFonts w:eastAsia="Times New Roman" w:cs="Arial"/>
                <w:color w:val="000000"/>
                <w:sz w:val="22"/>
                <w:szCs w:val="22"/>
                <w:lang w:eastAsia="en-US"/>
              </w:rPr>
              <w:t xml:space="preserve"> to include all </w:t>
            </w:r>
            <w:r w:rsidR="00AD5579">
              <w:rPr>
                <w:rFonts w:eastAsia="Times New Roman" w:cs="Arial"/>
                <w:color w:val="000000"/>
                <w:sz w:val="22"/>
                <w:szCs w:val="22"/>
                <w:lang w:eastAsia="en-US"/>
              </w:rPr>
              <w:t>types of assistance – RRH, HP, RH, SSI, RR...</w:t>
            </w:r>
            <w:r w:rsidRPr="00B62BE6">
              <w:rPr>
                <w:rFonts w:eastAsia="Times New Roman" w:cs="Arial"/>
                <w:color w:val="000000"/>
                <w:sz w:val="22"/>
                <w:szCs w:val="22"/>
                <w:lang w:eastAsia="en-US"/>
              </w:rPr>
              <w:t>) that highlight the following elements:</w:t>
            </w:r>
          </w:p>
        </w:tc>
      </w:tr>
      <w:tr w:rsidR="00B62BE6" w:rsidRPr="00B62BE6" w14:paraId="5D8B27A8"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262E6952" w14:textId="2C94336D"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Coordination with Local Continuums of Care (CoCs)</w:t>
            </w:r>
          </w:p>
        </w:tc>
      </w:tr>
      <w:tr w:rsidR="00B62BE6" w:rsidRPr="00B62BE6" w14:paraId="68E87064"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3E7D5310" w14:textId="3DE8F890"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Coordination with VA Medical Centers</w:t>
            </w:r>
          </w:p>
        </w:tc>
      </w:tr>
      <w:tr w:rsidR="00B62BE6" w:rsidRPr="00B62BE6" w14:paraId="217136C9"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382C9587" w14:textId="3467494D"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Outreach, Assessment, Application, and Intake</w:t>
            </w:r>
          </w:p>
        </w:tc>
      </w:tr>
      <w:tr w:rsidR="00B62BE6" w:rsidRPr="00B62BE6" w14:paraId="756AAC01"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F4F6F3A" w14:textId="6BC906FC"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Domestic Violence</w:t>
            </w:r>
          </w:p>
        </w:tc>
      </w:tr>
      <w:tr w:rsidR="00B62BE6" w:rsidRPr="00B62BE6" w14:paraId="273952A3"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8559B73" w14:textId="1B53C115"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Assistance in Obtaining VA Benefits and Coordinating Other Public Benefits</w:t>
            </w:r>
          </w:p>
        </w:tc>
      </w:tr>
      <w:tr w:rsidR="00B62BE6" w:rsidRPr="00B62BE6" w14:paraId="470BED2B"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5D23F21B" w14:textId="155643D1"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SSVF Eligibility Requirements (Initial Eligibility and Recertification)</w:t>
            </w:r>
          </w:p>
        </w:tc>
      </w:tr>
      <w:tr w:rsidR="00B62BE6" w:rsidRPr="00B62BE6" w14:paraId="39A11D22"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2F967206" w14:textId="71F2571A"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Case Management Services</w:t>
            </w:r>
          </w:p>
        </w:tc>
      </w:tr>
      <w:tr w:rsidR="00B62BE6" w:rsidRPr="00B62BE6" w14:paraId="6CD0169A"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74E769BB" w14:textId="3B35C428"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Case File Management &amp; Documentation Standards/Requirements</w:t>
            </w:r>
          </w:p>
        </w:tc>
      </w:tr>
      <w:tr w:rsidR="00B62BE6" w:rsidRPr="00B62BE6" w14:paraId="4BE1CC42"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60012E7" w14:textId="3B9623DF"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xml:space="preserve">▪ Processing and </w:t>
            </w:r>
            <w:r w:rsidR="006C0773">
              <w:rPr>
                <w:rFonts w:eastAsia="Times New Roman" w:cs="Arial"/>
                <w:color w:val="000000"/>
                <w:sz w:val="22"/>
                <w:szCs w:val="22"/>
                <w:lang w:eastAsia="en-US"/>
              </w:rPr>
              <w:t>D</w:t>
            </w:r>
            <w:r w:rsidRPr="00B62BE6">
              <w:rPr>
                <w:rFonts w:eastAsia="Times New Roman" w:cs="Arial"/>
                <w:color w:val="000000"/>
                <w:sz w:val="22"/>
                <w:szCs w:val="22"/>
                <w:lang w:eastAsia="en-US"/>
              </w:rPr>
              <w:t xml:space="preserve">isposition of </w:t>
            </w:r>
            <w:r w:rsidR="006C0773">
              <w:rPr>
                <w:rFonts w:eastAsia="Times New Roman" w:cs="Arial"/>
                <w:color w:val="000000"/>
                <w:sz w:val="22"/>
                <w:szCs w:val="22"/>
                <w:lang w:eastAsia="en-US"/>
              </w:rPr>
              <w:t>I</w:t>
            </w:r>
            <w:r w:rsidRPr="00B62BE6">
              <w:rPr>
                <w:rFonts w:eastAsia="Times New Roman" w:cs="Arial"/>
                <w:color w:val="000000"/>
                <w:sz w:val="22"/>
                <w:szCs w:val="22"/>
                <w:lang w:eastAsia="en-US"/>
              </w:rPr>
              <w:t xml:space="preserve">neligible </w:t>
            </w:r>
            <w:r w:rsidR="006C0773">
              <w:rPr>
                <w:rFonts w:eastAsia="Times New Roman" w:cs="Arial"/>
                <w:color w:val="000000"/>
                <w:sz w:val="22"/>
                <w:szCs w:val="22"/>
                <w:lang w:eastAsia="en-US"/>
              </w:rPr>
              <w:t>A</w:t>
            </w:r>
            <w:r w:rsidRPr="00B62BE6">
              <w:rPr>
                <w:rFonts w:eastAsia="Times New Roman" w:cs="Arial"/>
                <w:color w:val="000000"/>
                <w:sz w:val="22"/>
                <w:szCs w:val="22"/>
                <w:lang w:eastAsia="en-US"/>
              </w:rPr>
              <w:t>pplicants</w:t>
            </w:r>
          </w:p>
        </w:tc>
      </w:tr>
      <w:tr w:rsidR="00B62BE6" w:rsidRPr="00B62BE6" w14:paraId="4EEED243"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3065DD7D" w14:textId="3DD5875B"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Grievance Process (Participants and Ineligible Applicants)</w:t>
            </w:r>
          </w:p>
        </w:tc>
      </w:tr>
      <w:tr w:rsidR="00B62BE6" w:rsidRPr="00B62BE6" w14:paraId="4F341E9E"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3B05239D" w14:textId="09EAEB25"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xml:space="preserve">▪ Processing HUD-VASH Packets, Allowable </w:t>
            </w:r>
            <w:r w:rsidR="006C0773">
              <w:rPr>
                <w:rFonts w:eastAsia="Times New Roman" w:cs="Arial"/>
                <w:color w:val="000000"/>
                <w:sz w:val="22"/>
                <w:szCs w:val="22"/>
                <w:lang w:eastAsia="en-US"/>
              </w:rPr>
              <w:t>TFA</w:t>
            </w:r>
            <w:r w:rsidRPr="00B62BE6">
              <w:rPr>
                <w:rFonts w:eastAsia="Times New Roman" w:cs="Arial"/>
                <w:color w:val="000000"/>
                <w:sz w:val="22"/>
                <w:szCs w:val="22"/>
                <w:lang w:eastAsia="en-US"/>
              </w:rPr>
              <w:t xml:space="preserve">, and Restrictions </w:t>
            </w:r>
          </w:p>
        </w:tc>
      </w:tr>
      <w:tr w:rsidR="00B62BE6" w:rsidRPr="00B62BE6" w14:paraId="703CE5E8"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D877269" w14:textId="144BA8B6"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xml:space="preserve">▪ </w:t>
            </w:r>
            <w:r w:rsidR="006C0773">
              <w:rPr>
                <w:rFonts w:eastAsia="Times New Roman" w:cs="Arial"/>
                <w:color w:val="000000"/>
                <w:sz w:val="22"/>
                <w:szCs w:val="22"/>
                <w:lang w:eastAsia="en-US"/>
              </w:rPr>
              <w:t xml:space="preserve">TFA </w:t>
            </w:r>
            <w:r w:rsidRPr="00B62BE6">
              <w:rPr>
                <w:rFonts w:eastAsia="Times New Roman" w:cs="Arial"/>
                <w:color w:val="000000"/>
                <w:sz w:val="22"/>
                <w:szCs w:val="22"/>
                <w:lang w:eastAsia="en-US"/>
              </w:rPr>
              <w:t>(Allowable/Unallowable, Forms of, Limits, Restrictions, etc..)</w:t>
            </w:r>
          </w:p>
        </w:tc>
      </w:tr>
      <w:tr w:rsidR="00B62BE6" w:rsidRPr="00B62BE6" w14:paraId="0002A3F0"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6B4CE539" w14:textId="23F30A69"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xml:space="preserve">▪ Landlord Recruitment and Retention </w:t>
            </w:r>
          </w:p>
        </w:tc>
      </w:tr>
      <w:tr w:rsidR="00B62BE6" w:rsidRPr="00B62BE6" w14:paraId="448A9EAD"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057D4C8" w14:textId="09BA99A5"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xml:space="preserve">▪ Confidentiality of </w:t>
            </w:r>
            <w:r w:rsidR="006C0773">
              <w:rPr>
                <w:rFonts w:eastAsia="Times New Roman" w:cs="Arial"/>
                <w:color w:val="000000"/>
                <w:sz w:val="22"/>
                <w:szCs w:val="22"/>
                <w:lang w:eastAsia="en-US"/>
              </w:rPr>
              <w:t>C</w:t>
            </w:r>
            <w:r w:rsidRPr="00B62BE6">
              <w:rPr>
                <w:rFonts w:eastAsia="Times New Roman" w:cs="Arial"/>
                <w:color w:val="000000"/>
                <w:sz w:val="22"/>
                <w:szCs w:val="22"/>
                <w:lang w:eastAsia="en-US"/>
              </w:rPr>
              <w:t xml:space="preserve">lient </w:t>
            </w:r>
            <w:r w:rsidR="006C0773">
              <w:rPr>
                <w:rFonts w:eastAsia="Times New Roman" w:cs="Arial"/>
                <w:color w:val="000000"/>
                <w:sz w:val="22"/>
                <w:szCs w:val="22"/>
                <w:lang w:eastAsia="en-US"/>
              </w:rPr>
              <w:t>D</w:t>
            </w:r>
            <w:r w:rsidRPr="00B62BE6">
              <w:rPr>
                <w:rFonts w:eastAsia="Times New Roman" w:cs="Arial"/>
                <w:color w:val="000000"/>
                <w:sz w:val="22"/>
                <w:szCs w:val="22"/>
                <w:lang w:eastAsia="en-US"/>
              </w:rPr>
              <w:t>ata (paper/electronic)</w:t>
            </w:r>
          </w:p>
        </w:tc>
      </w:tr>
      <w:tr w:rsidR="00B62BE6" w:rsidRPr="00B62BE6" w14:paraId="421C538B"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4F625FF" w14:textId="6CAE3B85"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Employment, Legal, or other Services Provided (as necessary)</w:t>
            </w:r>
          </w:p>
        </w:tc>
      </w:tr>
      <w:tr w:rsidR="00B62BE6" w:rsidRPr="00B62BE6" w14:paraId="3737B8B0"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53BDE645" w14:textId="51C42BB9"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Program Exit or Termination of Assistance</w:t>
            </w:r>
          </w:p>
        </w:tc>
      </w:tr>
      <w:tr w:rsidR="00B62BE6" w:rsidRPr="00B62BE6" w14:paraId="0ECE641C"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6FB506AF" w14:textId="1A294A9F"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Satisfaction Surveys</w:t>
            </w:r>
          </w:p>
        </w:tc>
      </w:tr>
      <w:tr w:rsidR="00B62BE6" w:rsidRPr="00B62BE6" w14:paraId="0D866E39"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EE33574" w14:textId="20411186" w:rsidR="00B62BE6" w:rsidRPr="00B62BE6" w:rsidRDefault="00B62BE6"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HMIS Reporting Requirements (if not addressed via Data Quality Plan P&amp;P)</w:t>
            </w:r>
          </w:p>
        </w:tc>
      </w:tr>
      <w:tr w:rsidR="00CE28AF" w:rsidRPr="00B62BE6" w14:paraId="4CD0AA5D"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tcPr>
          <w:p w14:paraId="72BCB74B" w14:textId="49A4A6E3" w:rsidR="00CE28AF" w:rsidRPr="00B62BE6" w:rsidRDefault="00CE28AF" w:rsidP="006C0773">
            <w:pPr>
              <w:ind w:left="720"/>
              <w:rPr>
                <w:rFonts w:eastAsia="Times New Roman" w:cs="Arial"/>
                <w:color w:val="000000"/>
                <w:sz w:val="22"/>
                <w:szCs w:val="22"/>
                <w:lang w:eastAsia="en-US"/>
              </w:rPr>
            </w:pPr>
            <w:r w:rsidRPr="00B62BE6">
              <w:rPr>
                <w:rFonts w:eastAsia="Times New Roman" w:cs="Arial"/>
                <w:color w:val="000000"/>
                <w:sz w:val="22"/>
                <w:szCs w:val="22"/>
                <w:lang w:eastAsia="en-US"/>
              </w:rPr>
              <w:t xml:space="preserve">▪ </w:t>
            </w:r>
            <w:r>
              <w:rPr>
                <w:rFonts w:eastAsia="Times New Roman" w:cs="Arial"/>
                <w:color w:val="000000"/>
                <w:sz w:val="22"/>
                <w:szCs w:val="22"/>
                <w:lang w:eastAsia="en-US"/>
              </w:rPr>
              <w:t>Vehicle Policy (if applicable)</w:t>
            </w:r>
          </w:p>
        </w:tc>
      </w:tr>
      <w:tr w:rsidR="00B62BE6" w:rsidRPr="00B62BE6" w14:paraId="08C7807E" w14:textId="77777777" w:rsidTr="00B4590D">
        <w:trPr>
          <w:trHeight w:val="35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793F3454" w14:textId="77777777"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Established P&amp;P addressing Critical Incidents.</w:t>
            </w:r>
          </w:p>
        </w:tc>
      </w:tr>
      <w:tr w:rsidR="00B62BE6" w:rsidRPr="00B62BE6" w14:paraId="528398EC" w14:textId="77777777" w:rsidTr="00AD5579">
        <w:trPr>
          <w:trHeight w:val="323"/>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68990C8E" w14:textId="77777777"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Established P&amp;P for clients and staff addressing potential fraud, waste and abuse and reporting methods.</w:t>
            </w:r>
          </w:p>
        </w:tc>
      </w:tr>
      <w:tr w:rsidR="00B62BE6" w:rsidRPr="00B62BE6" w14:paraId="7EF04E53" w14:textId="77777777" w:rsidTr="00AD5579">
        <w:trPr>
          <w:trHeight w:val="368"/>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8E80CF" w14:textId="77777777"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lastRenderedPageBreak/>
              <w:t>☐</w:t>
            </w:r>
            <w:r w:rsidRPr="00B62BE6">
              <w:rPr>
                <w:rFonts w:eastAsia="Times New Roman" w:cs="Arial"/>
                <w:color w:val="000000"/>
                <w:sz w:val="22"/>
                <w:szCs w:val="22"/>
                <w:lang w:eastAsia="en-US"/>
              </w:rPr>
              <w:t xml:space="preserve"> Established P&amp;P for transportation of clients.</w:t>
            </w:r>
          </w:p>
        </w:tc>
      </w:tr>
      <w:tr w:rsidR="00B62BE6" w:rsidRPr="00B62BE6" w14:paraId="01D95030" w14:textId="77777777" w:rsidTr="00B4590D">
        <w:trPr>
          <w:trHeight w:val="350"/>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9D124" w14:textId="77777777"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Established P&amp;P addressing Federal Financial Reporting requirements.</w:t>
            </w:r>
          </w:p>
        </w:tc>
      </w:tr>
      <w:tr w:rsidR="00B62BE6" w:rsidRPr="00B62BE6" w14:paraId="7739BA77" w14:textId="77777777" w:rsidTr="00B4590D">
        <w:trPr>
          <w:trHeight w:val="35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8E5E974" w14:textId="56A50663"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Established P&amp;P providing guidance on Eligible, Ineligible, and Unallowable expenses.</w:t>
            </w:r>
          </w:p>
        </w:tc>
      </w:tr>
      <w:tr w:rsidR="00B62BE6" w:rsidRPr="00B62BE6" w14:paraId="09B60183" w14:textId="77777777" w:rsidTr="00B4590D">
        <w:trPr>
          <w:trHeight w:val="285"/>
        </w:trPr>
        <w:tc>
          <w:tcPr>
            <w:tcW w:w="9355" w:type="dxa"/>
            <w:tcBorders>
              <w:top w:val="nil"/>
              <w:left w:val="nil"/>
              <w:bottom w:val="nil"/>
              <w:right w:val="nil"/>
            </w:tcBorders>
            <w:shd w:val="clear" w:color="auto" w:fill="auto"/>
            <w:noWrap/>
            <w:vAlign w:val="bottom"/>
            <w:hideMark/>
          </w:tcPr>
          <w:p w14:paraId="1B64A04B" w14:textId="77777777" w:rsidR="001D65CB" w:rsidRPr="00B4590D" w:rsidRDefault="001D65CB" w:rsidP="00B62BE6">
            <w:pPr>
              <w:rPr>
                <w:rFonts w:eastAsia="Times New Roman" w:cs="Arial"/>
                <w:color w:val="000000"/>
                <w:sz w:val="16"/>
                <w:szCs w:val="22"/>
                <w:lang w:eastAsia="en-US"/>
              </w:rPr>
            </w:pPr>
          </w:p>
          <w:p w14:paraId="7CB36852" w14:textId="1731108D" w:rsidR="00B62BE6" w:rsidRPr="00B62BE6" w:rsidRDefault="00B62BE6" w:rsidP="00B62BE6">
            <w:pPr>
              <w:rPr>
                <w:rFonts w:eastAsia="Times New Roman" w:cs="Arial"/>
                <w:color w:val="000000"/>
                <w:sz w:val="22"/>
                <w:szCs w:val="22"/>
                <w:lang w:eastAsia="en-US"/>
              </w:rPr>
            </w:pPr>
          </w:p>
        </w:tc>
      </w:tr>
      <w:tr w:rsidR="00B62BE6" w:rsidRPr="00B62BE6" w14:paraId="7F13133A" w14:textId="77777777" w:rsidTr="00B4590D">
        <w:trPr>
          <w:trHeight w:val="315"/>
        </w:trPr>
        <w:tc>
          <w:tcPr>
            <w:tcW w:w="935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664AB79" w14:textId="77777777" w:rsidR="00B62BE6" w:rsidRPr="00B62BE6" w:rsidRDefault="00B62BE6" w:rsidP="00B62BE6">
            <w:pPr>
              <w:rPr>
                <w:rFonts w:eastAsia="Times New Roman" w:cs="Arial"/>
                <w:b/>
                <w:bCs/>
                <w:color w:val="000000"/>
                <w:sz w:val="24"/>
                <w:lang w:eastAsia="en-US"/>
              </w:rPr>
            </w:pPr>
            <w:r w:rsidRPr="00B62BE6">
              <w:rPr>
                <w:rFonts w:eastAsia="Times New Roman" w:cs="Arial"/>
                <w:b/>
                <w:bCs/>
                <w:color w:val="000000"/>
                <w:sz w:val="24"/>
                <w:lang w:eastAsia="en-US"/>
              </w:rPr>
              <w:t xml:space="preserve">Program Operations and Management </w:t>
            </w:r>
          </w:p>
        </w:tc>
      </w:tr>
      <w:tr w:rsidR="00B62BE6" w:rsidRPr="00B62BE6" w14:paraId="2F096C2A" w14:textId="77777777" w:rsidTr="00B4590D">
        <w:trPr>
          <w:trHeight w:val="368"/>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9D582D9" w14:textId="1B739400"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Developed job descriptions for </w:t>
            </w:r>
            <w:r w:rsidR="001D65CB">
              <w:rPr>
                <w:rFonts w:eastAsia="Times New Roman" w:cs="Arial"/>
                <w:color w:val="000000"/>
                <w:sz w:val="22"/>
                <w:szCs w:val="22"/>
                <w:lang w:eastAsia="en-US"/>
              </w:rPr>
              <w:t>all</w:t>
            </w:r>
            <w:r w:rsidRPr="00B62BE6">
              <w:rPr>
                <w:rFonts w:eastAsia="Times New Roman" w:cs="Arial"/>
                <w:color w:val="000000"/>
                <w:sz w:val="22"/>
                <w:szCs w:val="22"/>
                <w:lang w:eastAsia="en-US"/>
              </w:rPr>
              <w:t xml:space="preserve"> staff </w:t>
            </w:r>
            <w:r w:rsidR="001D65CB">
              <w:rPr>
                <w:rFonts w:eastAsia="Times New Roman" w:cs="Arial"/>
                <w:color w:val="000000"/>
                <w:sz w:val="22"/>
                <w:szCs w:val="22"/>
                <w:lang w:eastAsia="en-US"/>
              </w:rPr>
              <w:t xml:space="preserve">assigned to </w:t>
            </w:r>
            <w:r w:rsidRPr="00B62BE6">
              <w:rPr>
                <w:rFonts w:eastAsia="Times New Roman" w:cs="Arial"/>
                <w:color w:val="000000"/>
                <w:sz w:val="22"/>
                <w:szCs w:val="22"/>
                <w:lang w:eastAsia="en-US"/>
              </w:rPr>
              <w:t xml:space="preserve">the grant which match the titles on the approved budget. </w:t>
            </w:r>
          </w:p>
        </w:tc>
      </w:tr>
      <w:tr w:rsidR="00B62BE6" w:rsidRPr="00B62BE6" w14:paraId="3F06B4DE"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7875CFB" w14:textId="77777777"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Documentation of staff supervision through agendas and notes; including supervision of management level staff.</w:t>
            </w:r>
          </w:p>
        </w:tc>
      </w:tr>
      <w:tr w:rsidR="00B62BE6" w:rsidRPr="00B62BE6" w14:paraId="0DE36DF1" w14:textId="77777777" w:rsidTr="00B4590D">
        <w:trPr>
          <w:trHeight w:val="30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7F557E83" w14:textId="13F2EDB1"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There are signed Conflict of Interest statements for every member of the </w:t>
            </w:r>
            <w:r w:rsidR="006C0773">
              <w:rPr>
                <w:rFonts w:eastAsia="Times New Roman" w:cs="Arial"/>
                <w:color w:val="000000"/>
                <w:sz w:val="22"/>
                <w:szCs w:val="22"/>
                <w:lang w:eastAsia="en-US"/>
              </w:rPr>
              <w:t>G</w:t>
            </w:r>
            <w:r w:rsidRPr="00B62BE6">
              <w:rPr>
                <w:rFonts w:eastAsia="Times New Roman" w:cs="Arial"/>
                <w:color w:val="000000"/>
                <w:sz w:val="22"/>
                <w:szCs w:val="22"/>
                <w:lang w:eastAsia="en-US"/>
              </w:rPr>
              <w:t>rantee’s Board of Directors.</w:t>
            </w:r>
          </w:p>
        </w:tc>
      </w:tr>
      <w:tr w:rsidR="00B62BE6" w:rsidRPr="00B62BE6" w14:paraId="5B07B52A"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68FD5DE3" w14:textId="22477A70"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 program is participating in the local CoC coordinated entry system (CES) as demonstrated through meeting minutes or clear evidence of receiving referrals through CES.   </w:t>
            </w:r>
          </w:p>
        </w:tc>
      </w:tr>
      <w:tr w:rsidR="00B62BE6" w:rsidRPr="00B62BE6" w14:paraId="7F7004E3"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51BDF515" w14:textId="71E09C73"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Evidence of controls supporting only appropriately documented eligible expenses that are allowable, allocable, and reasonable costs of operating a program under the Supportive Services grant.   </w:t>
            </w:r>
          </w:p>
        </w:tc>
      </w:tr>
      <w:tr w:rsidR="00B62BE6" w:rsidRPr="00B62BE6" w14:paraId="30DFEAB8"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77865A4" w14:textId="77777777"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All Veterans are registered for the Participant Survey at exit.</w:t>
            </w:r>
          </w:p>
        </w:tc>
      </w:tr>
      <w:tr w:rsidR="00B62BE6" w:rsidRPr="00B62BE6" w14:paraId="3B4D0554" w14:textId="77777777" w:rsidTr="00B4590D">
        <w:trPr>
          <w:trHeight w:val="323"/>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93C59C8" w14:textId="61B332AA"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 program has a process to review results from either </w:t>
            </w:r>
            <w:r w:rsidR="006C0773">
              <w:rPr>
                <w:rFonts w:eastAsia="Times New Roman" w:cs="Arial"/>
                <w:color w:val="000000"/>
                <w:sz w:val="22"/>
                <w:szCs w:val="22"/>
                <w:lang w:eastAsia="en-US"/>
              </w:rPr>
              <w:t xml:space="preserve">the </w:t>
            </w:r>
            <w:r w:rsidRPr="00B62BE6">
              <w:rPr>
                <w:rFonts w:eastAsia="Times New Roman" w:cs="Arial"/>
                <w:color w:val="000000"/>
                <w:sz w:val="22"/>
                <w:szCs w:val="22"/>
                <w:lang w:eastAsia="en-US"/>
              </w:rPr>
              <w:t>Participant Survey or from an internal survey.</w:t>
            </w:r>
          </w:p>
        </w:tc>
      </w:tr>
      <w:tr w:rsidR="00B62BE6" w:rsidRPr="00B62BE6" w14:paraId="60E5B472"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4D23FC9" w14:textId="77777777"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Evidence all staff, including fiscal team, have viewed SSVF Fraud Webinar.</w:t>
            </w:r>
          </w:p>
        </w:tc>
      </w:tr>
      <w:tr w:rsidR="00B62BE6" w:rsidRPr="00B62BE6" w14:paraId="5E16061E"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67485C9E" w14:textId="77777777"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Evidence of proper reporting of Critical Incidents (if applicable).</w:t>
            </w:r>
          </w:p>
        </w:tc>
      </w:tr>
      <w:tr w:rsidR="00B62BE6" w:rsidRPr="00B62BE6" w14:paraId="2277CD38"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DF59C3F" w14:textId="77777777" w:rsidR="00B62BE6" w:rsidRPr="00B62BE6" w:rsidRDefault="00B62BE6" w:rsidP="00C37077">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Evidence of controls preventing Ineligible/Unallowable cost from being charged to SSVF.</w:t>
            </w:r>
          </w:p>
        </w:tc>
      </w:tr>
      <w:tr w:rsidR="00B62BE6" w:rsidRPr="00B62BE6" w14:paraId="09916F7D" w14:textId="77777777" w:rsidTr="00B4590D">
        <w:trPr>
          <w:trHeight w:val="285"/>
        </w:trPr>
        <w:tc>
          <w:tcPr>
            <w:tcW w:w="9355" w:type="dxa"/>
            <w:tcBorders>
              <w:top w:val="nil"/>
              <w:left w:val="nil"/>
              <w:bottom w:val="nil"/>
              <w:right w:val="nil"/>
            </w:tcBorders>
            <w:shd w:val="clear" w:color="auto" w:fill="auto"/>
            <w:noWrap/>
            <w:vAlign w:val="bottom"/>
            <w:hideMark/>
          </w:tcPr>
          <w:p w14:paraId="690896E3" w14:textId="77777777" w:rsidR="00B62BE6" w:rsidRPr="00B62BE6" w:rsidRDefault="00B62BE6" w:rsidP="00B62BE6">
            <w:pPr>
              <w:rPr>
                <w:rFonts w:eastAsia="Times New Roman" w:cs="Arial"/>
                <w:color w:val="000000"/>
                <w:sz w:val="22"/>
                <w:szCs w:val="22"/>
                <w:lang w:eastAsia="en-US"/>
              </w:rPr>
            </w:pPr>
          </w:p>
        </w:tc>
      </w:tr>
      <w:tr w:rsidR="00B62BE6" w:rsidRPr="00B62BE6" w14:paraId="54B78020" w14:textId="77777777" w:rsidTr="00B4590D">
        <w:trPr>
          <w:trHeight w:val="315"/>
        </w:trPr>
        <w:tc>
          <w:tcPr>
            <w:tcW w:w="935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B6ECCE7" w14:textId="77777777" w:rsidR="00B62BE6" w:rsidRPr="00B62BE6" w:rsidRDefault="00B62BE6" w:rsidP="00B62BE6">
            <w:pPr>
              <w:rPr>
                <w:rFonts w:eastAsia="Times New Roman" w:cs="Arial"/>
                <w:b/>
                <w:bCs/>
                <w:color w:val="000000"/>
                <w:sz w:val="24"/>
                <w:lang w:eastAsia="en-US"/>
              </w:rPr>
            </w:pPr>
            <w:r w:rsidRPr="00B62BE6">
              <w:rPr>
                <w:rFonts w:eastAsia="Times New Roman" w:cs="Arial"/>
                <w:b/>
                <w:bCs/>
                <w:color w:val="000000"/>
                <w:sz w:val="24"/>
                <w:lang w:eastAsia="en-US"/>
              </w:rPr>
              <w:t>Subcontractor Management</w:t>
            </w:r>
          </w:p>
        </w:tc>
      </w:tr>
      <w:tr w:rsidR="00B62BE6" w:rsidRPr="00B62BE6" w14:paraId="0DBB6AD8"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EBB2D09" w14:textId="2B30EB9D"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Signed and executed agreements between the </w:t>
            </w:r>
            <w:r w:rsidR="006C0773">
              <w:rPr>
                <w:rFonts w:eastAsia="Times New Roman" w:cs="Arial"/>
                <w:color w:val="000000"/>
                <w:sz w:val="22"/>
                <w:szCs w:val="22"/>
                <w:lang w:eastAsia="en-US"/>
              </w:rPr>
              <w:t>G</w:t>
            </w:r>
            <w:r w:rsidRPr="00B62BE6">
              <w:rPr>
                <w:rFonts w:eastAsia="Times New Roman" w:cs="Arial"/>
                <w:color w:val="000000"/>
                <w:sz w:val="22"/>
                <w:szCs w:val="22"/>
                <w:lang w:eastAsia="en-US"/>
              </w:rPr>
              <w:t>rantee and each subcontractor providing services for SSVF.</w:t>
            </w:r>
          </w:p>
        </w:tc>
      </w:tr>
      <w:tr w:rsidR="00B62BE6" w:rsidRPr="00B62BE6" w14:paraId="674A9367" w14:textId="77777777" w:rsidTr="00B4590D">
        <w:trPr>
          <w:trHeight w:val="323"/>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69FE9943"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Established P&amp;P for monitoring (quarterly and annually) and managing the work of the subcontractor.</w:t>
            </w:r>
          </w:p>
        </w:tc>
      </w:tr>
      <w:tr w:rsidR="00B62BE6" w:rsidRPr="00B62BE6" w14:paraId="7E5B6DB8"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3305BE1F"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 agreements describe in detail the services and duties to be performed by the subcontractor.</w:t>
            </w:r>
          </w:p>
        </w:tc>
      </w:tr>
      <w:tr w:rsidR="00B62BE6" w:rsidRPr="00B62BE6" w14:paraId="0789328E" w14:textId="77777777" w:rsidTr="00B4590D">
        <w:trPr>
          <w:trHeight w:val="323"/>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48D3078" w14:textId="0ECBA01C"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Grantee has a copy of the subcontractor’s SSVF P&amp;Ps, or indicates in writing they abide by </w:t>
            </w:r>
            <w:r w:rsidR="006C0773">
              <w:rPr>
                <w:rFonts w:eastAsia="Times New Roman" w:cs="Arial"/>
                <w:color w:val="000000"/>
                <w:sz w:val="22"/>
                <w:szCs w:val="22"/>
                <w:lang w:eastAsia="en-US"/>
              </w:rPr>
              <w:t>G</w:t>
            </w:r>
            <w:r w:rsidR="006C0773" w:rsidRPr="00B62BE6">
              <w:rPr>
                <w:rFonts w:eastAsia="Times New Roman" w:cs="Arial"/>
                <w:color w:val="000000"/>
                <w:sz w:val="22"/>
                <w:szCs w:val="22"/>
                <w:lang w:eastAsia="en-US"/>
              </w:rPr>
              <w:t xml:space="preserve">rantee </w:t>
            </w:r>
            <w:r w:rsidRPr="00B62BE6">
              <w:rPr>
                <w:rFonts w:eastAsia="Times New Roman" w:cs="Arial"/>
                <w:color w:val="000000"/>
                <w:sz w:val="22"/>
                <w:szCs w:val="22"/>
                <w:lang w:eastAsia="en-US"/>
              </w:rPr>
              <w:t>P&amp;Ps.</w:t>
            </w:r>
          </w:p>
        </w:tc>
      </w:tr>
      <w:tr w:rsidR="00B62BE6" w:rsidRPr="00B62BE6" w14:paraId="045FC795" w14:textId="77777777" w:rsidTr="00B4590D">
        <w:trPr>
          <w:trHeight w:val="278"/>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35652596" w14:textId="2A07609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 agreement has a clear payment guideline and a statement for how the contract can be amended.</w:t>
            </w:r>
          </w:p>
        </w:tc>
      </w:tr>
      <w:tr w:rsidR="00B62BE6" w:rsidRPr="00B62BE6" w14:paraId="4961A655"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69785BAB"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There is documented evidence of quarterly and annual monitoring. </w:t>
            </w:r>
          </w:p>
        </w:tc>
      </w:tr>
      <w:tr w:rsidR="00B62BE6" w:rsidRPr="00B62BE6" w14:paraId="4EE2D929" w14:textId="77777777" w:rsidTr="00B4590D">
        <w:trPr>
          <w:trHeight w:val="285"/>
        </w:trPr>
        <w:tc>
          <w:tcPr>
            <w:tcW w:w="9355" w:type="dxa"/>
            <w:tcBorders>
              <w:top w:val="nil"/>
              <w:left w:val="nil"/>
              <w:bottom w:val="nil"/>
              <w:right w:val="nil"/>
            </w:tcBorders>
            <w:shd w:val="clear" w:color="auto" w:fill="auto"/>
            <w:noWrap/>
            <w:vAlign w:val="bottom"/>
            <w:hideMark/>
          </w:tcPr>
          <w:p w14:paraId="4236E458" w14:textId="77777777" w:rsidR="00B62BE6" w:rsidRPr="00B62BE6" w:rsidRDefault="00B62BE6" w:rsidP="00B62BE6">
            <w:pPr>
              <w:rPr>
                <w:rFonts w:eastAsia="Times New Roman" w:cs="Arial"/>
                <w:color w:val="000000"/>
                <w:sz w:val="22"/>
                <w:szCs w:val="22"/>
                <w:lang w:eastAsia="en-US"/>
              </w:rPr>
            </w:pPr>
          </w:p>
        </w:tc>
      </w:tr>
      <w:tr w:rsidR="00B62BE6" w:rsidRPr="00B62BE6" w14:paraId="1719E22F" w14:textId="77777777" w:rsidTr="00B4590D">
        <w:trPr>
          <w:trHeight w:val="315"/>
        </w:trPr>
        <w:tc>
          <w:tcPr>
            <w:tcW w:w="935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FB1E7E3" w14:textId="77777777" w:rsidR="00B62BE6" w:rsidRPr="00B62BE6" w:rsidRDefault="00B62BE6" w:rsidP="00B62BE6">
            <w:pPr>
              <w:rPr>
                <w:rFonts w:eastAsia="Times New Roman" w:cs="Arial"/>
                <w:b/>
                <w:bCs/>
                <w:color w:val="000000"/>
                <w:sz w:val="24"/>
                <w:lang w:eastAsia="en-US"/>
              </w:rPr>
            </w:pPr>
            <w:r w:rsidRPr="00B62BE6">
              <w:rPr>
                <w:rFonts w:eastAsia="Times New Roman" w:cs="Arial"/>
                <w:b/>
                <w:bCs/>
                <w:color w:val="000000"/>
                <w:sz w:val="24"/>
                <w:lang w:eastAsia="en-US"/>
              </w:rPr>
              <w:t>Outreach</w:t>
            </w:r>
          </w:p>
        </w:tc>
      </w:tr>
      <w:tr w:rsidR="00B62BE6" w:rsidRPr="00B62BE6" w14:paraId="3D3864B0" w14:textId="77777777" w:rsidTr="003026F9">
        <w:trPr>
          <w:trHeight w:val="85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5706DC25"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Outreach logs show consistent, regular outreach to include when, where, who the staff met with, and what was done. For programs where 100% of the outreach and referrals are done through the community’s coordinated entry system, there is a written policy on this practice.</w:t>
            </w:r>
          </w:p>
        </w:tc>
      </w:tr>
      <w:tr w:rsidR="00B62BE6" w:rsidRPr="00B62BE6" w14:paraId="1903A817" w14:textId="77777777" w:rsidTr="003026F9">
        <w:trPr>
          <w:trHeight w:val="332"/>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B8755" w14:textId="34C9FCE2" w:rsidR="00B62BE6" w:rsidRPr="00B62BE6" w:rsidRDefault="00B62BE6" w:rsidP="00CF4B41">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Logs include documentation of outreach to all CoCs and counties and communities in service area.</w:t>
            </w:r>
          </w:p>
        </w:tc>
      </w:tr>
      <w:tr w:rsidR="00B62BE6" w:rsidRPr="00B62BE6" w14:paraId="05BC870E"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3C543686"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Outreach logs include outreach to hard-to-reach populations and targeting of homeless Veterans. </w:t>
            </w:r>
          </w:p>
        </w:tc>
      </w:tr>
      <w:tr w:rsidR="00B62BE6" w:rsidRPr="00B62BE6" w14:paraId="08C3E049" w14:textId="77777777" w:rsidTr="00B4590D">
        <w:trPr>
          <w:trHeight w:val="773"/>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95C56E"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lastRenderedPageBreak/>
              <w:t>☐</w:t>
            </w:r>
            <w:r w:rsidRPr="00B62BE6">
              <w:rPr>
                <w:rFonts w:eastAsia="Times New Roman" w:cs="Arial"/>
                <w:color w:val="000000"/>
                <w:sz w:val="22"/>
                <w:szCs w:val="22"/>
                <w:lang w:eastAsia="en-US"/>
              </w:rPr>
              <w:t xml:space="preserve"> The program is a part of each </w:t>
            </w:r>
            <w:proofErr w:type="spellStart"/>
            <w:r w:rsidRPr="00B62BE6">
              <w:rPr>
                <w:rFonts w:eastAsia="Times New Roman" w:cs="Arial"/>
                <w:color w:val="000000"/>
                <w:sz w:val="22"/>
                <w:szCs w:val="22"/>
                <w:lang w:eastAsia="en-US"/>
              </w:rPr>
              <w:t>CoC's</w:t>
            </w:r>
            <w:proofErr w:type="spellEnd"/>
            <w:r w:rsidRPr="00B62BE6">
              <w:rPr>
                <w:rFonts w:eastAsia="Times New Roman" w:cs="Arial"/>
                <w:color w:val="000000"/>
                <w:sz w:val="22"/>
                <w:szCs w:val="22"/>
                <w:lang w:eastAsia="en-US"/>
              </w:rPr>
              <w:t xml:space="preserve"> CES and takes referrals directly from the system. If CES is not in place, logs should include outreach to private organizations, state and local government agencies, and other community providers. </w:t>
            </w:r>
          </w:p>
        </w:tc>
      </w:tr>
      <w:tr w:rsidR="00B62BE6" w:rsidRPr="00B62BE6" w14:paraId="130F2059" w14:textId="77777777" w:rsidTr="00B4590D">
        <w:trPr>
          <w:trHeight w:val="285"/>
        </w:trPr>
        <w:tc>
          <w:tcPr>
            <w:tcW w:w="9355" w:type="dxa"/>
            <w:tcBorders>
              <w:top w:val="nil"/>
              <w:left w:val="nil"/>
              <w:bottom w:val="nil"/>
              <w:right w:val="nil"/>
            </w:tcBorders>
            <w:shd w:val="clear" w:color="auto" w:fill="auto"/>
            <w:noWrap/>
            <w:vAlign w:val="bottom"/>
            <w:hideMark/>
          </w:tcPr>
          <w:p w14:paraId="5D800365" w14:textId="77777777" w:rsidR="00B62BE6" w:rsidRPr="00B62BE6" w:rsidRDefault="00B62BE6" w:rsidP="00B62BE6">
            <w:pPr>
              <w:rPr>
                <w:rFonts w:eastAsia="Times New Roman" w:cs="Arial"/>
                <w:color w:val="000000"/>
                <w:sz w:val="22"/>
                <w:szCs w:val="22"/>
                <w:lang w:eastAsia="en-US"/>
              </w:rPr>
            </w:pPr>
          </w:p>
        </w:tc>
      </w:tr>
      <w:tr w:rsidR="00B62BE6" w:rsidRPr="00B62BE6" w14:paraId="519705F5" w14:textId="77777777" w:rsidTr="00B4590D">
        <w:trPr>
          <w:trHeight w:val="315"/>
        </w:trPr>
        <w:tc>
          <w:tcPr>
            <w:tcW w:w="935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658A3F7" w14:textId="77777777" w:rsidR="00B62BE6" w:rsidRPr="00B62BE6" w:rsidRDefault="00B62BE6" w:rsidP="00B62BE6">
            <w:pPr>
              <w:rPr>
                <w:rFonts w:eastAsia="Times New Roman" w:cs="Arial"/>
                <w:b/>
                <w:bCs/>
                <w:color w:val="000000"/>
                <w:sz w:val="24"/>
                <w:lang w:eastAsia="en-US"/>
              </w:rPr>
            </w:pPr>
            <w:bookmarkStart w:id="0" w:name="_Hlk31639914"/>
            <w:r w:rsidRPr="00B62BE6">
              <w:rPr>
                <w:rFonts w:eastAsia="Times New Roman" w:cs="Arial"/>
                <w:b/>
                <w:bCs/>
                <w:color w:val="000000"/>
                <w:sz w:val="24"/>
                <w:lang w:eastAsia="en-US"/>
              </w:rPr>
              <w:t>Eligibility</w:t>
            </w:r>
          </w:p>
        </w:tc>
      </w:tr>
      <w:bookmarkEnd w:id="0"/>
      <w:tr w:rsidR="00B62BE6" w:rsidRPr="00B62BE6" w14:paraId="22EED4D4" w14:textId="77777777" w:rsidTr="00B4590D">
        <w:trPr>
          <w:trHeight w:val="332"/>
        </w:trPr>
        <w:tc>
          <w:tcPr>
            <w:tcW w:w="9355" w:type="dxa"/>
            <w:tcBorders>
              <w:top w:val="nil"/>
              <w:left w:val="single" w:sz="4" w:space="0" w:color="auto"/>
              <w:bottom w:val="single" w:sz="4" w:space="0" w:color="auto"/>
              <w:right w:val="single" w:sz="4" w:space="0" w:color="auto"/>
            </w:tcBorders>
            <w:shd w:val="clear" w:color="000000" w:fill="BFBFBF"/>
            <w:vAlign w:val="bottom"/>
            <w:hideMark/>
          </w:tcPr>
          <w:p w14:paraId="29CC6FEE" w14:textId="77777777" w:rsidR="00B62BE6" w:rsidRPr="00B62BE6" w:rsidRDefault="00B62BE6" w:rsidP="00B62BE6">
            <w:pPr>
              <w:rPr>
                <w:rFonts w:eastAsia="Times New Roman" w:cs="Arial"/>
                <w:i/>
                <w:iCs/>
                <w:color w:val="000000"/>
                <w:sz w:val="22"/>
                <w:szCs w:val="22"/>
                <w:lang w:eastAsia="en-US"/>
              </w:rPr>
            </w:pPr>
            <w:r w:rsidRPr="00B62BE6">
              <w:rPr>
                <w:rFonts w:eastAsia="Times New Roman" w:cs="Arial"/>
                <w:i/>
                <w:iCs/>
                <w:color w:val="000000"/>
                <w:sz w:val="22"/>
                <w:szCs w:val="22"/>
                <w:lang w:eastAsia="en-US"/>
              </w:rPr>
              <w:t>For documentation standards and suggestions for meeting each requirement, see the SSVF Case File Tool.</w:t>
            </w:r>
          </w:p>
        </w:tc>
      </w:tr>
      <w:tr w:rsidR="00B62BE6" w:rsidRPr="00B62BE6" w14:paraId="04AECAF1"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3F679AEA"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have clear evidence of eligible Veteran status.</w:t>
            </w:r>
          </w:p>
        </w:tc>
      </w:tr>
      <w:tr w:rsidR="00B62BE6" w:rsidRPr="00B62BE6" w14:paraId="2B564C63" w14:textId="77777777" w:rsidTr="00B4590D">
        <w:trPr>
          <w:trHeight w:val="30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40AC416A" w14:textId="2D740D36"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have evidence of Veteran housing status: Homelessness Prevention</w:t>
            </w:r>
            <w:r w:rsidR="00EF3940">
              <w:rPr>
                <w:rFonts w:eastAsia="Times New Roman" w:cs="Arial"/>
                <w:color w:val="000000"/>
                <w:sz w:val="22"/>
                <w:szCs w:val="22"/>
                <w:lang w:eastAsia="en-US"/>
              </w:rPr>
              <w:t xml:space="preserve"> </w:t>
            </w:r>
            <w:r w:rsidRPr="00B62BE6">
              <w:rPr>
                <w:rFonts w:eastAsia="Times New Roman" w:cs="Arial"/>
                <w:color w:val="000000"/>
                <w:sz w:val="22"/>
                <w:szCs w:val="22"/>
                <w:lang w:eastAsia="en-US"/>
              </w:rPr>
              <w:t>(HP) or Rapid Rehousing</w:t>
            </w:r>
            <w:r w:rsidR="00EF3940">
              <w:rPr>
                <w:rFonts w:eastAsia="Times New Roman" w:cs="Arial"/>
                <w:color w:val="000000"/>
                <w:sz w:val="22"/>
                <w:szCs w:val="22"/>
                <w:lang w:eastAsia="en-US"/>
              </w:rPr>
              <w:t xml:space="preserve"> </w:t>
            </w:r>
            <w:r w:rsidRPr="00B62BE6">
              <w:rPr>
                <w:rFonts w:eastAsia="Times New Roman" w:cs="Arial"/>
                <w:color w:val="000000"/>
                <w:sz w:val="22"/>
                <w:szCs w:val="22"/>
                <w:lang w:eastAsia="en-US"/>
              </w:rPr>
              <w:t>(RRH).</w:t>
            </w:r>
          </w:p>
        </w:tc>
      </w:tr>
      <w:tr w:rsidR="00B62BE6" w:rsidRPr="00B62BE6" w14:paraId="7D68D9AA" w14:textId="77777777" w:rsidTr="00B4590D">
        <w:trPr>
          <w:trHeight w:val="287"/>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28BD3361" w14:textId="43F7321C"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have evidence that clients have been provided a copy of the Grievance </w:t>
            </w:r>
            <w:r w:rsidR="0026287D">
              <w:rPr>
                <w:rFonts w:eastAsia="Times New Roman" w:cs="Arial"/>
                <w:color w:val="000000"/>
                <w:sz w:val="22"/>
                <w:szCs w:val="22"/>
                <w:lang w:eastAsia="en-US"/>
              </w:rPr>
              <w:t>P</w:t>
            </w:r>
            <w:r w:rsidRPr="00B62BE6">
              <w:rPr>
                <w:rFonts w:eastAsia="Times New Roman" w:cs="Arial"/>
                <w:color w:val="000000"/>
                <w:sz w:val="22"/>
                <w:szCs w:val="22"/>
                <w:lang w:eastAsia="en-US"/>
              </w:rPr>
              <w:t>rocess</w:t>
            </w:r>
            <w:r w:rsidR="001D65CB">
              <w:rPr>
                <w:rFonts w:eastAsia="Times New Roman" w:cs="Arial"/>
                <w:color w:val="000000"/>
                <w:sz w:val="22"/>
                <w:szCs w:val="22"/>
                <w:lang w:eastAsia="en-US"/>
              </w:rPr>
              <w:t>.</w:t>
            </w:r>
          </w:p>
        </w:tc>
      </w:tr>
      <w:tr w:rsidR="00B62BE6" w:rsidRPr="00B62BE6" w14:paraId="74B48498"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4294A6FD" w14:textId="5B324D9A" w:rsidR="001D65CB"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clearly indicate SSVF program participating in: </w:t>
            </w:r>
            <w:r w:rsidR="00284154" w:rsidRPr="00284154">
              <w:rPr>
                <w:rFonts w:eastAsia="Times New Roman" w:cs="Arial"/>
                <w:color w:val="000000"/>
                <w:sz w:val="22"/>
                <w:szCs w:val="22"/>
                <w:lang w:eastAsia="en-US"/>
              </w:rPr>
              <w:t>Rapid Re-Housing</w:t>
            </w:r>
            <w:r w:rsidR="00F15110">
              <w:rPr>
                <w:rFonts w:eastAsia="Times New Roman" w:cs="Arial"/>
                <w:color w:val="000000"/>
                <w:sz w:val="22"/>
                <w:szCs w:val="22"/>
                <w:lang w:eastAsia="en-US"/>
              </w:rPr>
              <w:t xml:space="preserve">, </w:t>
            </w:r>
            <w:r w:rsidR="00F15110" w:rsidRPr="00F15110">
              <w:rPr>
                <w:rFonts w:eastAsia="Times New Roman" w:cs="Arial"/>
                <w:color w:val="000000"/>
                <w:sz w:val="22"/>
                <w:szCs w:val="22"/>
                <w:lang w:eastAsia="en-US"/>
              </w:rPr>
              <w:t>Homelessness Prevention</w:t>
            </w:r>
            <w:r w:rsidR="00F15110">
              <w:rPr>
                <w:rFonts w:eastAsia="Times New Roman" w:cs="Arial"/>
                <w:color w:val="000000"/>
                <w:sz w:val="22"/>
                <w:szCs w:val="22"/>
                <w:lang w:eastAsia="en-US"/>
              </w:rPr>
              <w:t xml:space="preserve">, </w:t>
            </w:r>
            <w:r w:rsidRPr="00B62BE6">
              <w:rPr>
                <w:rFonts w:eastAsia="Times New Roman" w:cs="Arial"/>
                <w:color w:val="000000"/>
                <w:sz w:val="22"/>
                <w:szCs w:val="22"/>
                <w:lang w:eastAsia="en-US"/>
              </w:rPr>
              <w:t xml:space="preserve">Shallow Subsidies, Return Home, Rapid Resolution, </w:t>
            </w:r>
            <w:r w:rsidR="00EF3940" w:rsidRPr="00B62BE6">
              <w:rPr>
                <w:rFonts w:eastAsia="Times New Roman" w:cs="Arial"/>
                <w:color w:val="000000"/>
                <w:sz w:val="22"/>
                <w:szCs w:val="22"/>
                <w:lang w:eastAsia="en-US"/>
              </w:rPr>
              <w:t>etc.</w:t>
            </w:r>
          </w:p>
          <w:p w14:paraId="3A734F43" w14:textId="66D5A465" w:rsidR="00B62BE6" w:rsidRPr="00B62BE6" w:rsidRDefault="00B62BE6" w:rsidP="00B62BE6">
            <w:pPr>
              <w:rPr>
                <w:rFonts w:eastAsia="Times New Roman" w:cs="Arial"/>
                <w:color w:val="000000"/>
                <w:sz w:val="22"/>
                <w:szCs w:val="22"/>
                <w:lang w:eastAsia="en-US"/>
              </w:rPr>
            </w:pPr>
          </w:p>
        </w:tc>
      </w:tr>
      <w:tr w:rsidR="001D65CB" w:rsidRPr="00B62BE6" w14:paraId="67254772" w14:textId="77777777" w:rsidTr="00B4590D">
        <w:trPr>
          <w:trHeight w:val="570"/>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720B38" w14:textId="18E628DC" w:rsidR="001D65CB" w:rsidRPr="00B62BE6" w:rsidRDefault="001D65CB" w:rsidP="00922258">
            <w:pPr>
              <w:rPr>
                <w:rFonts w:ascii="Segoe UI Symbol" w:eastAsia="Times New Roman" w:hAnsi="Segoe UI Symbol" w:cs="Segoe UI Symbol"/>
                <w:color w:val="000000"/>
                <w:sz w:val="22"/>
                <w:szCs w:val="22"/>
                <w:lang w:eastAsia="en-US"/>
              </w:rPr>
            </w:pPr>
            <w:r w:rsidRPr="00B62BE6">
              <w:rPr>
                <w:rFonts w:ascii="Segoe UI Symbol" w:eastAsia="Times New Roman" w:hAnsi="Segoe UI Symbol" w:cs="Segoe UI Symbol"/>
                <w:color w:val="000000"/>
                <w:sz w:val="22"/>
                <w:szCs w:val="22"/>
                <w:lang w:eastAsia="en-US"/>
              </w:rPr>
              <w:t xml:space="preserve">☐ </w:t>
            </w:r>
            <w:r w:rsidRPr="0026287D">
              <w:rPr>
                <w:rFonts w:eastAsia="Times New Roman" w:cs="Arial"/>
                <w:color w:val="000000"/>
                <w:sz w:val="22"/>
                <w:szCs w:val="22"/>
                <w:lang w:eastAsia="en-US"/>
              </w:rPr>
              <w:t xml:space="preserve">Files clearly indicate most current compliance efforts with </w:t>
            </w:r>
            <w:r w:rsidR="00F15110">
              <w:rPr>
                <w:rFonts w:eastAsia="Times New Roman" w:cs="Arial"/>
                <w:color w:val="000000"/>
                <w:sz w:val="22"/>
                <w:szCs w:val="22"/>
                <w:lang w:eastAsia="en-US"/>
              </w:rPr>
              <w:t xml:space="preserve">newer programs (if applicable) </w:t>
            </w:r>
            <w:r w:rsidRPr="0026287D">
              <w:rPr>
                <w:rFonts w:eastAsia="Times New Roman" w:cs="Arial"/>
                <w:color w:val="000000"/>
                <w:sz w:val="22"/>
                <w:szCs w:val="22"/>
                <w:lang w:eastAsia="en-US"/>
              </w:rPr>
              <w:t>Shallow Subsidies, Return Home, Rapid Resolution, etc..</w:t>
            </w:r>
          </w:p>
        </w:tc>
      </w:tr>
      <w:tr w:rsidR="00B62BE6" w:rsidRPr="00B62BE6" w14:paraId="4E136D86"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44D22CF4"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HP files have completed screening tool and meet the threshold score, if receiving TFA.</w:t>
            </w:r>
          </w:p>
        </w:tc>
      </w:tr>
      <w:tr w:rsidR="00B62BE6" w:rsidRPr="00B62BE6" w14:paraId="5058B42B"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5A5D8233"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have clear income and asset documentation to show client is under 30% or 50% AMI.</w:t>
            </w:r>
          </w:p>
        </w:tc>
      </w:tr>
      <w:tr w:rsidR="00B62BE6" w:rsidRPr="00B62BE6" w14:paraId="30558ACD" w14:textId="77777777" w:rsidTr="00B4590D">
        <w:trPr>
          <w:trHeight w:val="368"/>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7604C70F"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If self-certifying housing status or income, there are written attempts at getting third party documentation.</w:t>
            </w:r>
          </w:p>
        </w:tc>
      </w:tr>
      <w:tr w:rsidR="00B62BE6" w:rsidRPr="00B62BE6" w14:paraId="028468A7" w14:textId="77777777" w:rsidTr="00B4590D">
        <w:trPr>
          <w:trHeight w:val="35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5CBABA28"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All client files have signed releases of information for each third party addressed, including HMIS release.</w:t>
            </w:r>
          </w:p>
        </w:tc>
      </w:tr>
      <w:tr w:rsidR="00B62BE6" w:rsidRPr="00B62BE6" w14:paraId="61E1B0FB"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2CAF7329" w14:textId="0F182999" w:rsidR="00B62BE6" w:rsidRPr="00B62BE6" w:rsidRDefault="00B62BE6" w:rsidP="00B62BE6">
            <w:pPr>
              <w:rPr>
                <w:rFonts w:eastAsia="Times New Roman" w:cs="Arial"/>
                <w:color w:val="000000"/>
                <w:sz w:val="22"/>
                <w:szCs w:val="22"/>
                <w:lang w:eastAsia="en-US"/>
              </w:rPr>
            </w:pPr>
            <w:bookmarkStart w:id="1" w:name="RANGE!A71"/>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All files have a Certification of Eligibility form Signed by the Case Manager and Supervisor.</w:t>
            </w:r>
            <w:bookmarkEnd w:id="1"/>
          </w:p>
        </w:tc>
      </w:tr>
      <w:tr w:rsidR="00B62BE6" w:rsidRPr="00B62BE6" w14:paraId="439A7E11" w14:textId="77777777" w:rsidTr="00B4590D">
        <w:trPr>
          <w:trHeight w:val="818"/>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2A4F69CC" w14:textId="495ED353"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All files with clients in the program over three months have Re-Certification of Eligibility form(s) Signed by the Case Manager and Supervisor for each recertification event, including updated housing and income documentation.  Ensure Supervisor signature is timely (not to exceed 7 days after due date).</w:t>
            </w:r>
          </w:p>
        </w:tc>
      </w:tr>
      <w:tr w:rsidR="00B62BE6" w:rsidRPr="00B62BE6" w14:paraId="5E308638"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8E32C8B"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Exited files have the SSVF Exit Checklist or similar exit assessment.</w:t>
            </w:r>
          </w:p>
        </w:tc>
      </w:tr>
      <w:tr w:rsidR="00B62BE6" w:rsidRPr="00B62BE6" w14:paraId="5B626919"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699F541"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Exited files have an Exit Letter with adequate evidence the Veteran received a copy.</w:t>
            </w:r>
          </w:p>
        </w:tc>
      </w:tr>
      <w:tr w:rsidR="00B62BE6" w:rsidRPr="00B62BE6" w14:paraId="2582790E" w14:textId="77777777" w:rsidTr="00B4590D">
        <w:trPr>
          <w:trHeight w:val="287"/>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6966BD8B"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There are “screened but not enrolled” logs, including reasons for denial and where Veterans were referred. </w:t>
            </w:r>
          </w:p>
        </w:tc>
      </w:tr>
      <w:tr w:rsidR="00B62BE6" w:rsidRPr="00B62BE6" w14:paraId="7D5BC9F4" w14:textId="77777777" w:rsidTr="00B4590D">
        <w:trPr>
          <w:trHeight w:val="285"/>
        </w:trPr>
        <w:tc>
          <w:tcPr>
            <w:tcW w:w="9355" w:type="dxa"/>
            <w:tcBorders>
              <w:top w:val="nil"/>
              <w:left w:val="nil"/>
              <w:bottom w:val="nil"/>
              <w:right w:val="nil"/>
            </w:tcBorders>
            <w:shd w:val="clear" w:color="auto" w:fill="auto"/>
            <w:vAlign w:val="bottom"/>
            <w:hideMark/>
          </w:tcPr>
          <w:p w14:paraId="35FB1B87" w14:textId="77777777" w:rsidR="00B62BE6" w:rsidRPr="00B62BE6" w:rsidRDefault="00B62BE6" w:rsidP="00B62BE6">
            <w:pPr>
              <w:rPr>
                <w:rFonts w:eastAsia="Times New Roman" w:cs="Arial"/>
                <w:color w:val="000000"/>
                <w:sz w:val="22"/>
                <w:szCs w:val="22"/>
                <w:lang w:eastAsia="en-US"/>
              </w:rPr>
            </w:pPr>
          </w:p>
        </w:tc>
      </w:tr>
      <w:tr w:rsidR="00B62BE6" w:rsidRPr="00B62BE6" w14:paraId="7EAB3525" w14:textId="77777777" w:rsidTr="00B4590D">
        <w:trPr>
          <w:trHeight w:val="315"/>
        </w:trPr>
        <w:tc>
          <w:tcPr>
            <w:tcW w:w="935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55F9385" w14:textId="77777777" w:rsidR="00B62BE6" w:rsidRPr="00B62BE6" w:rsidRDefault="00B62BE6" w:rsidP="00B62BE6">
            <w:pPr>
              <w:rPr>
                <w:rFonts w:eastAsia="Times New Roman" w:cs="Arial"/>
                <w:b/>
                <w:bCs/>
                <w:color w:val="000000"/>
                <w:sz w:val="24"/>
                <w:lang w:eastAsia="en-US"/>
              </w:rPr>
            </w:pPr>
            <w:r w:rsidRPr="00B62BE6">
              <w:rPr>
                <w:rFonts w:eastAsia="Times New Roman" w:cs="Arial"/>
                <w:b/>
                <w:bCs/>
                <w:color w:val="000000"/>
                <w:sz w:val="24"/>
                <w:lang w:eastAsia="en-US"/>
              </w:rPr>
              <w:t xml:space="preserve">HUD-VASH </w:t>
            </w:r>
          </w:p>
        </w:tc>
      </w:tr>
      <w:tr w:rsidR="00B62BE6" w:rsidRPr="00B62BE6" w14:paraId="18E632B0"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922D8DC"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have completed HUD-VASH Packets.</w:t>
            </w:r>
          </w:p>
        </w:tc>
      </w:tr>
      <w:tr w:rsidR="00B62BE6" w:rsidRPr="00B62BE6" w14:paraId="11DF07A8"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52333758" w14:textId="7D4A2500"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have proper backup documentation and invoices for all costs paid on behalf of a client, including proof the check went out to the appropriate third party</w:t>
            </w:r>
            <w:r w:rsidR="0026287D">
              <w:rPr>
                <w:rFonts w:eastAsia="Times New Roman" w:cs="Arial"/>
                <w:color w:val="000000"/>
                <w:sz w:val="22"/>
                <w:szCs w:val="22"/>
                <w:lang w:eastAsia="en-US"/>
              </w:rPr>
              <w:t xml:space="preserve"> and </w:t>
            </w:r>
            <w:r w:rsidRPr="00B62BE6">
              <w:rPr>
                <w:rFonts w:eastAsia="Times New Roman" w:cs="Arial"/>
                <w:color w:val="000000"/>
                <w:sz w:val="22"/>
                <w:szCs w:val="22"/>
                <w:lang w:eastAsia="en-US"/>
              </w:rPr>
              <w:t xml:space="preserve">steps </w:t>
            </w:r>
            <w:r w:rsidR="0026287D">
              <w:rPr>
                <w:rFonts w:eastAsia="Times New Roman" w:cs="Arial"/>
                <w:color w:val="000000"/>
                <w:sz w:val="22"/>
                <w:szCs w:val="22"/>
                <w:lang w:eastAsia="en-US"/>
              </w:rPr>
              <w:t xml:space="preserve">that are taken </w:t>
            </w:r>
            <w:r w:rsidRPr="00B62BE6">
              <w:rPr>
                <w:rFonts w:eastAsia="Times New Roman" w:cs="Arial"/>
                <w:color w:val="000000"/>
                <w:sz w:val="22"/>
                <w:szCs w:val="22"/>
                <w:lang w:eastAsia="en-US"/>
              </w:rPr>
              <w:t xml:space="preserve">to prevent fraud. </w:t>
            </w:r>
          </w:p>
        </w:tc>
      </w:tr>
      <w:tr w:rsidR="00B62BE6" w:rsidRPr="00B62BE6" w14:paraId="0460DE40" w14:textId="77777777" w:rsidTr="00B4590D">
        <w:trPr>
          <w:trHeight w:val="285"/>
        </w:trPr>
        <w:tc>
          <w:tcPr>
            <w:tcW w:w="9355" w:type="dxa"/>
            <w:tcBorders>
              <w:top w:val="nil"/>
              <w:left w:val="nil"/>
              <w:bottom w:val="nil"/>
              <w:right w:val="nil"/>
            </w:tcBorders>
            <w:shd w:val="clear" w:color="auto" w:fill="auto"/>
            <w:noWrap/>
            <w:vAlign w:val="bottom"/>
            <w:hideMark/>
          </w:tcPr>
          <w:p w14:paraId="676F2C32" w14:textId="77777777" w:rsidR="00B62BE6" w:rsidRDefault="00B62BE6" w:rsidP="00B62BE6">
            <w:pPr>
              <w:rPr>
                <w:rFonts w:eastAsia="Times New Roman" w:cs="Arial"/>
                <w:color w:val="000000"/>
                <w:sz w:val="22"/>
                <w:szCs w:val="22"/>
                <w:lang w:eastAsia="en-US"/>
              </w:rPr>
            </w:pPr>
          </w:p>
          <w:p w14:paraId="19C433CD" w14:textId="77777777" w:rsidR="003026F9" w:rsidRDefault="003026F9" w:rsidP="00B62BE6">
            <w:pPr>
              <w:rPr>
                <w:rFonts w:eastAsia="Times New Roman" w:cs="Arial"/>
                <w:color w:val="000000"/>
                <w:sz w:val="22"/>
                <w:szCs w:val="22"/>
                <w:lang w:eastAsia="en-US"/>
              </w:rPr>
            </w:pPr>
          </w:p>
          <w:p w14:paraId="343585F5" w14:textId="2EFF78A6" w:rsidR="003026F9" w:rsidRPr="00B62BE6" w:rsidRDefault="003026F9" w:rsidP="00B62BE6">
            <w:pPr>
              <w:rPr>
                <w:rFonts w:eastAsia="Times New Roman" w:cs="Arial"/>
                <w:color w:val="000000"/>
                <w:sz w:val="22"/>
                <w:szCs w:val="22"/>
                <w:lang w:eastAsia="en-US"/>
              </w:rPr>
            </w:pPr>
          </w:p>
        </w:tc>
      </w:tr>
      <w:tr w:rsidR="00B62BE6" w:rsidRPr="00B62BE6" w14:paraId="57967CB7" w14:textId="77777777" w:rsidTr="00B4590D">
        <w:trPr>
          <w:trHeight w:val="315"/>
        </w:trPr>
        <w:tc>
          <w:tcPr>
            <w:tcW w:w="935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33AF35A" w14:textId="77777777" w:rsidR="00B62BE6" w:rsidRPr="00B62BE6" w:rsidRDefault="00B62BE6" w:rsidP="00B62BE6">
            <w:pPr>
              <w:rPr>
                <w:rFonts w:eastAsia="Times New Roman" w:cs="Arial"/>
                <w:b/>
                <w:bCs/>
                <w:color w:val="000000"/>
                <w:sz w:val="24"/>
                <w:lang w:eastAsia="en-US"/>
              </w:rPr>
            </w:pPr>
            <w:r w:rsidRPr="00B62BE6">
              <w:rPr>
                <w:rFonts w:eastAsia="Times New Roman" w:cs="Arial"/>
                <w:b/>
                <w:bCs/>
                <w:color w:val="000000"/>
                <w:sz w:val="24"/>
                <w:lang w:eastAsia="en-US"/>
              </w:rPr>
              <w:t>Case Management Services</w:t>
            </w:r>
          </w:p>
        </w:tc>
      </w:tr>
      <w:tr w:rsidR="00B62BE6" w:rsidRPr="00B62BE6" w14:paraId="57223654" w14:textId="77777777" w:rsidTr="00B4590D">
        <w:trPr>
          <w:trHeight w:val="332"/>
        </w:trPr>
        <w:tc>
          <w:tcPr>
            <w:tcW w:w="9355" w:type="dxa"/>
            <w:tcBorders>
              <w:top w:val="nil"/>
              <w:left w:val="single" w:sz="4" w:space="0" w:color="auto"/>
              <w:bottom w:val="single" w:sz="4" w:space="0" w:color="auto"/>
              <w:right w:val="single" w:sz="4" w:space="0" w:color="auto"/>
            </w:tcBorders>
            <w:shd w:val="clear" w:color="000000" w:fill="BFBFBF"/>
            <w:vAlign w:val="bottom"/>
            <w:hideMark/>
          </w:tcPr>
          <w:p w14:paraId="433B5B16" w14:textId="77777777" w:rsidR="00B62BE6" w:rsidRPr="00B62BE6" w:rsidRDefault="00B62BE6" w:rsidP="00B62BE6">
            <w:pPr>
              <w:rPr>
                <w:rFonts w:eastAsia="Times New Roman" w:cs="Arial"/>
                <w:i/>
                <w:iCs/>
                <w:color w:val="000000"/>
                <w:sz w:val="22"/>
                <w:szCs w:val="22"/>
                <w:lang w:eastAsia="en-US"/>
              </w:rPr>
            </w:pPr>
            <w:r w:rsidRPr="00B62BE6">
              <w:rPr>
                <w:rFonts w:eastAsia="Times New Roman" w:cs="Arial"/>
                <w:i/>
                <w:iCs/>
                <w:color w:val="000000"/>
                <w:sz w:val="22"/>
                <w:szCs w:val="22"/>
                <w:lang w:eastAsia="en-US"/>
              </w:rPr>
              <w:t>For documentation standards and suggestions for meeting each requirement, see the SSVF Case File Tool.</w:t>
            </w:r>
          </w:p>
        </w:tc>
      </w:tr>
      <w:tr w:rsidR="00B62BE6" w:rsidRPr="00B62BE6" w14:paraId="321C8EED" w14:textId="77777777" w:rsidTr="00B4590D">
        <w:trPr>
          <w:trHeight w:val="35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568B1E77" w14:textId="207A601F"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Staff understand Housing First and how to implement and house Veterans stably using th</w:t>
            </w:r>
            <w:r w:rsidR="0026287D">
              <w:rPr>
                <w:rFonts w:eastAsia="Times New Roman" w:cs="Arial"/>
                <w:color w:val="000000"/>
                <w:sz w:val="22"/>
                <w:szCs w:val="22"/>
                <w:lang w:eastAsia="en-US"/>
              </w:rPr>
              <w:t xml:space="preserve">is </w:t>
            </w:r>
            <w:r w:rsidRPr="00B62BE6">
              <w:rPr>
                <w:rFonts w:eastAsia="Times New Roman" w:cs="Arial"/>
                <w:color w:val="000000"/>
                <w:sz w:val="22"/>
                <w:szCs w:val="22"/>
                <w:lang w:eastAsia="en-US"/>
              </w:rPr>
              <w:t>approach.</w:t>
            </w:r>
          </w:p>
        </w:tc>
      </w:tr>
      <w:tr w:rsidR="00B62BE6" w:rsidRPr="00B62BE6" w14:paraId="0833F6FA" w14:textId="77777777" w:rsidTr="00AD5579">
        <w:trPr>
          <w:trHeight w:val="285"/>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A3EFD2"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have clear referrals to VA programs and follow up for those referrals documented in the files.</w:t>
            </w:r>
          </w:p>
        </w:tc>
      </w:tr>
      <w:tr w:rsidR="00B62BE6" w:rsidRPr="00B62BE6" w14:paraId="455F4423" w14:textId="77777777" w:rsidTr="00AD5579">
        <w:trPr>
          <w:trHeight w:val="368"/>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968453"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lastRenderedPageBreak/>
              <w:t>☐</w:t>
            </w:r>
            <w:r w:rsidRPr="00B62BE6">
              <w:rPr>
                <w:rFonts w:eastAsia="Times New Roman" w:cs="Arial"/>
                <w:color w:val="000000"/>
                <w:sz w:val="22"/>
                <w:szCs w:val="22"/>
                <w:lang w:eastAsia="en-US"/>
              </w:rPr>
              <w:t xml:space="preserve"> Files have clear referrals to mainstream programs and follow up for those referrals documented in the files.</w:t>
            </w:r>
          </w:p>
        </w:tc>
      </w:tr>
      <w:tr w:rsidR="00B62BE6" w:rsidRPr="00B62BE6" w14:paraId="2770AA57" w14:textId="77777777" w:rsidTr="00B4590D">
        <w:trPr>
          <w:trHeight w:val="458"/>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72C5C056" w14:textId="7B18D8D5"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have individualized plans (Housing Stability Plans) with goals, action steps, person responsible, and ongoing assessments of plans with updated goals and actions steps as steps and goals are accomplished.</w:t>
            </w:r>
          </w:p>
        </w:tc>
      </w:tr>
      <w:tr w:rsidR="00B62BE6" w:rsidRPr="00B62BE6" w14:paraId="434EF932" w14:textId="77777777" w:rsidTr="00B4590D">
        <w:trPr>
          <w:trHeight w:val="35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28439244"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have clear evidence of housing counseling, including assistance with housing search, if needed.</w:t>
            </w:r>
          </w:p>
        </w:tc>
      </w:tr>
      <w:tr w:rsidR="00B62BE6" w:rsidRPr="00B62BE6" w14:paraId="616652EB" w14:textId="77777777" w:rsidTr="00B4590D">
        <w:trPr>
          <w:trHeight w:val="35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47BAB95F"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have clear evidence of assessing client need and offering services/referrals based on those needs.</w:t>
            </w:r>
          </w:p>
        </w:tc>
      </w:tr>
      <w:tr w:rsidR="00B62BE6" w:rsidRPr="00B62BE6" w14:paraId="50B4EF7F"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2D87E04F"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have Rent Reasonableness assessments if paying housing costs.</w:t>
            </w:r>
          </w:p>
        </w:tc>
      </w:tr>
      <w:tr w:rsidR="00B62BE6" w:rsidRPr="00B62BE6" w14:paraId="72DE0171"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4854A8D6"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have proof of Habitability Standard Inspection for Veterans moving into new or different units.</w:t>
            </w:r>
          </w:p>
        </w:tc>
      </w:tr>
      <w:tr w:rsidR="00B62BE6" w:rsidRPr="00B62BE6" w14:paraId="38FB53B6" w14:textId="77777777" w:rsidTr="00B4590D">
        <w:trPr>
          <w:trHeight w:val="332"/>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49EA34E0"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with TFA payments have statements regarding “but for” and the necessity of the payment for stability.</w:t>
            </w:r>
          </w:p>
        </w:tc>
      </w:tr>
      <w:tr w:rsidR="00B62BE6" w:rsidRPr="00B62BE6" w14:paraId="222B2B80"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CC73AE5" w14:textId="7EA3637F"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have proper backup documentation and invoices for all costs paid on behalf of a client, including proof the check went out to the appropriate third party</w:t>
            </w:r>
            <w:r w:rsidR="0026287D">
              <w:rPr>
                <w:rFonts w:eastAsia="Times New Roman" w:cs="Arial"/>
                <w:color w:val="000000"/>
                <w:sz w:val="22"/>
                <w:szCs w:val="22"/>
                <w:lang w:eastAsia="en-US"/>
              </w:rPr>
              <w:t xml:space="preserve"> and that </w:t>
            </w:r>
            <w:r w:rsidRPr="00B62BE6">
              <w:rPr>
                <w:rFonts w:eastAsia="Times New Roman" w:cs="Arial"/>
                <w:color w:val="000000"/>
                <w:sz w:val="22"/>
                <w:szCs w:val="22"/>
                <w:lang w:eastAsia="en-US"/>
              </w:rPr>
              <w:t>steps</w:t>
            </w:r>
            <w:r w:rsidR="0026287D">
              <w:rPr>
                <w:rFonts w:eastAsia="Times New Roman" w:cs="Arial"/>
                <w:color w:val="000000"/>
                <w:sz w:val="22"/>
                <w:szCs w:val="22"/>
                <w:lang w:eastAsia="en-US"/>
              </w:rPr>
              <w:t xml:space="preserve"> are taken </w:t>
            </w:r>
            <w:r w:rsidRPr="00B62BE6">
              <w:rPr>
                <w:rFonts w:eastAsia="Times New Roman" w:cs="Arial"/>
                <w:color w:val="000000"/>
                <w:sz w:val="22"/>
                <w:szCs w:val="22"/>
                <w:lang w:eastAsia="en-US"/>
              </w:rPr>
              <w:t xml:space="preserve">to prevent fraud. </w:t>
            </w:r>
          </w:p>
        </w:tc>
      </w:tr>
      <w:tr w:rsidR="00B62BE6" w:rsidRPr="00B62BE6" w14:paraId="7A7195BD"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6D308BD7"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include Case Notes that support details and activities not captured in required documents. </w:t>
            </w:r>
          </w:p>
        </w:tc>
      </w:tr>
      <w:tr w:rsidR="00B62BE6" w:rsidRPr="00B62BE6" w14:paraId="412D5DD4"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728A5D62" w14:textId="57775ED8"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Files include evidence of VA-Designated satisfaction survey provided to each participant within 30 days of exit? </w:t>
            </w:r>
          </w:p>
        </w:tc>
      </w:tr>
      <w:tr w:rsidR="00B62BE6" w:rsidRPr="00B62BE6" w14:paraId="296873DA" w14:textId="77777777" w:rsidTr="00B4590D">
        <w:trPr>
          <w:trHeight w:val="285"/>
        </w:trPr>
        <w:tc>
          <w:tcPr>
            <w:tcW w:w="9355" w:type="dxa"/>
            <w:tcBorders>
              <w:top w:val="nil"/>
              <w:left w:val="nil"/>
              <w:bottom w:val="nil"/>
              <w:right w:val="nil"/>
            </w:tcBorders>
            <w:shd w:val="clear" w:color="auto" w:fill="auto"/>
            <w:noWrap/>
            <w:vAlign w:val="bottom"/>
            <w:hideMark/>
          </w:tcPr>
          <w:p w14:paraId="5E74E857" w14:textId="77777777" w:rsidR="00B422B4" w:rsidRDefault="00B422B4" w:rsidP="00B62BE6">
            <w:pPr>
              <w:rPr>
                <w:rFonts w:eastAsia="Times New Roman" w:cs="Arial"/>
                <w:color w:val="000000"/>
                <w:sz w:val="22"/>
                <w:szCs w:val="22"/>
                <w:lang w:eastAsia="en-US"/>
              </w:rPr>
            </w:pPr>
          </w:p>
          <w:p w14:paraId="04757725" w14:textId="1901056F" w:rsidR="00B62BE6" w:rsidRPr="00B62BE6" w:rsidRDefault="00B62BE6" w:rsidP="00B62BE6">
            <w:pPr>
              <w:rPr>
                <w:rFonts w:eastAsia="Times New Roman" w:cs="Arial"/>
                <w:color w:val="000000"/>
                <w:sz w:val="22"/>
                <w:szCs w:val="22"/>
                <w:lang w:eastAsia="en-US"/>
              </w:rPr>
            </w:pPr>
          </w:p>
        </w:tc>
      </w:tr>
      <w:tr w:rsidR="00B62BE6" w:rsidRPr="00B62BE6" w14:paraId="23EC443E" w14:textId="77777777" w:rsidTr="00B4590D">
        <w:trPr>
          <w:trHeight w:val="315"/>
        </w:trPr>
        <w:tc>
          <w:tcPr>
            <w:tcW w:w="935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7312885" w14:textId="77777777" w:rsidR="00B62BE6" w:rsidRPr="00B62BE6" w:rsidRDefault="00B62BE6" w:rsidP="00B62BE6">
            <w:pPr>
              <w:rPr>
                <w:rFonts w:eastAsia="Times New Roman" w:cs="Arial"/>
                <w:b/>
                <w:bCs/>
                <w:color w:val="000000"/>
                <w:sz w:val="24"/>
                <w:lang w:eastAsia="en-US"/>
              </w:rPr>
            </w:pPr>
            <w:bookmarkStart w:id="2" w:name="_Hlk30535583"/>
            <w:r w:rsidRPr="00B62BE6">
              <w:rPr>
                <w:rFonts w:eastAsia="Times New Roman" w:cs="Arial"/>
                <w:b/>
                <w:bCs/>
                <w:color w:val="000000"/>
                <w:sz w:val="24"/>
                <w:lang w:eastAsia="en-US"/>
              </w:rPr>
              <w:t>Financials &amp; Fiscal Administration</w:t>
            </w:r>
          </w:p>
        </w:tc>
      </w:tr>
      <w:bookmarkEnd w:id="2"/>
      <w:tr w:rsidR="00B62BE6" w:rsidRPr="00B62BE6" w14:paraId="19A93FAB"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3A02D4C4" w14:textId="5D2D0D46"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Established P&amp;Ps specific to operational activities tied to SSVF fiscal and accounting, chart of accounts, and procedure for recording financial transactions are in place. </w:t>
            </w:r>
          </w:p>
        </w:tc>
      </w:tr>
      <w:tr w:rsidR="00B62BE6" w:rsidRPr="00B62BE6" w14:paraId="439C13AF"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CFC3C25"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Established P&amp;P addressing approving financial transactions including evidence of appropriate segregation of duties.</w:t>
            </w:r>
          </w:p>
        </w:tc>
      </w:tr>
      <w:tr w:rsidR="00B62BE6" w:rsidRPr="00B62BE6" w14:paraId="41EC0398" w14:textId="77777777" w:rsidTr="00B4590D">
        <w:trPr>
          <w:trHeight w:val="285"/>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ABFBE9" w14:textId="1B742980"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Established P&amp;P addressing general records and </w:t>
            </w:r>
            <w:r w:rsidR="0026287D">
              <w:rPr>
                <w:rFonts w:eastAsia="Times New Roman" w:cs="Arial"/>
                <w:color w:val="000000"/>
                <w:sz w:val="22"/>
                <w:szCs w:val="22"/>
                <w:lang w:eastAsia="en-US"/>
              </w:rPr>
              <w:t xml:space="preserve">how </w:t>
            </w:r>
            <w:r w:rsidRPr="00B62BE6">
              <w:rPr>
                <w:rFonts w:eastAsia="Times New Roman" w:cs="Arial"/>
                <w:color w:val="000000"/>
                <w:sz w:val="22"/>
                <w:szCs w:val="22"/>
                <w:lang w:eastAsia="en-US"/>
              </w:rPr>
              <w:t>valuables are securely stored.</w:t>
            </w:r>
          </w:p>
        </w:tc>
      </w:tr>
      <w:tr w:rsidR="00B62BE6" w:rsidRPr="00B62BE6" w14:paraId="7D8033B9" w14:textId="77777777" w:rsidTr="00B4590D">
        <w:trPr>
          <w:trHeight w:val="285"/>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52B1EB"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Written record retention policy.</w:t>
            </w:r>
          </w:p>
        </w:tc>
      </w:tr>
      <w:tr w:rsidR="00B62BE6" w:rsidRPr="00B62BE6" w14:paraId="3F81DB57" w14:textId="77777777" w:rsidTr="00B4590D">
        <w:trPr>
          <w:trHeight w:val="260"/>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4D389E" w14:textId="05C48C52"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 General Ledger (GL) identifies</w:t>
            </w:r>
            <w:r w:rsidR="001D65CB">
              <w:rPr>
                <w:rFonts w:eastAsia="Times New Roman" w:cs="Arial"/>
                <w:color w:val="000000"/>
                <w:sz w:val="22"/>
                <w:szCs w:val="22"/>
                <w:lang w:eastAsia="en-US"/>
              </w:rPr>
              <w:t>/</w:t>
            </w:r>
            <w:r w:rsidRPr="00B62BE6">
              <w:rPr>
                <w:rFonts w:eastAsia="Times New Roman" w:cs="Arial"/>
                <w:color w:val="000000"/>
                <w:sz w:val="22"/>
                <w:szCs w:val="22"/>
                <w:lang w:eastAsia="en-US"/>
              </w:rPr>
              <w:t>accounts for all SSVF costs (reconcile back to approved SSVF budget).</w:t>
            </w:r>
          </w:p>
        </w:tc>
      </w:tr>
      <w:tr w:rsidR="00B62BE6" w:rsidRPr="00B62BE6" w14:paraId="6DD25A74" w14:textId="77777777" w:rsidTr="00B4590D">
        <w:trPr>
          <w:trHeight w:val="305"/>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C87F8E" w14:textId="55CD0184"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 GL identifies</w:t>
            </w:r>
            <w:r w:rsidR="001D65CB">
              <w:rPr>
                <w:rFonts w:eastAsia="Times New Roman" w:cs="Arial"/>
                <w:color w:val="000000"/>
                <w:sz w:val="22"/>
                <w:szCs w:val="22"/>
                <w:lang w:eastAsia="en-US"/>
              </w:rPr>
              <w:t>/</w:t>
            </w:r>
            <w:r w:rsidRPr="00B62BE6">
              <w:rPr>
                <w:rFonts w:eastAsia="Times New Roman" w:cs="Arial"/>
                <w:color w:val="000000"/>
                <w:sz w:val="22"/>
                <w:szCs w:val="22"/>
                <w:lang w:eastAsia="en-US"/>
              </w:rPr>
              <w:t>accounts for all SSVF Administrative costs (reconcile back to approved SSVF budget).</w:t>
            </w:r>
          </w:p>
        </w:tc>
      </w:tr>
      <w:tr w:rsidR="00B62BE6" w:rsidRPr="00B62BE6" w14:paraId="1FA43B42"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39E4F553"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 GL identifies and accounts for all SSVF costs by program (Rapid Re-housing, Homeless Prevention, Shallow Subsidies, Return Home, Rapid Resolution, etc.).</w:t>
            </w:r>
          </w:p>
        </w:tc>
      </w:tr>
      <w:tr w:rsidR="00B62BE6" w:rsidRPr="00B62BE6" w14:paraId="6CF01743" w14:textId="77777777" w:rsidTr="003026F9">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7A821F1A" w14:textId="5268E35F"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Finance does not charge SSVF for administrative costs based on an indirect cost rate and administrative cost</w:t>
            </w:r>
            <w:r w:rsidR="0026287D">
              <w:rPr>
                <w:rFonts w:eastAsia="Times New Roman" w:cs="Arial"/>
                <w:color w:val="000000"/>
                <w:sz w:val="22"/>
                <w:szCs w:val="22"/>
                <w:lang w:eastAsia="en-US"/>
              </w:rPr>
              <w:t>s</w:t>
            </w:r>
            <w:r w:rsidRPr="00B62BE6">
              <w:rPr>
                <w:rFonts w:eastAsia="Times New Roman" w:cs="Arial"/>
                <w:color w:val="000000"/>
                <w:sz w:val="22"/>
                <w:szCs w:val="22"/>
                <w:lang w:eastAsia="en-US"/>
              </w:rPr>
              <w:t xml:space="preserve"> do not exceed 10 percent of the total grant.</w:t>
            </w:r>
          </w:p>
        </w:tc>
      </w:tr>
      <w:tr w:rsidR="00B62BE6" w:rsidRPr="00B62BE6" w14:paraId="4E73EE85" w14:textId="77777777" w:rsidTr="003026F9">
        <w:trPr>
          <w:trHeight w:val="285"/>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9580E"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Evidence controls exist to ensure only approved line items in the SSVF budget are charged to SSVF.</w:t>
            </w:r>
          </w:p>
        </w:tc>
      </w:tr>
      <w:tr w:rsidR="00B62BE6" w:rsidRPr="00B62BE6" w14:paraId="184FD4B6"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50925190"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 GL accounts for all revenue drawn from the Payment Management System (PMS).</w:t>
            </w:r>
          </w:p>
        </w:tc>
      </w:tr>
      <w:tr w:rsidR="00B62BE6" w:rsidRPr="00B62BE6" w14:paraId="1AC4D6E7"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49A003F6" w14:textId="2463264D"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If the GL does not identify TFA cost by client name/ID, </w:t>
            </w:r>
            <w:r w:rsidR="0026287D">
              <w:rPr>
                <w:rFonts w:eastAsia="Times New Roman" w:cs="Arial"/>
                <w:color w:val="000000"/>
                <w:sz w:val="22"/>
                <w:szCs w:val="22"/>
                <w:lang w:eastAsia="en-US"/>
              </w:rPr>
              <w:t xml:space="preserve">there must be </w:t>
            </w:r>
            <w:r w:rsidRPr="00B62BE6">
              <w:rPr>
                <w:rFonts w:eastAsia="Times New Roman" w:cs="Arial"/>
                <w:color w:val="000000"/>
                <w:sz w:val="22"/>
                <w:szCs w:val="22"/>
                <w:lang w:eastAsia="en-US"/>
              </w:rPr>
              <w:t xml:space="preserve">evidence of monthly reconcilement between GL and TFA expenses recorded by the program/operational activities. </w:t>
            </w:r>
          </w:p>
        </w:tc>
      </w:tr>
      <w:tr w:rsidR="00B62BE6" w:rsidRPr="00B62BE6" w14:paraId="010A90CF" w14:textId="77777777" w:rsidTr="00AD5579">
        <w:trPr>
          <w:trHeight w:val="242"/>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509ED" w14:textId="04BC4223"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Finance draws downs funds on a reimbursement basis and fully expends </w:t>
            </w:r>
            <w:r>
              <w:rPr>
                <w:rFonts w:eastAsia="Times New Roman" w:cs="Arial"/>
                <w:color w:val="000000"/>
                <w:sz w:val="22"/>
                <w:szCs w:val="22"/>
                <w:lang w:eastAsia="en-US"/>
              </w:rPr>
              <w:t xml:space="preserve">funds drawn </w:t>
            </w:r>
            <w:r w:rsidRPr="00B62BE6">
              <w:rPr>
                <w:rFonts w:eastAsia="Times New Roman" w:cs="Arial"/>
                <w:color w:val="000000"/>
                <w:sz w:val="22"/>
                <w:szCs w:val="22"/>
                <w:lang w:eastAsia="en-US"/>
              </w:rPr>
              <w:t>within 3 days.</w:t>
            </w:r>
          </w:p>
        </w:tc>
      </w:tr>
      <w:tr w:rsidR="00B62BE6" w:rsidRPr="00B62BE6" w14:paraId="03F991C7" w14:textId="77777777" w:rsidTr="00AD5579">
        <w:trPr>
          <w:trHeight w:val="287"/>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20229" w14:textId="0AC112B8"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lastRenderedPageBreak/>
              <w:t>☐</w:t>
            </w:r>
            <w:r w:rsidRPr="00B62BE6">
              <w:rPr>
                <w:rFonts w:eastAsia="Times New Roman" w:cs="Arial"/>
                <w:color w:val="000000"/>
                <w:sz w:val="22"/>
                <w:szCs w:val="22"/>
                <w:lang w:eastAsia="en-US"/>
              </w:rPr>
              <w:t xml:space="preserve"> Timesheets record actual hours worked on various projects and </w:t>
            </w:r>
            <w:r w:rsidR="0026287D">
              <w:rPr>
                <w:rFonts w:eastAsia="Times New Roman" w:cs="Arial"/>
                <w:color w:val="000000"/>
                <w:sz w:val="22"/>
                <w:szCs w:val="22"/>
                <w:lang w:eastAsia="en-US"/>
              </w:rPr>
              <w:t xml:space="preserve">are recorded </w:t>
            </w:r>
            <w:r w:rsidRPr="00B62BE6">
              <w:rPr>
                <w:rFonts w:eastAsia="Times New Roman" w:cs="Arial"/>
                <w:color w:val="000000"/>
                <w:sz w:val="22"/>
                <w:szCs w:val="22"/>
                <w:lang w:eastAsia="en-US"/>
              </w:rPr>
              <w:t>by employee</w:t>
            </w:r>
            <w:r w:rsidR="0026287D">
              <w:rPr>
                <w:rFonts w:eastAsia="Times New Roman" w:cs="Arial"/>
                <w:color w:val="000000"/>
                <w:sz w:val="22"/>
                <w:szCs w:val="22"/>
                <w:lang w:eastAsia="en-US"/>
              </w:rPr>
              <w:t>s</w:t>
            </w:r>
            <w:r w:rsidRPr="00B62BE6">
              <w:rPr>
                <w:rFonts w:eastAsia="Times New Roman" w:cs="Arial"/>
                <w:color w:val="000000"/>
                <w:sz w:val="22"/>
                <w:szCs w:val="22"/>
                <w:lang w:eastAsia="en-US"/>
              </w:rPr>
              <w:t xml:space="preserve"> and </w:t>
            </w:r>
            <w:r w:rsidR="0026287D">
              <w:rPr>
                <w:rFonts w:eastAsia="Times New Roman" w:cs="Arial"/>
                <w:color w:val="000000"/>
                <w:sz w:val="22"/>
                <w:szCs w:val="22"/>
                <w:lang w:eastAsia="en-US"/>
              </w:rPr>
              <w:t xml:space="preserve">approved by </w:t>
            </w:r>
            <w:r w:rsidRPr="00B62BE6">
              <w:rPr>
                <w:rFonts w:eastAsia="Times New Roman" w:cs="Arial"/>
                <w:color w:val="000000"/>
                <w:sz w:val="22"/>
                <w:szCs w:val="22"/>
                <w:lang w:eastAsia="en-US"/>
              </w:rPr>
              <w:t>supervisor</w:t>
            </w:r>
            <w:r w:rsidR="0026287D">
              <w:rPr>
                <w:rFonts w:eastAsia="Times New Roman" w:cs="Arial"/>
                <w:color w:val="000000"/>
                <w:sz w:val="22"/>
                <w:szCs w:val="22"/>
                <w:lang w:eastAsia="en-US"/>
              </w:rPr>
              <w:t>s</w:t>
            </w:r>
            <w:r w:rsidRPr="00B62BE6">
              <w:rPr>
                <w:rFonts w:eastAsia="Times New Roman" w:cs="Arial"/>
                <w:color w:val="000000"/>
                <w:sz w:val="22"/>
                <w:szCs w:val="22"/>
                <w:lang w:eastAsia="en-US"/>
              </w:rPr>
              <w:t>.</w:t>
            </w:r>
          </w:p>
        </w:tc>
        <w:bookmarkStart w:id="3" w:name="_GoBack"/>
        <w:bookmarkEnd w:id="3"/>
      </w:tr>
      <w:tr w:rsidR="00B62BE6" w:rsidRPr="00B62BE6" w14:paraId="553F897C" w14:textId="77777777" w:rsidTr="00B4590D">
        <w:trPr>
          <w:trHeight w:val="26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85A24B9" w14:textId="5F55908F"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Timesheets directly link payroll fund drawn down</w:t>
            </w:r>
            <w:r w:rsidR="0026287D">
              <w:rPr>
                <w:rFonts w:eastAsia="Times New Roman" w:cs="Arial"/>
                <w:color w:val="000000"/>
                <w:sz w:val="22"/>
                <w:szCs w:val="22"/>
                <w:lang w:eastAsia="en-US"/>
              </w:rPr>
              <w:t>s</w:t>
            </w:r>
            <w:r w:rsidRPr="00B62BE6">
              <w:rPr>
                <w:rFonts w:eastAsia="Times New Roman" w:cs="Arial"/>
                <w:color w:val="000000"/>
                <w:sz w:val="22"/>
                <w:szCs w:val="22"/>
                <w:lang w:eastAsia="en-US"/>
              </w:rPr>
              <w:t xml:space="preserve"> are based on actual hours worked on SSVF.</w:t>
            </w:r>
          </w:p>
        </w:tc>
      </w:tr>
      <w:tr w:rsidR="00B62BE6" w:rsidRPr="00B62BE6" w14:paraId="31946365" w14:textId="77777777" w:rsidTr="00B4590D">
        <w:trPr>
          <w:trHeight w:val="53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18A4C0E"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For staff paid under the administrative section of the budget, if there are no timesheets indicating actual time worked on SSVF, evidence of completed time studies updated regularly for all staff charged under admin.</w:t>
            </w:r>
          </w:p>
        </w:tc>
      </w:tr>
      <w:tr w:rsidR="00B62BE6" w:rsidRPr="00B62BE6" w14:paraId="6F0276FB"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24B5D6E9"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No unallowable costs are charged to the grant.</w:t>
            </w:r>
          </w:p>
        </w:tc>
      </w:tr>
      <w:tr w:rsidR="00B62BE6" w:rsidRPr="00B62BE6" w14:paraId="006E0E22"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4C9B6492"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There is clear documentation to support vehicles charged to the grantee (if applicable).</w:t>
            </w:r>
          </w:p>
        </w:tc>
      </w:tr>
      <w:tr w:rsidR="00B62BE6" w:rsidRPr="00B62BE6" w14:paraId="1D5935A2"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920E0B5"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Single Audit completed with Internal Control Deficiencies or Weaknesses addressed and uploaded into the Federal Audit Clearing House (if total Federal Funding &gt;$750,000).</w:t>
            </w:r>
          </w:p>
        </w:tc>
      </w:tr>
      <w:tr w:rsidR="00B62BE6" w:rsidRPr="00B62BE6" w14:paraId="663BCDD9" w14:textId="77777777" w:rsidTr="00B4590D">
        <w:trPr>
          <w:trHeight w:val="503"/>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26B3779" w14:textId="5D649D1D"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Federal Financial Report (FFR) or (SF-425) completed no later than 45 days after the end of the</w:t>
            </w:r>
            <w:r w:rsidR="0026287D">
              <w:rPr>
                <w:rFonts w:eastAsia="Times New Roman" w:cs="Arial"/>
                <w:color w:val="000000"/>
                <w:sz w:val="22"/>
                <w:szCs w:val="22"/>
                <w:lang w:eastAsia="en-US"/>
              </w:rPr>
              <w:t xml:space="preserve"> </w:t>
            </w:r>
            <w:r w:rsidRPr="00B62BE6">
              <w:rPr>
                <w:rFonts w:eastAsia="Times New Roman" w:cs="Arial"/>
                <w:color w:val="000000"/>
                <w:sz w:val="22"/>
                <w:szCs w:val="22"/>
                <w:lang w:eastAsia="en-US"/>
              </w:rPr>
              <w:t>grant</w:t>
            </w:r>
            <w:r w:rsidR="0026287D">
              <w:rPr>
                <w:rFonts w:eastAsia="Times New Roman" w:cs="Arial"/>
                <w:color w:val="000000"/>
                <w:sz w:val="22"/>
                <w:szCs w:val="22"/>
                <w:lang w:eastAsia="en-US"/>
              </w:rPr>
              <w:t xml:space="preserve"> </w:t>
            </w:r>
            <w:r w:rsidRPr="00B62BE6">
              <w:rPr>
                <w:rFonts w:eastAsia="Times New Roman" w:cs="Arial"/>
                <w:color w:val="000000"/>
                <w:sz w:val="22"/>
                <w:szCs w:val="22"/>
                <w:lang w:eastAsia="en-US"/>
              </w:rPr>
              <w:t>term or 90 days with approved extension.</w:t>
            </w:r>
          </w:p>
        </w:tc>
      </w:tr>
      <w:tr w:rsidR="00B62BE6" w:rsidRPr="00B62BE6" w14:paraId="1500F8C4" w14:textId="77777777" w:rsidTr="0026287D">
        <w:trPr>
          <w:trHeight w:val="530"/>
        </w:trPr>
        <w:tc>
          <w:tcPr>
            <w:tcW w:w="9355" w:type="dxa"/>
            <w:tcBorders>
              <w:top w:val="nil"/>
              <w:left w:val="single" w:sz="4" w:space="0" w:color="auto"/>
              <w:bottom w:val="single" w:sz="4" w:space="0" w:color="auto"/>
              <w:right w:val="single" w:sz="4" w:space="0" w:color="auto"/>
            </w:tcBorders>
            <w:shd w:val="clear" w:color="auto" w:fill="auto"/>
            <w:vAlign w:val="bottom"/>
          </w:tcPr>
          <w:p w14:paraId="1F54D876" w14:textId="065B8762" w:rsidR="00B62BE6" w:rsidRPr="00B62BE6" w:rsidRDefault="00B62BE6" w:rsidP="00B62BE6">
            <w:pPr>
              <w:rPr>
                <w:rFonts w:eastAsia="Times New Roman" w:cs="Arial"/>
                <w:color w:val="000000"/>
                <w:sz w:val="22"/>
                <w:szCs w:val="22"/>
                <w:lang w:eastAsia="en-US"/>
              </w:rPr>
            </w:pPr>
          </w:p>
        </w:tc>
      </w:tr>
      <w:tr w:rsidR="00B62BE6" w:rsidRPr="00B62BE6" w14:paraId="7806E393" w14:textId="77777777" w:rsidTr="00B4590D">
        <w:trPr>
          <w:trHeight w:val="285"/>
        </w:trPr>
        <w:tc>
          <w:tcPr>
            <w:tcW w:w="9355" w:type="dxa"/>
            <w:tcBorders>
              <w:top w:val="nil"/>
              <w:left w:val="nil"/>
              <w:bottom w:val="nil"/>
              <w:right w:val="nil"/>
            </w:tcBorders>
            <w:shd w:val="clear" w:color="auto" w:fill="auto"/>
            <w:noWrap/>
            <w:vAlign w:val="bottom"/>
            <w:hideMark/>
          </w:tcPr>
          <w:p w14:paraId="61543F22" w14:textId="77777777" w:rsidR="00B62BE6" w:rsidRPr="00B62BE6" w:rsidRDefault="00B62BE6" w:rsidP="00B62BE6">
            <w:pPr>
              <w:rPr>
                <w:rFonts w:eastAsia="Times New Roman" w:cs="Arial"/>
                <w:color w:val="000000"/>
                <w:sz w:val="22"/>
                <w:szCs w:val="22"/>
                <w:lang w:eastAsia="en-US"/>
              </w:rPr>
            </w:pPr>
          </w:p>
        </w:tc>
      </w:tr>
      <w:tr w:rsidR="00B62BE6" w:rsidRPr="00B62BE6" w14:paraId="57F58881" w14:textId="77777777" w:rsidTr="00B4590D">
        <w:trPr>
          <w:trHeight w:val="315"/>
        </w:trPr>
        <w:tc>
          <w:tcPr>
            <w:tcW w:w="935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B5571A5" w14:textId="134D8C0F" w:rsidR="00B62BE6" w:rsidRPr="00B62BE6" w:rsidRDefault="00B62BE6" w:rsidP="00B62BE6">
            <w:pPr>
              <w:rPr>
                <w:rFonts w:eastAsia="Times New Roman" w:cs="Arial"/>
                <w:b/>
                <w:bCs/>
                <w:color w:val="000000"/>
                <w:sz w:val="24"/>
                <w:lang w:eastAsia="en-US"/>
              </w:rPr>
            </w:pPr>
            <w:r w:rsidRPr="00B62BE6">
              <w:rPr>
                <w:rFonts w:eastAsia="Times New Roman" w:cs="Arial"/>
                <w:b/>
                <w:bCs/>
                <w:color w:val="000000"/>
                <w:sz w:val="24"/>
                <w:lang w:eastAsia="en-US"/>
              </w:rPr>
              <w:t>Data Management and Quality Assurance</w:t>
            </w:r>
            <w:r w:rsidR="001D65CB">
              <w:rPr>
                <w:rFonts w:eastAsia="Times New Roman" w:cs="Arial"/>
                <w:b/>
                <w:bCs/>
                <w:color w:val="000000"/>
                <w:sz w:val="24"/>
                <w:lang w:eastAsia="en-US"/>
              </w:rPr>
              <w:t xml:space="preserve"> (Data Quality Plan)</w:t>
            </w:r>
          </w:p>
        </w:tc>
      </w:tr>
      <w:tr w:rsidR="00B62BE6" w:rsidRPr="00B62BE6" w14:paraId="097D6D55"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182943C"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There is a written data quality plan covering completeness, timeliness, and accuracy.</w:t>
            </w:r>
          </w:p>
        </w:tc>
      </w:tr>
      <w:tr w:rsidR="00B62BE6" w:rsidRPr="00B62BE6" w14:paraId="1CFC81EE" w14:textId="77777777" w:rsidTr="00B4590D">
        <w:trPr>
          <w:trHeight w:val="57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2BD81DD0"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 written procedure outlines staff responsibility for timely entry, quality assurance practices, and internal process for uploading data into the VA Repository System.</w:t>
            </w:r>
          </w:p>
        </w:tc>
      </w:tr>
      <w:tr w:rsidR="00B62BE6" w:rsidRPr="00B62BE6" w14:paraId="164F87F4" w14:textId="77777777" w:rsidTr="00B4590D">
        <w:trPr>
          <w:trHeight w:val="323"/>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1E113CA0" w14:textId="00655C66"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 </w:t>
            </w:r>
            <w:r w:rsidR="0026287D">
              <w:rPr>
                <w:rFonts w:eastAsia="Times New Roman" w:cs="Arial"/>
                <w:color w:val="000000"/>
                <w:sz w:val="22"/>
                <w:szCs w:val="22"/>
                <w:lang w:eastAsia="en-US"/>
              </w:rPr>
              <w:t>G</w:t>
            </w:r>
            <w:r w:rsidRPr="00B62BE6">
              <w:rPr>
                <w:rFonts w:eastAsia="Times New Roman" w:cs="Arial"/>
                <w:color w:val="000000"/>
                <w:sz w:val="22"/>
                <w:szCs w:val="22"/>
                <w:lang w:eastAsia="en-US"/>
              </w:rPr>
              <w:t>rantee has evidence of successful monthly uploads into VA system and into all CoCs they serve.</w:t>
            </w:r>
          </w:p>
        </w:tc>
      </w:tr>
      <w:tr w:rsidR="00B62BE6" w:rsidRPr="00B62BE6" w14:paraId="4093EEDA" w14:textId="77777777" w:rsidTr="00B4590D">
        <w:trPr>
          <w:trHeight w:val="548"/>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41F51DB" w14:textId="0343569F"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Client data in HMIS matches client files for VAMC code, CoC code, program entry and exit, Veteran SSN, move-in date, prevention threshold score, </w:t>
            </w:r>
            <w:proofErr w:type="spellStart"/>
            <w:r w:rsidRPr="00B62BE6">
              <w:rPr>
                <w:rFonts w:eastAsia="Times New Roman" w:cs="Arial"/>
                <w:color w:val="000000"/>
                <w:sz w:val="22"/>
                <w:szCs w:val="22"/>
                <w:lang w:eastAsia="en-US"/>
              </w:rPr>
              <w:t>HoH</w:t>
            </w:r>
            <w:proofErr w:type="spellEnd"/>
            <w:r w:rsidRPr="00B62BE6">
              <w:rPr>
                <w:rFonts w:eastAsia="Times New Roman" w:cs="Arial"/>
                <w:color w:val="000000"/>
                <w:sz w:val="22"/>
                <w:szCs w:val="22"/>
                <w:lang w:eastAsia="en-US"/>
              </w:rPr>
              <w:t xml:space="preserve"> designation, services provided, and TFA payments.</w:t>
            </w:r>
          </w:p>
        </w:tc>
      </w:tr>
      <w:tr w:rsidR="00B62BE6" w:rsidRPr="00B62BE6" w14:paraId="36B4A68D" w14:textId="77777777" w:rsidTr="00B4590D">
        <w:trPr>
          <w:trHeight w:val="530"/>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063EEA71" w14:textId="77777777" w:rsidR="00B62BE6" w:rsidRPr="00B62BE6" w:rsidRDefault="00B62BE6"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There is a completed Information Security Self-Assessment:  https://www.va.gov/HOMELESS/ssvf/docs/SSVF_Information_Security_Assessment.pdf</w:t>
            </w:r>
          </w:p>
        </w:tc>
      </w:tr>
      <w:tr w:rsidR="00B62BE6" w:rsidRPr="00B62BE6" w14:paraId="2C4790EB" w14:textId="77777777" w:rsidTr="00B4590D">
        <w:trPr>
          <w:trHeight w:val="300"/>
        </w:trPr>
        <w:tc>
          <w:tcPr>
            <w:tcW w:w="9355" w:type="dxa"/>
            <w:tcBorders>
              <w:top w:val="nil"/>
              <w:left w:val="nil"/>
              <w:bottom w:val="nil"/>
              <w:right w:val="nil"/>
            </w:tcBorders>
            <w:shd w:val="clear" w:color="auto" w:fill="auto"/>
            <w:noWrap/>
            <w:vAlign w:val="bottom"/>
            <w:hideMark/>
          </w:tcPr>
          <w:p w14:paraId="4B663D39" w14:textId="77777777" w:rsidR="00B62BE6" w:rsidRPr="00B62BE6" w:rsidRDefault="00B62BE6" w:rsidP="00B62BE6">
            <w:pPr>
              <w:rPr>
                <w:rFonts w:eastAsia="Times New Roman" w:cs="Arial"/>
                <w:color w:val="000000"/>
                <w:sz w:val="22"/>
                <w:szCs w:val="22"/>
                <w:lang w:eastAsia="en-US"/>
              </w:rPr>
            </w:pPr>
          </w:p>
        </w:tc>
      </w:tr>
      <w:tr w:rsidR="00B62BE6" w:rsidRPr="00B62BE6" w14:paraId="2757A8E1" w14:textId="77777777" w:rsidTr="00B4590D">
        <w:trPr>
          <w:trHeight w:val="315"/>
        </w:trPr>
        <w:tc>
          <w:tcPr>
            <w:tcW w:w="935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08F5FB6" w14:textId="1E949D46" w:rsidR="00B62BE6" w:rsidRPr="00B62BE6" w:rsidRDefault="00B62BE6" w:rsidP="00B62BE6">
            <w:pPr>
              <w:rPr>
                <w:rFonts w:eastAsia="Times New Roman" w:cs="Arial"/>
                <w:b/>
                <w:bCs/>
                <w:color w:val="000000"/>
                <w:sz w:val="24"/>
                <w:lang w:eastAsia="en-US"/>
              </w:rPr>
            </w:pPr>
            <w:r w:rsidRPr="00B62BE6">
              <w:rPr>
                <w:rFonts w:eastAsia="Times New Roman" w:cs="Arial"/>
                <w:b/>
                <w:bCs/>
                <w:color w:val="000000"/>
                <w:sz w:val="24"/>
                <w:lang w:eastAsia="en-US"/>
              </w:rPr>
              <w:t>Veterans Rights Poster</w:t>
            </w:r>
            <w:r w:rsidR="001D65CB">
              <w:rPr>
                <w:rFonts w:eastAsia="Times New Roman" w:cs="Arial"/>
                <w:b/>
                <w:bCs/>
                <w:color w:val="000000"/>
                <w:sz w:val="24"/>
                <w:lang w:eastAsia="en-US"/>
              </w:rPr>
              <w:t>(s)</w:t>
            </w:r>
          </w:p>
        </w:tc>
      </w:tr>
      <w:tr w:rsidR="00B62BE6" w:rsidRPr="00B62BE6" w14:paraId="52780D99" w14:textId="77777777" w:rsidTr="00B4590D">
        <w:trPr>
          <w:trHeight w:val="285"/>
        </w:trPr>
        <w:tc>
          <w:tcPr>
            <w:tcW w:w="9355" w:type="dxa"/>
            <w:tcBorders>
              <w:top w:val="nil"/>
              <w:left w:val="single" w:sz="4" w:space="0" w:color="auto"/>
              <w:bottom w:val="single" w:sz="4" w:space="0" w:color="auto"/>
              <w:right w:val="single" w:sz="4" w:space="0" w:color="auto"/>
            </w:tcBorders>
            <w:shd w:val="clear" w:color="auto" w:fill="auto"/>
            <w:vAlign w:val="bottom"/>
            <w:hideMark/>
          </w:tcPr>
          <w:p w14:paraId="68F67875" w14:textId="064FDBB0" w:rsidR="00B62BE6" w:rsidRPr="00B62BE6" w:rsidRDefault="001D65CB" w:rsidP="00B62BE6">
            <w:pPr>
              <w:rPr>
                <w:rFonts w:eastAsia="Times New Roman" w:cs="Arial"/>
                <w:color w:val="000000"/>
                <w:sz w:val="22"/>
                <w:szCs w:val="22"/>
                <w:lang w:eastAsia="en-US"/>
              </w:rPr>
            </w:pPr>
            <w:r w:rsidRPr="00B62BE6">
              <w:rPr>
                <w:rFonts w:ascii="Segoe UI Symbol" w:eastAsia="Times New Roman" w:hAnsi="Segoe UI Symbol" w:cs="Segoe UI Symbol"/>
                <w:color w:val="000000"/>
                <w:sz w:val="22"/>
                <w:szCs w:val="22"/>
                <w:lang w:eastAsia="en-US"/>
              </w:rPr>
              <w:t>☐</w:t>
            </w:r>
            <w:r w:rsidRPr="00B62BE6">
              <w:rPr>
                <w:rFonts w:eastAsia="Times New Roman" w:cs="Arial"/>
                <w:color w:val="000000"/>
                <w:sz w:val="22"/>
                <w:szCs w:val="22"/>
                <w:lang w:eastAsia="en-US"/>
              </w:rPr>
              <w:t xml:space="preserve"> Veterans</w:t>
            </w:r>
            <w:r w:rsidR="00B62BE6" w:rsidRPr="00B62BE6">
              <w:rPr>
                <w:rFonts w:eastAsia="Times New Roman" w:cs="Arial"/>
                <w:color w:val="000000"/>
                <w:sz w:val="22"/>
                <w:szCs w:val="22"/>
                <w:lang w:eastAsia="en-US"/>
              </w:rPr>
              <w:t xml:space="preserve"> Rights Poster(s) are displayed where ever Veterans and their Families are served.</w:t>
            </w:r>
          </w:p>
        </w:tc>
      </w:tr>
    </w:tbl>
    <w:p w14:paraId="5CCB3E93" w14:textId="1D199C15" w:rsidR="002763BF" w:rsidRPr="0007077B" w:rsidRDefault="002763BF" w:rsidP="00B62BE6">
      <w:pPr>
        <w:rPr>
          <w:rFonts w:eastAsiaTheme="minorHAnsi" w:cs="Arial"/>
          <w:b/>
          <w:sz w:val="22"/>
          <w:szCs w:val="22"/>
          <w:lang w:eastAsia="en-US"/>
        </w:rPr>
      </w:pPr>
    </w:p>
    <w:sectPr w:rsidR="002763BF" w:rsidRPr="0007077B" w:rsidSect="00B459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09A4E" w14:textId="77777777" w:rsidR="00FC2A24" w:rsidRDefault="00FC2A24" w:rsidP="00FD782D">
      <w:r>
        <w:separator/>
      </w:r>
    </w:p>
  </w:endnote>
  <w:endnote w:type="continuationSeparator" w:id="0">
    <w:p w14:paraId="2983ADAB" w14:textId="77777777" w:rsidR="00FC2A24" w:rsidRDefault="00FC2A24" w:rsidP="00FD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B81A" w14:textId="77777777" w:rsidR="00B62BE6" w:rsidRDefault="00B62BE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61501EE" w14:textId="77777777" w:rsidR="008C2887" w:rsidRDefault="008C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12CD6" w14:textId="77777777" w:rsidR="00FC2A24" w:rsidRDefault="00FC2A24" w:rsidP="00FD782D">
      <w:r>
        <w:separator/>
      </w:r>
    </w:p>
  </w:footnote>
  <w:footnote w:type="continuationSeparator" w:id="0">
    <w:p w14:paraId="721CDBFA" w14:textId="77777777" w:rsidR="00FC2A24" w:rsidRDefault="00FC2A24" w:rsidP="00FD7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E23E8"/>
    <w:multiLevelType w:val="hybridMultilevel"/>
    <w:tmpl w:val="7786C1AA"/>
    <w:lvl w:ilvl="0" w:tplc="41F82194">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05C8C"/>
    <w:multiLevelType w:val="hybridMultilevel"/>
    <w:tmpl w:val="5284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97763"/>
    <w:multiLevelType w:val="hybridMultilevel"/>
    <w:tmpl w:val="BBDC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80182"/>
    <w:multiLevelType w:val="hybridMultilevel"/>
    <w:tmpl w:val="FB5808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E5AB1"/>
    <w:multiLevelType w:val="hybridMultilevel"/>
    <w:tmpl w:val="FDB4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0"/>
  <w:defaultTabStop w:val="720"/>
  <w:drawingGridHorizontalSpacing w:val="115"/>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5B"/>
    <w:rsid w:val="0002258D"/>
    <w:rsid w:val="00024934"/>
    <w:rsid w:val="00025AAB"/>
    <w:rsid w:val="00040C29"/>
    <w:rsid w:val="00041F4D"/>
    <w:rsid w:val="00044077"/>
    <w:rsid w:val="0005277A"/>
    <w:rsid w:val="00056B67"/>
    <w:rsid w:val="000663FC"/>
    <w:rsid w:val="000665AC"/>
    <w:rsid w:val="0007077B"/>
    <w:rsid w:val="0007116A"/>
    <w:rsid w:val="00081AE4"/>
    <w:rsid w:val="00084C7A"/>
    <w:rsid w:val="00096BCA"/>
    <w:rsid w:val="00097EB8"/>
    <w:rsid w:val="000A25BB"/>
    <w:rsid w:val="000A3FF8"/>
    <w:rsid w:val="000A4116"/>
    <w:rsid w:val="000B1DE8"/>
    <w:rsid w:val="000B1E75"/>
    <w:rsid w:val="000B4DA3"/>
    <w:rsid w:val="000C11F5"/>
    <w:rsid w:val="000C3C81"/>
    <w:rsid w:val="000C40CC"/>
    <w:rsid w:val="000F265C"/>
    <w:rsid w:val="000F6EF7"/>
    <w:rsid w:val="00102C12"/>
    <w:rsid w:val="0010766E"/>
    <w:rsid w:val="001116C1"/>
    <w:rsid w:val="00115C13"/>
    <w:rsid w:val="00117DA5"/>
    <w:rsid w:val="00120D62"/>
    <w:rsid w:val="00136AEE"/>
    <w:rsid w:val="0014198C"/>
    <w:rsid w:val="001456F4"/>
    <w:rsid w:val="00156DA3"/>
    <w:rsid w:val="00157E93"/>
    <w:rsid w:val="00160ED8"/>
    <w:rsid w:val="00163C39"/>
    <w:rsid w:val="00171BEE"/>
    <w:rsid w:val="0017595C"/>
    <w:rsid w:val="00182151"/>
    <w:rsid w:val="00186CBA"/>
    <w:rsid w:val="00193CEA"/>
    <w:rsid w:val="00195824"/>
    <w:rsid w:val="001C1D27"/>
    <w:rsid w:val="001D4917"/>
    <w:rsid w:val="001D65CB"/>
    <w:rsid w:val="001D7614"/>
    <w:rsid w:val="001F2133"/>
    <w:rsid w:val="001F21E1"/>
    <w:rsid w:val="001F40DB"/>
    <w:rsid w:val="001F4AFE"/>
    <w:rsid w:val="0020346E"/>
    <w:rsid w:val="0020647D"/>
    <w:rsid w:val="00217AAF"/>
    <w:rsid w:val="002240C1"/>
    <w:rsid w:val="00232446"/>
    <w:rsid w:val="002337A7"/>
    <w:rsid w:val="00247FE7"/>
    <w:rsid w:val="002528C0"/>
    <w:rsid w:val="0026287D"/>
    <w:rsid w:val="00265987"/>
    <w:rsid w:val="00267317"/>
    <w:rsid w:val="00272F52"/>
    <w:rsid w:val="002763BF"/>
    <w:rsid w:val="0028194C"/>
    <w:rsid w:val="00284154"/>
    <w:rsid w:val="002A0D38"/>
    <w:rsid w:val="002A25CB"/>
    <w:rsid w:val="002B1EB3"/>
    <w:rsid w:val="002B245F"/>
    <w:rsid w:val="002B47AF"/>
    <w:rsid w:val="002C6660"/>
    <w:rsid w:val="002F6AAA"/>
    <w:rsid w:val="002F7CFA"/>
    <w:rsid w:val="00300F66"/>
    <w:rsid w:val="003026F9"/>
    <w:rsid w:val="003114AA"/>
    <w:rsid w:val="00315792"/>
    <w:rsid w:val="003246CC"/>
    <w:rsid w:val="00324D23"/>
    <w:rsid w:val="003275E3"/>
    <w:rsid w:val="00327842"/>
    <w:rsid w:val="0033492E"/>
    <w:rsid w:val="00336749"/>
    <w:rsid w:val="00340A3C"/>
    <w:rsid w:val="0034233A"/>
    <w:rsid w:val="00347C7A"/>
    <w:rsid w:val="003531B3"/>
    <w:rsid w:val="00353AFE"/>
    <w:rsid w:val="003716D2"/>
    <w:rsid w:val="003752EE"/>
    <w:rsid w:val="00382A44"/>
    <w:rsid w:val="00387AE6"/>
    <w:rsid w:val="00397994"/>
    <w:rsid w:val="00397EF2"/>
    <w:rsid w:val="003A6081"/>
    <w:rsid w:val="003B3CB2"/>
    <w:rsid w:val="003C353D"/>
    <w:rsid w:val="003D50A3"/>
    <w:rsid w:val="003E455B"/>
    <w:rsid w:val="003F2D43"/>
    <w:rsid w:val="003F5EF3"/>
    <w:rsid w:val="003F7C6B"/>
    <w:rsid w:val="00401B9F"/>
    <w:rsid w:val="00404094"/>
    <w:rsid w:val="00405518"/>
    <w:rsid w:val="00405C35"/>
    <w:rsid w:val="00410EE8"/>
    <w:rsid w:val="00413B8B"/>
    <w:rsid w:val="00424720"/>
    <w:rsid w:val="00425DEB"/>
    <w:rsid w:val="004271BC"/>
    <w:rsid w:val="004372DC"/>
    <w:rsid w:val="004541A0"/>
    <w:rsid w:val="004654B2"/>
    <w:rsid w:val="0046617A"/>
    <w:rsid w:val="00471E02"/>
    <w:rsid w:val="00474D17"/>
    <w:rsid w:val="00480003"/>
    <w:rsid w:val="004851B1"/>
    <w:rsid w:val="004A6C19"/>
    <w:rsid w:val="004C15F5"/>
    <w:rsid w:val="004C1B62"/>
    <w:rsid w:val="004C1BFE"/>
    <w:rsid w:val="004C3E57"/>
    <w:rsid w:val="004F24F4"/>
    <w:rsid w:val="0051758B"/>
    <w:rsid w:val="005264D3"/>
    <w:rsid w:val="005350CB"/>
    <w:rsid w:val="00563CFA"/>
    <w:rsid w:val="00571E2E"/>
    <w:rsid w:val="00573D8E"/>
    <w:rsid w:val="00584168"/>
    <w:rsid w:val="00595EF3"/>
    <w:rsid w:val="00597BD9"/>
    <w:rsid w:val="005A0441"/>
    <w:rsid w:val="005A17D4"/>
    <w:rsid w:val="005B500C"/>
    <w:rsid w:val="005C637C"/>
    <w:rsid w:val="005D1965"/>
    <w:rsid w:val="005D68F3"/>
    <w:rsid w:val="005E1B54"/>
    <w:rsid w:val="005E4894"/>
    <w:rsid w:val="005E6BE5"/>
    <w:rsid w:val="005F5D7A"/>
    <w:rsid w:val="005F6322"/>
    <w:rsid w:val="00605231"/>
    <w:rsid w:val="00605C21"/>
    <w:rsid w:val="00614BAB"/>
    <w:rsid w:val="006204ED"/>
    <w:rsid w:val="00633BF9"/>
    <w:rsid w:val="00640805"/>
    <w:rsid w:val="0064124C"/>
    <w:rsid w:val="0064391A"/>
    <w:rsid w:val="00667880"/>
    <w:rsid w:val="00667E38"/>
    <w:rsid w:val="00670D27"/>
    <w:rsid w:val="00682682"/>
    <w:rsid w:val="00695713"/>
    <w:rsid w:val="006A07F6"/>
    <w:rsid w:val="006B0353"/>
    <w:rsid w:val="006B15C2"/>
    <w:rsid w:val="006C0243"/>
    <w:rsid w:val="006C0773"/>
    <w:rsid w:val="006F0CD6"/>
    <w:rsid w:val="00706AA7"/>
    <w:rsid w:val="0071421E"/>
    <w:rsid w:val="007248ED"/>
    <w:rsid w:val="00726616"/>
    <w:rsid w:val="00727F31"/>
    <w:rsid w:val="00733D49"/>
    <w:rsid w:val="007377F9"/>
    <w:rsid w:val="007648DA"/>
    <w:rsid w:val="007733F5"/>
    <w:rsid w:val="00793CCD"/>
    <w:rsid w:val="00793FBB"/>
    <w:rsid w:val="00797085"/>
    <w:rsid w:val="007B1794"/>
    <w:rsid w:val="007C25DB"/>
    <w:rsid w:val="007C3206"/>
    <w:rsid w:val="007D2A11"/>
    <w:rsid w:val="007E2FB7"/>
    <w:rsid w:val="007E36F6"/>
    <w:rsid w:val="007E705E"/>
    <w:rsid w:val="007E75A4"/>
    <w:rsid w:val="00810618"/>
    <w:rsid w:val="00814D64"/>
    <w:rsid w:val="00824DFD"/>
    <w:rsid w:val="00841E85"/>
    <w:rsid w:val="008433E8"/>
    <w:rsid w:val="0084388C"/>
    <w:rsid w:val="00847B1F"/>
    <w:rsid w:val="00863E05"/>
    <w:rsid w:val="00865864"/>
    <w:rsid w:val="00877562"/>
    <w:rsid w:val="00883958"/>
    <w:rsid w:val="008A034C"/>
    <w:rsid w:val="008A0D42"/>
    <w:rsid w:val="008A18BF"/>
    <w:rsid w:val="008A256D"/>
    <w:rsid w:val="008B5723"/>
    <w:rsid w:val="008C1613"/>
    <w:rsid w:val="008C2887"/>
    <w:rsid w:val="008C6273"/>
    <w:rsid w:val="008D306C"/>
    <w:rsid w:val="008D7B0C"/>
    <w:rsid w:val="008E2AAC"/>
    <w:rsid w:val="008F4658"/>
    <w:rsid w:val="008F63CE"/>
    <w:rsid w:val="00905AEC"/>
    <w:rsid w:val="0091038A"/>
    <w:rsid w:val="00912FA2"/>
    <w:rsid w:val="00922044"/>
    <w:rsid w:val="00926DCA"/>
    <w:rsid w:val="00927DFD"/>
    <w:rsid w:val="00944264"/>
    <w:rsid w:val="00946C3C"/>
    <w:rsid w:val="00950A7E"/>
    <w:rsid w:val="00966DFE"/>
    <w:rsid w:val="009678D0"/>
    <w:rsid w:val="00971C1A"/>
    <w:rsid w:val="00972C36"/>
    <w:rsid w:val="00990B05"/>
    <w:rsid w:val="009961DD"/>
    <w:rsid w:val="00997A41"/>
    <w:rsid w:val="009B5E9D"/>
    <w:rsid w:val="009D3C7D"/>
    <w:rsid w:val="009E5C75"/>
    <w:rsid w:val="009E6D4C"/>
    <w:rsid w:val="009F7070"/>
    <w:rsid w:val="009F7805"/>
    <w:rsid w:val="00A03B5A"/>
    <w:rsid w:val="00A058E1"/>
    <w:rsid w:val="00A23248"/>
    <w:rsid w:val="00A25D61"/>
    <w:rsid w:val="00A425D1"/>
    <w:rsid w:val="00A471B2"/>
    <w:rsid w:val="00A63857"/>
    <w:rsid w:val="00A707F2"/>
    <w:rsid w:val="00A94405"/>
    <w:rsid w:val="00AA1463"/>
    <w:rsid w:val="00AA36C0"/>
    <w:rsid w:val="00AA743E"/>
    <w:rsid w:val="00AB3263"/>
    <w:rsid w:val="00AC24C9"/>
    <w:rsid w:val="00AC3EA1"/>
    <w:rsid w:val="00AD0D58"/>
    <w:rsid w:val="00AD5579"/>
    <w:rsid w:val="00AD7344"/>
    <w:rsid w:val="00AD7F47"/>
    <w:rsid w:val="00AE37AF"/>
    <w:rsid w:val="00AF1115"/>
    <w:rsid w:val="00AF3580"/>
    <w:rsid w:val="00B13F2D"/>
    <w:rsid w:val="00B15755"/>
    <w:rsid w:val="00B379EA"/>
    <w:rsid w:val="00B422B4"/>
    <w:rsid w:val="00B42D5A"/>
    <w:rsid w:val="00B4590D"/>
    <w:rsid w:val="00B5560F"/>
    <w:rsid w:val="00B55DE0"/>
    <w:rsid w:val="00B5759E"/>
    <w:rsid w:val="00B62BE6"/>
    <w:rsid w:val="00B634C2"/>
    <w:rsid w:val="00B6746E"/>
    <w:rsid w:val="00B76F05"/>
    <w:rsid w:val="00B97197"/>
    <w:rsid w:val="00BA114D"/>
    <w:rsid w:val="00BA2BED"/>
    <w:rsid w:val="00BC468E"/>
    <w:rsid w:val="00BC5CF0"/>
    <w:rsid w:val="00BD22E9"/>
    <w:rsid w:val="00BE176C"/>
    <w:rsid w:val="00C17081"/>
    <w:rsid w:val="00C21363"/>
    <w:rsid w:val="00C2414D"/>
    <w:rsid w:val="00C30B9E"/>
    <w:rsid w:val="00C34038"/>
    <w:rsid w:val="00C361B9"/>
    <w:rsid w:val="00C37077"/>
    <w:rsid w:val="00C37312"/>
    <w:rsid w:val="00C40CC6"/>
    <w:rsid w:val="00C42F95"/>
    <w:rsid w:val="00C43333"/>
    <w:rsid w:val="00C47C3B"/>
    <w:rsid w:val="00C60BFD"/>
    <w:rsid w:val="00C62EF7"/>
    <w:rsid w:val="00C73FDE"/>
    <w:rsid w:val="00C92547"/>
    <w:rsid w:val="00CA0E4D"/>
    <w:rsid w:val="00CA2AE4"/>
    <w:rsid w:val="00CB0E9A"/>
    <w:rsid w:val="00CB7977"/>
    <w:rsid w:val="00CD6735"/>
    <w:rsid w:val="00CD67E7"/>
    <w:rsid w:val="00CE06FB"/>
    <w:rsid w:val="00CE1DE0"/>
    <w:rsid w:val="00CE28AF"/>
    <w:rsid w:val="00CE660B"/>
    <w:rsid w:val="00CF4B41"/>
    <w:rsid w:val="00D10F1C"/>
    <w:rsid w:val="00D122A6"/>
    <w:rsid w:val="00D31000"/>
    <w:rsid w:val="00D31B31"/>
    <w:rsid w:val="00D35BC8"/>
    <w:rsid w:val="00D41AD0"/>
    <w:rsid w:val="00D44528"/>
    <w:rsid w:val="00D47E62"/>
    <w:rsid w:val="00D512AA"/>
    <w:rsid w:val="00D52524"/>
    <w:rsid w:val="00D56052"/>
    <w:rsid w:val="00D611FD"/>
    <w:rsid w:val="00D6156A"/>
    <w:rsid w:val="00D70A8F"/>
    <w:rsid w:val="00D72866"/>
    <w:rsid w:val="00D767A3"/>
    <w:rsid w:val="00D77E0D"/>
    <w:rsid w:val="00D82AD7"/>
    <w:rsid w:val="00D8630A"/>
    <w:rsid w:val="00DA7350"/>
    <w:rsid w:val="00DB1111"/>
    <w:rsid w:val="00DB1EEB"/>
    <w:rsid w:val="00DB3DC4"/>
    <w:rsid w:val="00DC1688"/>
    <w:rsid w:val="00DC4A2F"/>
    <w:rsid w:val="00DD5BBD"/>
    <w:rsid w:val="00DD6388"/>
    <w:rsid w:val="00DF2FC2"/>
    <w:rsid w:val="00E04E94"/>
    <w:rsid w:val="00E07E41"/>
    <w:rsid w:val="00E16ADC"/>
    <w:rsid w:val="00E204F0"/>
    <w:rsid w:val="00E218A8"/>
    <w:rsid w:val="00E21C83"/>
    <w:rsid w:val="00E26E14"/>
    <w:rsid w:val="00E366A3"/>
    <w:rsid w:val="00E42870"/>
    <w:rsid w:val="00E43087"/>
    <w:rsid w:val="00E47A4E"/>
    <w:rsid w:val="00E71905"/>
    <w:rsid w:val="00E7585B"/>
    <w:rsid w:val="00E75AF6"/>
    <w:rsid w:val="00E802E8"/>
    <w:rsid w:val="00E825FA"/>
    <w:rsid w:val="00E90158"/>
    <w:rsid w:val="00E9108E"/>
    <w:rsid w:val="00EA2321"/>
    <w:rsid w:val="00EC0015"/>
    <w:rsid w:val="00EC77EF"/>
    <w:rsid w:val="00ED3661"/>
    <w:rsid w:val="00ED58EC"/>
    <w:rsid w:val="00ED5C1A"/>
    <w:rsid w:val="00EE0FF2"/>
    <w:rsid w:val="00EE57D5"/>
    <w:rsid w:val="00EF3940"/>
    <w:rsid w:val="00EF5765"/>
    <w:rsid w:val="00EF5A8D"/>
    <w:rsid w:val="00EF6574"/>
    <w:rsid w:val="00EF7BB4"/>
    <w:rsid w:val="00F000A7"/>
    <w:rsid w:val="00F11F9E"/>
    <w:rsid w:val="00F15110"/>
    <w:rsid w:val="00F334B3"/>
    <w:rsid w:val="00F60FE7"/>
    <w:rsid w:val="00F6360F"/>
    <w:rsid w:val="00F66C62"/>
    <w:rsid w:val="00F6788F"/>
    <w:rsid w:val="00F75013"/>
    <w:rsid w:val="00F939C3"/>
    <w:rsid w:val="00FB277F"/>
    <w:rsid w:val="00FB291D"/>
    <w:rsid w:val="00FC2A24"/>
    <w:rsid w:val="00FC3C96"/>
    <w:rsid w:val="00FC5E21"/>
    <w:rsid w:val="00FD75E8"/>
    <w:rsid w:val="00FD782D"/>
    <w:rsid w:val="00FE3663"/>
    <w:rsid w:val="00FE7B22"/>
    <w:rsid w:val="00FF1716"/>
    <w:rsid w:val="00FF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01E548"/>
  <w15:docId w15:val="{815BEBD2-BD3D-4EC8-A658-74A1B2CD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1C83"/>
    <w:pPr>
      <w:spacing w:after="0" w:line="240" w:lineRule="auto"/>
      <w:jc w:val="both"/>
    </w:pPr>
    <w:rPr>
      <w:rFonts w:ascii="Arial" w:eastAsia="Batang" w:hAnsi="Arial" w:cs="Times New Roman"/>
      <w:sz w:val="23"/>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35"/>
    <w:pPr>
      <w:ind w:left="720"/>
      <w:contextualSpacing/>
    </w:pPr>
  </w:style>
  <w:style w:type="paragraph" w:styleId="Header">
    <w:name w:val="header"/>
    <w:basedOn w:val="Normal"/>
    <w:link w:val="HeaderChar"/>
    <w:uiPriority w:val="99"/>
    <w:unhideWhenUsed/>
    <w:rsid w:val="00FD782D"/>
    <w:pPr>
      <w:tabs>
        <w:tab w:val="center" w:pos="4680"/>
        <w:tab w:val="right" w:pos="9360"/>
      </w:tabs>
    </w:pPr>
  </w:style>
  <w:style w:type="character" w:customStyle="1" w:styleId="HeaderChar">
    <w:name w:val="Header Char"/>
    <w:basedOn w:val="DefaultParagraphFont"/>
    <w:link w:val="Header"/>
    <w:uiPriority w:val="99"/>
    <w:rsid w:val="00FD782D"/>
    <w:rPr>
      <w:rFonts w:ascii="Arial" w:eastAsia="Batang" w:hAnsi="Arial" w:cs="Times New Roman"/>
      <w:sz w:val="23"/>
      <w:szCs w:val="24"/>
      <w:lang w:eastAsia="ko-KR"/>
    </w:rPr>
  </w:style>
  <w:style w:type="paragraph" w:styleId="Footer">
    <w:name w:val="footer"/>
    <w:basedOn w:val="Normal"/>
    <w:link w:val="FooterChar"/>
    <w:uiPriority w:val="99"/>
    <w:unhideWhenUsed/>
    <w:rsid w:val="00FD782D"/>
    <w:pPr>
      <w:tabs>
        <w:tab w:val="center" w:pos="4680"/>
        <w:tab w:val="right" w:pos="9360"/>
      </w:tabs>
    </w:pPr>
  </w:style>
  <w:style w:type="character" w:customStyle="1" w:styleId="FooterChar">
    <w:name w:val="Footer Char"/>
    <w:basedOn w:val="DefaultParagraphFont"/>
    <w:link w:val="Footer"/>
    <w:uiPriority w:val="99"/>
    <w:rsid w:val="00FD782D"/>
    <w:rPr>
      <w:rFonts w:ascii="Arial" w:eastAsia="Batang" w:hAnsi="Arial" w:cs="Times New Roman"/>
      <w:sz w:val="23"/>
      <w:szCs w:val="24"/>
      <w:lang w:eastAsia="ko-KR"/>
    </w:rPr>
  </w:style>
  <w:style w:type="character" w:styleId="CommentReference">
    <w:name w:val="annotation reference"/>
    <w:basedOn w:val="DefaultParagraphFont"/>
    <w:uiPriority w:val="99"/>
    <w:semiHidden/>
    <w:unhideWhenUsed/>
    <w:rsid w:val="008E2AAC"/>
    <w:rPr>
      <w:sz w:val="16"/>
      <w:szCs w:val="16"/>
    </w:rPr>
  </w:style>
  <w:style w:type="paragraph" w:styleId="CommentText">
    <w:name w:val="annotation text"/>
    <w:basedOn w:val="Normal"/>
    <w:link w:val="CommentTextChar"/>
    <w:uiPriority w:val="99"/>
    <w:unhideWhenUsed/>
    <w:rsid w:val="008E2AAC"/>
    <w:rPr>
      <w:sz w:val="20"/>
      <w:szCs w:val="20"/>
    </w:rPr>
  </w:style>
  <w:style w:type="character" w:customStyle="1" w:styleId="CommentTextChar">
    <w:name w:val="Comment Text Char"/>
    <w:basedOn w:val="DefaultParagraphFont"/>
    <w:link w:val="CommentText"/>
    <w:uiPriority w:val="99"/>
    <w:rsid w:val="008E2AAC"/>
    <w:rPr>
      <w:rFonts w:ascii="Arial" w:eastAsia="Batang" w:hAnsi="Arial"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8E2AAC"/>
    <w:rPr>
      <w:b/>
      <w:bCs/>
    </w:rPr>
  </w:style>
  <w:style w:type="character" w:customStyle="1" w:styleId="CommentSubjectChar">
    <w:name w:val="Comment Subject Char"/>
    <w:basedOn w:val="CommentTextChar"/>
    <w:link w:val="CommentSubject"/>
    <w:uiPriority w:val="99"/>
    <w:semiHidden/>
    <w:rsid w:val="008E2AAC"/>
    <w:rPr>
      <w:rFonts w:ascii="Arial" w:eastAsia="Batang" w:hAnsi="Arial" w:cs="Times New Roman"/>
      <w:b/>
      <w:bCs/>
      <w:sz w:val="20"/>
      <w:szCs w:val="20"/>
      <w:lang w:eastAsia="ko-KR"/>
    </w:rPr>
  </w:style>
  <w:style w:type="paragraph" w:styleId="Revision">
    <w:name w:val="Revision"/>
    <w:hidden/>
    <w:uiPriority w:val="99"/>
    <w:semiHidden/>
    <w:rsid w:val="008E2AAC"/>
    <w:pPr>
      <w:spacing w:after="0" w:line="240" w:lineRule="auto"/>
    </w:pPr>
    <w:rPr>
      <w:rFonts w:ascii="Arial" w:eastAsia="Batang" w:hAnsi="Arial" w:cs="Times New Roman"/>
      <w:sz w:val="23"/>
      <w:szCs w:val="24"/>
      <w:lang w:eastAsia="ko-KR"/>
    </w:rPr>
  </w:style>
  <w:style w:type="paragraph" w:styleId="BalloonText">
    <w:name w:val="Balloon Text"/>
    <w:basedOn w:val="Normal"/>
    <w:link w:val="BalloonTextChar"/>
    <w:uiPriority w:val="99"/>
    <w:semiHidden/>
    <w:unhideWhenUsed/>
    <w:rsid w:val="008E2AAC"/>
    <w:rPr>
      <w:rFonts w:ascii="Tahoma" w:hAnsi="Tahoma" w:cs="Tahoma"/>
      <w:sz w:val="16"/>
      <w:szCs w:val="16"/>
    </w:rPr>
  </w:style>
  <w:style w:type="character" w:customStyle="1" w:styleId="BalloonTextChar">
    <w:name w:val="Balloon Text Char"/>
    <w:basedOn w:val="DefaultParagraphFont"/>
    <w:link w:val="BalloonText"/>
    <w:uiPriority w:val="99"/>
    <w:semiHidden/>
    <w:rsid w:val="008E2AAC"/>
    <w:rPr>
      <w:rFonts w:ascii="Tahoma" w:eastAsia="Batang" w:hAnsi="Tahoma" w:cs="Tahoma"/>
      <w:sz w:val="16"/>
      <w:szCs w:val="16"/>
      <w:lang w:eastAsia="ko-KR"/>
    </w:rPr>
  </w:style>
  <w:style w:type="table" w:styleId="TableGrid">
    <w:name w:val="Table Grid"/>
    <w:basedOn w:val="TableNormal"/>
    <w:uiPriority w:val="59"/>
    <w:rsid w:val="00D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5271">
      <w:bodyDiv w:val="1"/>
      <w:marLeft w:val="0"/>
      <w:marRight w:val="0"/>
      <w:marTop w:val="0"/>
      <w:marBottom w:val="0"/>
      <w:divBdr>
        <w:top w:val="none" w:sz="0" w:space="0" w:color="auto"/>
        <w:left w:val="none" w:sz="0" w:space="0" w:color="auto"/>
        <w:bottom w:val="none" w:sz="0" w:space="0" w:color="auto"/>
        <w:right w:val="none" w:sz="0" w:space="0" w:color="auto"/>
      </w:divBdr>
    </w:div>
    <w:div w:id="93718474">
      <w:bodyDiv w:val="1"/>
      <w:marLeft w:val="0"/>
      <w:marRight w:val="0"/>
      <w:marTop w:val="0"/>
      <w:marBottom w:val="0"/>
      <w:divBdr>
        <w:top w:val="none" w:sz="0" w:space="0" w:color="auto"/>
        <w:left w:val="none" w:sz="0" w:space="0" w:color="auto"/>
        <w:bottom w:val="none" w:sz="0" w:space="0" w:color="auto"/>
        <w:right w:val="none" w:sz="0" w:space="0" w:color="auto"/>
      </w:divBdr>
    </w:div>
    <w:div w:id="332992454">
      <w:bodyDiv w:val="1"/>
      <w:marLeft w:val="0"/>
      <w:marRight w:val="0"/>
      <w:marTop w:val="0"/>
      <w:marBottom w:val="0"/>
      <w:divBdr>
        <w:top w:val="none" w:sz="0" w:space="0" w:color="auto"/>
        <w:left w:val="none" w:sz="0" w:space="0" w:color="auto"/>
        <w:bottom w:val="none" w:sz="0" w:space="0" w:color="auto"/>
        <w:right w:val="none" w:sz="0" w:space="0" w:color="auto"/>
      </w:divBdr>
    </w:div>
    <w:div w:id="345905558">
      <w:bodyDiv w:val="1"/>
      <w:marLeft w:val="0"/>
      <w:marRight w:val="0"/>
      <w:marTop w:val="0"/>
      <w:marBottom w:val="0"/>
      <w:divBdr>
        <w:top w:val="none" w:sz="0" w:space="0" w:color="auto"/>
        <w:left w:val="none" w:sz="0" w:space="0" w:color="auto"/>
        <w:bottom w:val="none" w:sz="0" w:space="0" w:color="auto"/>
        <w:right w:val="none" w:sz="0" w:space="0" w:color="auto"/>
      </w:divBdr>
    </w:div>
    <w:div w:id="411391876">
      <w:bodyDiv w:val="1"/>
      <w:marLeft w:val="0"/>
      <w:marRight w:val="0"/>
      <w:marTop w:val="0"/>
      <w:marBottom w:val="0"/>
      <w:divBdr>
        <w:top w:val="none" w:sz="0" w:space="0" w:color="auto"/>
        <w:left w:val="none" w:sz="0" w:space="0" w:color="auto"/>
        <w:bottom w:val="none" w:sz="0" w:space="0" w:color="auto"/>
        <w:right w:val="none" w:sz="0" w:space="0" w:color="auto"/>
      </w:divBdr>
    </w:div>
    <w:div w:id="414329287">
      <w:bodyDiv w:val="1"/>
      <w:marLeft w:val="0"/>
      <w:marRight w:val="0"/>
      <w:marTop w:val="0"/>
      <w:marBottom w:val="0"/>
      <w:divBdr>
        <w:top w:val="none" w:sz="0" w:space="0" w:color="auto"/>
        <w:left w:val="none" w:sz="0" w:space="0" w:color="auto"/>
        <w:bottom w:val="none" w:sz="0" w:space="0" w:color="auto"/>
        <w:right w:val="none" w:sz="0" w:space="0" w:color="auto"/>
      </w:divBdr>
    </w:div>
    <w:div w:id="419257210">
      <w:bodyDiv w:val="1"/>
      <w:marLeft w:val="0"/>
      <w:marRight w:val="0"/>
      <w:marTop w:val="0"/>
      <w:marBottom w:val="0"/>
      <w:divBdr>
        <w:top w:val="none" w:sz="0" w:space="0" w:color="auto"/>
        <w:left w:val="none" w:sz="0" w:space="0" w:color="auto"/>
        <w:bottom w:val="none" w:sz="0" w:space="0" w:color="auto"/>
        <w:right w:val="none" w:sz="0" w:space="0" w:color="auto"/>
      </w:divBdr>
    </w:div>
    <w:div w:id="534007653">
      <w:bodyDiv w:val="1"/>
      <w:marLeft w:val="0"/>
      <w:marRight w:val="0"/>
      <w:marTop w:val="0"/>
      <w:marBottom w:val="0"/>
      <w:divBdr>
        <w:top w:val="none" w:sz="0" w:space="0" w:color="auto"/>
        <w:left w:val="none" w:sz="0" w:space="0" w:color="auto"/>
        <w:bottom w:val="none" w:sz="0" w:space="0" w:color="auto"/>
        <w:right w:val="none" w:sz="0" w:space="0" w:color="auto"/>
      </w:divBdr>
    </w:div>
    <w:div w:id="1270627353">
      <w:bodyDiv w:val="1"/>
      <w:marLeft w:val="0"/>
      <w:marRight w:val="0"/>
      <w:marTop w:val="0"/>
      <w:marBottom w:val="0"/>
      <w:divBdr>
        <w:top w:val="none" w:sz="0" w:space="0" w:color="auto"/>
        <w:left w:val="none" w:sz="0" w:space="0" w:color="auto"/>
        <w:bottom w:val="none" w:sz="0" w:space="0" w:color="auto"/>
        <w:right w:val="none" w:sz="0" w:space="0" w:color="auto"/>
      </w:divBdr>
    </w:div>
    <w:div w:id="1292906851">
      <w:bodyDiv w:val="1"/>
      <w:marLeft w:val="0"/>
      <w:marRight w:val="0"/>
      <w:marTop w:val="0"/>
      <w:marBottom w:val="0"/>
      <w:divBdr>
        <w:top w:val="none" w:sz="0" w:space="0" w:color="auto"/>
        <w:left w:val="none" w:sz="0" w:space="0" w:color="auto"/>
        <w:bottom w:val="none" w:sz="0" w:space="0" w:color="auto"/>
        <w:right w:val="none" w:sz="0" w:space="0" w:color="auto"/>
      </w:divBdr>
    </w:div>
    <w:div w:id="1312103751">
      <w:bodyDiv w:val="1"/>
      <w:marLeft w:val="0"/>
      <w:marRight w:val="0"/>
      <w:marTop w:val="0"/>
      <w:marBottom w:val="0"/>
      <w:divBdr>
        <w:top w:val="none" w:sz="0" w:space="0" w:color="auto"/>
        <w:left w:val="none" w:sz="0" w:space="0" w:color="auto"/>
        <w:bottom w:val="none" w:sz="0" w:space="0" w:color="auto"/>
        <w:right w:val="none" w:sz="0" w:space="0" w:color="auto"/>
      </w:divBdr>
    </w:div>
    <w:div w:id="1428623355">
      <w:bodyDiv w:val="1"/>
      <w:marLeft w:val="0"/>
      <w:marRight w:val="0"/>
      <w:marTop w:val="0"/>
      <w:marBottom w:val="0"/>
      <w:divBdr>
        <w:top w:val="none" w:sz="0" w:space="0" w:color="auto"/>
        <w:left w:val="none" w:sz="0" w:space="0" w:color="auto"/>
        <w:bottom w:val="none" w:sz="0" w:space="0" w:color="auto"/>
        <w:right w:val="none" w:sz="0" w:space="0" w:color="auto"/>
      </w:divBdr>
    </w:div>
    <w:div w:id="1787235014">
      <w:bodyDiv w:val="1"/>
      <w:marLeft w:val="0"/>
      <w:marRight w:val="0"/>
      <w:marTop w:val="0"/>
      <w:marBottom w:val="0"/>
      <w:divBdr>
        <w:top w:val="none" w:sz="0" w:space="0" w:color="auto"/>
        <w:left w:val="none" w:sz="0" w:space="0" w:color="auto"/>
        <w:bottom w:val="none" w:sz="0" w:space="0" w:color="auto"/>
        <w:right w:val="none" w:sz="0" w:space="0" w:color="auto"/>
      </w:divBdr>
    </w:div>
    <w:div w:id="18222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684B5-2166-441B-8B00-E7A4F232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Wong</dc:creator>
  <cp:lastModifiedBy>Ackles, Allen (OBO-OSC)</cp:lastModifiedBy>
  <cp:revision>4</cp:revision>
  <cp:lastPrinted>2014-12-22T16:20:00Z</cp:lastPrinted>
  <dcterms:created xsi:type="dcterms:W3CDTF">2020-02-04T20:07:00Z</dcterms:created>
  <dcterms:modified xsi:type="dcterms:W3CDTF">2020-02-04T20:44:00Z</dcterms:modified>
</cp:coreProperties>
</file>