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D7" w:rsidRPr="00FB277F" w:rsidRDefault="003E455B" w:rsidP="003E455B">
      <w:bookmarkStart w:id="0" w:name="_GoBack"/>
      <w:bookmarkEnd w:id="0"/>
      <w:r>
        <w:rPr>
          <w:b/>
          <w:sz w:val="28"/>
          <w:szCs w:val="28"/>
        </w:rPr>
        <w:t>Supportive Services for Veteran Families (SSVF) Program</w:t>
      </w:r>
    </w:p>
    <w:p w:rsidR="007126B2" w:rsidRDefault="00A53AFB" w:rsidP="003E455B">
      <w:pPr>
        <w:rPr>
          <w:b/>
          <w:sz w:val="36"/>
          <w:szCs w:val="28"/>
        </w:rPr>
      </w:pPr>
      <w:r>
        <w:rPr>
          <w:b/>
          <w:sz w:val="36"/>
          <w:szCs w:val="28"/>
        </w:rPr>
        <w:t xml:space="preserve">General Housing Stability Assistance </w:t>
      </w:r>
      <w:r w:rsidR="007126B2">
        <w:rPr>
          <w:b/>
          <w:sz w:val="36"/>
          <w:szCs w:val="28"/>
        </w:rPr>
        <w:t>(GHSA)</w:t>
      </w:r>
    </w:p>
    <w:p w:rsidR="003E455B" w:rsidRDefault="00C85238" w:rsidP="003E455B">
      <w:pPr>
        <w:rPr>
          <w:b/>
          <w:sz w:val="36"/>
          <w:szCs w:val="28"/>
        </w:rPr>
      </w:pPr>
      <w:r>
        <w:rPr>
          <w:b/>
          <w:sz w:val="36"/>
          <w:szCs w:val="28"/>
        </w:rPr>
        <w:t xml:space="preserve">Expense </w:t>
      </w:r>
      <w:r w:rsidR="00A53AFB">
        <w:rPr>
          <w:b/>
          <w:sz w:val="36"/>
          <w:szCs w:val="28"/>
        </w:rPr>
        <w:t>Track</w:t>
      </w:r>
      <w:r>
        <w:rPr>
          <w:b/>
          <w:sz w:val="36"/>
          <w:szCs w:val="28"/>
        </w:rPr>
        <w:t xml:space="preserve">er </w:t>
      </w:r>
      <w:r w:rsidR="00A53AFB">
        <w:rPr>
          <w:b/>
          <w:sz w:val="36"/>
          <w:szCs w:val="28"/>
        </w:rPr>
        <w:t>Form</w:t>
      </w:r>
    </w:p>
    <w:p w:rsidR="007C25DB" w:rsidRPr="00932449" w:rsidRDefault="007C25DB" w:rsidP="003E455B">
      <w:pPr>
        <w:rPr>
          <w:b/>
          <w:i/>
          <w:sz w:val="24"/>
        </w:rPr>
      </w:pPr>
    </w:p>
    <w:tbl>
      <w:tblPr>
        <w:tblStyle w:val="TableGrid"/>
        <w:tblW w:w="10800" w:type="dxa"/>
        <w:tblInd w:w="108" w:type="dxa"/>
        <w:tblLook w:val="04A0" w:firstRow="1" w:lastRow="0" w:firstColumn="1" w:lastColumn="0" w:noHBand="0" w:noVBand="1"/>
      </w:tblPr>
      <w:tblGrid>
        <w:gridCol w:w="2970"/>
        <w:gridCol w:w="7830"/>
      </w:tblGrid>
      <w:tr w:rsidR="007126B2" w:rsidTr="00C55C64">
        <w:trPr>
          <w:trHeight w:val="386"/>
        </w:trPr>
        <w:tc>
          <w:tcPr>
            <w:tcW w:w="2970" w:type="dxa"/>
            <w:vAlign w:val="center"/>
          </w:tcPr>
          <w:p w:rsidR="007126B2" w:rsidRPr="00C55C64" w:rsidRDefault="007126B2" w:rsidP="007126B2">
            <w:pPr>
              <w:jc w:val="right"/>
              <w:rPr>
                <w:b/>
                <w:i/>
                <w:sz w:val="24"/>
              </w:rPr>
            </w:pPr>
            <w:r w:rsidRPr="00C55C64">
              <w:rPr>
                <w:b/>
                <w:sz w:val="24"/>
              </w:rPr>
              <w:t>SSVF Participant Name</w:t>
            </w:r>
            <w:r w:rsidRPr="00C55C64">
              <w:rPr>
                <w:sz w:val="24"/>
              </w:rPr>
              <w:t>:</w:t>
            </w:r>
          </w:p>
        </w:tc>
        <w:tc>
          <w:tcPr>
            <w:tcW w:w="7830" w:type="dxa"/>
            <w:vAlign w:val="center"/>
          </w:tcPr>
          <w:p w:rsidR="007126B2" w:rsidRPr="0029413D" w:rsidRDefault="007126B2" w:rsidP="00A978CA">
            <w:pPr>
              <w:jc w:val="left"/>
              <w:rPr>
                <w:rFonts w:cs="Arial"/>
                <w:sz w:val="22"/>
              </w:rPr>
            </w:pPr>
          </w:p>
        </w:tc>
      </w:tr>
    </w:tbl>
    <w:p w:rsidR="00C85238" w:rsidRPr="006C2F9D" w:rsidRDefault="00C85238" w:rsidP="003E455B">
      <w:pPr>
        <w:rPr>
          <w:b/>
          <w:i/>
          <w:sz w:val="20"/>
          <w:szCs w:val="20"/>
        </w:rPr>
      </w:pPr>
    </w:p>
    <w:tbl>
      <w:tblPr>
        <w:tblStyle w:val="TableGrid"/>
        <w:tblW w:w="0" w:type="auto"/>
        <w:tblInd w:w="108" w:type="dxa"/>
        <w:tblLook w:val="04A0" w:firstRow="1" w:lastRow="0" w:firstColumn="1" w:lastColumn="0" w:noHBand="0" w:noVBand="1"/>
      </w:tblPr>
      <w:tblGrid>
        <w:gridCol w:w="5843"/>
        <w:gridCol w:w="2487"/>
        <w:gridCol w:w="2302"/>
      </w:tblGrid>
      <w:tr w:rsidR="00C55C64" w:rsidRPr="00984908" w:rsidTr="003C3831">
        <w:tc>
          <w:tcPr>
            <w:tcW w:w="10800" w:type="dxa"/>
            <w:gridSpan w:val="3"/>
            <w:tcBorders>
              <w:top w:val="single" w:sz="24" w:space="0" w:color="auto"/>
              <w:left w:val="single" w:sz="24" w:space="0" w:color="auto"/>
              <w:bottom w:val="single" w:sz="24" w:space="0" w:color="auto"/>
              <w:right w:val="single" w:sz="24" w:space="0" w:color="auto"/>
            </w:tcBorders>
          </w:tcPr>
          <w:p w:rsidR="00C55C64" w:rsidRDefault="00C55C64" w:rsidP="00C55C64">
            <w:pPr>
              <w:jc w:val="center"/>
              <w:rPr>
                <w:b/>
                <w:sz w:val="24"/>
              </w:rPr>
            </w:pPr>
            <w:r>
              <w:rPr>
                <w:b/>
                <w:sz w:val="24"/>
              </w:rPr>
              <w:t xml:space="preserve">GHSA Categories </w:t>
            </w:r>
          </w:p>
          <w:p w:rsidR="00C55C64" w:rsidRPr="00932449" w:rsidRDefault="00C55C64" w:rsidP="00C55C64">
            <w:pPr>
              <w:jc w:val="center"/>
              <w:rPr>
                <w:sz w:val="20"/>
                <w:szCs w:val="20"/>
              </w:rPr>
            </w:pPr>
            <w:r w:rsidRPr="00932449">
              <w:rPr>
                <w:sz w:val="20"/>
                <w:szCs w:val="20"/>
              </w:rPr>
              <w:t>$1</w:t>
            </w:r>
            <w:r w:rsidR="00D51B2E" w:rsidRPr="00932449">
              <w:rPr>
                <w:sz w:val="20"/>
                <w:szCs w:val="20"/>
              </w:rPr>
              <w:t>,</w:t>
            </w:r>
            <w:r w:rsidRPr="00932449">
              <w:rPr>
                <w:sz w:val="20"/>
                <w:szCs w:val="20"/>
              </w:rPr>
              <w:t>500 per participant household during any 2-year period</w:t>
            </w:r>
          </w:p>
        </w:tc>
      </w:tr>
      <w:tr w:rsidR="00C55C64" w:rsidRPr="00984908" w:rsidTr="00C55C64">
        <w:tc>
          <w:tcPr>
            <w:tcW w:w="5940" w:type="dxa"/>
            <w:tcBorders>
              <w:top w:val="single" w:sz="24" w:space="0" w:color="auto"/>
              <w:left w:val="single" w:sz="24" w:space="0" w:color="auto"/>
              <w:bottom w:val="single" w:sz="24" w:space="0" w:color="auto"/>
              <w:right w:val="single" w:sz="6" w:space="0" w:color="auto"/>
            </w:tcBorders>
          </w:tcPr>
          <w:p w:rsidR="00C55C64" w:rsidRPr="00984908" w:rsidRDefault="00C55C64" w:rsidP="00C55C64">
            <w:pPr>
              <w:jc w:val="center"/>
              <w:rPr>
                <w:b/>
                <w:sz w:val="24"/>
              </w:rPr>
            </w:pPr>
            <w:r w:rsidRPr="00984908">
              <w:rPr>
                <w:b/>
                <w:sz w:val="24"/>
              </w:rPr>
              <w:t>Item/Purchase</w:t>
            </w:r>
          </w:p>
        </w:tc>
        <w:tc>
          <w:tcPr>
            <w:tcW w:w="2520" w:type="dxa"/>
            <w:tcBorders>
              <w:top w:val="single" w:sz="24" w:space="0" w:color="auto"/>
              <w:left w:val="single" w:sz="6" w:space="0" w:color="auto"/>
              <w:bottom w:val="single" w:sz="24" w:space="0" w:color="auto"/>
              <w:right w:val="single" w:sz="6" w:space="0" w:color="auto"/>
            </w:tcBorders>
            <w:shd w:val="clear" w:color="auto" w:fill="auto"/>
          </w:tcPr>
          <w:p w:rsidR="00C55C64" w:rsidRPr="00984908" w:rsidRDefault="00C55C64" w:rsidP="00C55C64">
            <w:pPr>
              <w:jc w:val="center"/>
              <w:rPr>
                <w:b/>
                <w:sz w:val="24"/>
              </w:rPr>
            </w:pPr>
            <w:r w:rsidRPr="00984908">
              <w:rPr>
                <w:b/>
                <w:sz w:val="24"/>
              </w:rPr>
              <w:t>Amount</w:t>
            </w:r>
          </w:p>
        </w:tc>
        <w:tc>
          <w:tcPr>
            <w:tcW w:w="2340" w:type="dxa"/>
            <w:tcBorders>
              <w:top w:val="single" w:sz="24" w:space="0" w:color="auto"/>
              <w:left w:val="single" w:sz="6" w:space="0" w:color="auto"/>
              <w:bottom w:val="single" w:sz="24" w:space="0" w:color="auto"/>
              <w:right w:val="single" w:sz="24" w:space="0" w:color="auto"/>
            </w:tcBorders>
          </w:tcPr>
          <w:p w:rsidR="00C55C64" w:rsidRPr="00984908" w:rsidRDefault="00C55C64" w:rsidP="00C55C64">
            <w:pPr>
              <w:jc w:val="center"/>
              <w:rPr>
                <w:b/>
                <w:sz w:val="24"/>
              </w:rPr>
            </w:pPr>
            <w:r>
              <w:rPr>
                <w:b/>
                <w:sz w:val="24"/>
              </w:rPr>
              <w:t>Date</w:t>
            </w: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associated with gaining or keeping employment</w:t>
            </w:r>
          </w:p>
          <w:p w:rsidR="00EA13AA" w:rsidRPr="00932449" w:rsidRDefault="006C2F9D" w:rsidP="006C2F9D">
            <w:pPr>
              <w:rPr>
                <w:i/>
                <w:sz w:val="18"/>
                <w:szCs w:val="18"/>
              </w:rPr>
            </w:pPr>
            <w:r w:rsidRPr="00932449">
              <w:rPr>
                <w:i/>
                <w:sz w:val="18"/>
                <w:szCs w:val="18"/>
              </w:rPr>
              <w:t xml:space="preserve">Eligible items include but are not limited to uniforms, tools, driver’s license fees, license/certification costs required for employment, documentation acquisition fees such as for Social Security Number or birth certificate, document court filing fees, and short term training leading to employment where other funding is not available. </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associated with moving into permanent housing</w:t>
            </w:r>
          </w:p>
          <w:p w:rsidR="00EA13AA" w:rsidRPr="00932449" w:rsidRDefault="006C2F9D" w:rsidP="006C2F9D">
            <w:pPr>
              <w:rPr>
                <w:i/>
                <w:sz w:val="18"/>
                <w:szCs w:val="18"/>
              </w:rPr>
            </w:pPr>
            <w:r w:rsidRPr="00932449">
              <w:rPr>
                <w:i/>
                <w:sz w:val="18"/>
                <w:szCs w:val="18"/>
              </w:rPr>
              <w:t>Eligible items include but are not limited to furniture delivery costs, furniture bank fees, bed frames, conventional mattresses, air mattresses, box springs, basic kitchen utensils, and cleaning supplies.</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necessary for securing appropriate permanent housing</w:t>
            </w:r>
          </w:p>
          <w:p w:rsidR="00EA13AA" w:rsidRPr="00932449" w:rsidRDefault="006C2F9D" w:rsidP="006C2F9D">
            <w:pPr>
              <w:rPr>
                <w:i/>
                <w:sz w:val="18"/>
                <w:szCs w:val="18"/>
              </w:rPr>
            </w:pPr>
            <w:r w:rsidRPr="00932449">
              <w:rPr>
                <w:i/>
                <w:sz w:val="18"/>
                <w:szCs w:val="18"/>
              </w:rPr>
              <w:t xml:space="preserve">Eligible items include but are not limited to fees for rent applications, background checks, housing inspections, credit score checks, credit counseling, </w:t>
            </w:r>
            <w:r w:rsidR="00D77C9F">
              <w:rPr>
                <w:i/>
                <w:sz w:val="18"/>
                <w:szCs w:val="18"/>
              </w:rPr>
              <w:t xml:space="preserve">criminal background check, tenancy screening reports, </w:t>
            </w:r>
            <w:r w:rsidRPr="00932449">
              <w:rPr>
                <w:i/>
                <w:sz w:val="18"/>
                <w:szCs w:val="18"/>
              </w:rPr>
              <w:t>financial literacy class, document court filing fees, and documentation acquisition such as for Social Security Number or birth certificates.</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A978CA">
            <w:pPr>
              <w:jc w:val="left"/>
              <w:rPr>
                <w:rFonts w:cs="Arial"/>
                <w:b/>
                <w:sz w:val="22"/>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10800" w:type="dxa"/>
            <w:gridSpan w:val="3"/>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rsidR="00C55C64" w:rsidRDefault="00C55C64" w:rsidP="003E455B">
            <w:pPr>
              <w:rPr>
                <w:rFonts w:eastAsiaTheme="minorHAnsi" w:cs="Arial"/>
                <w:b/>
                <w:sz w:val="22"/>
                <w:lang w:eastAsia="en-US"/>
              </w:rPr>
            </w:pPr>
            <w:r w:rsidRPr="00C55C64">
              <w:rPr>
                <w:rFonts w:eastAsiaTheme="minorHAnsi" w:cs="Arial"/>
                <w:b/>
                <w:sz w:val="22"/>
                <w:lang w:eastAsia="en-US"/>
              </w:rPr>
              <w:t>Expenses necessary for a participant’s life or safety on a temporary basis</w:t>
            </w:r>
            <w:r w:rsidR="00D51B2E">
              <w:rPr>
                <w:rFonts w:eastAsiaTheme="minorHAnsi" w:cs="Arial"/>
                <w:b/>
                <w:sz w:val="22"/>
                <w:lang w:eastAsia="en-US"/>
              </w:rPr>
              <w:t xml:space="preserve"> - $500 limit</w:t>
            </w:r>
          </w:p>
          <w:p w:rsidR="00EA13AA" w:rsidRPr="00932449" w:rsidRDefault="006C2F9D" w:rsidP="006C2F9D">
            <w:pPr>
              <w:rPr>
                <w:i/>
                <w:sz w:val="18"/>
                <w:szCs w:val="18"/>
              </w:rPr>
            </w:pPr>
            <w:r w:rsidRPr="00932449">
              <w:rPr>
                <w:i/>
                <w:sz w:val="18"/>
                <w:szCs w:val="18"/>
              </w:rPr>
              <w:t xml:space="preserve">Eligible items include food, baby formula, diapers, and winter clothing. </w:t>
            </w: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6"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6"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tcPr>
          <w:p w:rsidR="00C55C64" w:rsidRPr="00984908" w:rsidRDefault="00C55C64" w:rsidP="003E455B">
            <w:pPr>
              <w:rPr>
                <w:b/>
                <w:sz w:val="24"/>
              </w:rPr>
            </w:pPr>
          </w:p>
        </w:tc>
        <w:tc>
          <w:tcPr>
            <w:tcW w:w="2520" w:type="dxa"/>
            <w:tcBorders>
              <w:top w:val="single" w:sz="6" w:space="0" w:color="auto"/>
              <w:left w:val="single" w:sz="6" w:space="0" w:color="auto"/>
              <w:bottom w:val="single" w:sz="24" w:space="0" w:color="auto"/>
              <w:right w:val="single" w:sz="6" w:space="0" w:color="auto"/>
            </w:tcBorders>
            <w:shd w:val="clear" w:color="auto" w:fill="auto"/>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tcPr>
          <w:p w:rsidR="00C55C64" w:rsidRPr="00984908" w:rsidRDefault="00C55C64" w:rsidP="003E455B">
            <w:pPr>
              <w:rPr>
                <w:b/>
                <w:sz w:val="24"/>
              </w:rPr>
            </w:pPr>
          </w:p>
        </w:tc>
      </w:tr>
      <w:tr w:rsidR="00C55C64" w:rsidRPr="00984908" w:rsidTr="00C55C64">
        <w:tc>
          <w:tcPr>
            <w:tcW w:w="5940" w:type="dxa"/>
            <w:tcBorders>
              <w:top w:val="single" w:sz="24" w:space="0" w:color="auto"/>
              <w:left w:val="single" w:sz="24" w:space="0" w:color="auto"/>
              <w:bottom w:val="single" w:sz="6" w:space="0" w:color="auto"/>
              <w:right w:val="single" w:sz="6" w:space="0" w:color="auto"/>
            </w:tcBorders>
            <w:shd w:val="clear" w:color="auto" w:fill="D9D9D9" w:themeFill="background1" w:themeFillShade="D9"/>
          </w:tcPr>
          <w:p w:rsidR="00C55C64" w:rsidRPr="00984908" w:rsidRDefault="00C55C64" w:rsidP="00984908">
            <w:pPr>
              <w:jc w:val="left"/>
              <w:rPr>
                <w:b/>
                <w:sz w:val="24"/>
              </w:rPr>
            </w:pPr>
            <w:r>
              <w:rPr>
                <w:b/>
                <w:sz w:val="24"/>
              </w:rPr>
              <w:t>Total</w:t>
            </w:r>
          </w:p>
        </w:tc>
        <w:tc>
          <w:tcPr>
            <w:tcW w:w="2520" w:type="dxa"/>
            <w:tcBorders>
              <w:top w:val="single" w:sz="24" w:space="0" w:color="auto"/>
              <w:left w:val="single" w:sz="6" w:space="0" w:color="auto"/>
              <w:bottom w:val="single" w:sz="6" w:space="0" w:color="auto"/>
              <w:right w:val="single" w:sz="6" w:space="0" w:color="auto"/>
            </w:tcBorders>
            <w:shd w:val="clear" w:color="auto" w:fill="D9D9D9" w:themeFill="background1" w:themeFillShade="D9"/>
          </w:tcPr>
          <w:p w:rsidR="00C55C64" w:rsidRPr="00984908" w:rsidRDefault="00C55C64" w:rsidP="003E455B">
            <w:pPr>
              <w:rPr>
                <w:b/>
                <w:sz w:val="24"/>
              </w:rPr>
            </w:pPr>
          </w:p>
        </w:tc>
        <w:tc>
          <w:tcPr>
            <w:tcW w:w="2340" w:type="dxa"/>
            <w:tcBorders>
              <w:top w:val="single" w:sz="24" w:space="0" w:color="auto"/>
              <w:left w:val="single" w:sz="6" w:space="0" w:color="auto"/>
              <w:bottom w:val="single" w:sz="6" w:space="0" w:color="auto"/>
              <w:right w:val="single" w:sz="24" w:space="0" w:color="auto"/>
            </w:tcBorders>
            <w:shd w:val="clear" w:color="auto" w:fill="D9D9D9" w:themeFill="background1" w:themeFillShade="D9"/>
          </w:tcPr>
          <w:p w:rsidR="00C55C64" w:rsidRPr="00984908" w:rsidRDefault="00C55C64" w:rsidP="003E455B">
            <w:pPr>
              <w:rPr>
                <w:b/>
                <w:sz w:val="24"/>
              </w:rPr>
            </w:pPr>
          </w:p>
        </w:tc>
      </w:tr>
      <w:tr w:rsidR="00C55C64" w:rsidRPr="00984908" w:rsidTr="00C55C64">
        <w:tc>
          <w:tcPr>
            <w:tcW w:w="5940" w:type="dxa"/>
            <w:tcBorders>
              <w:top w:val="single" w:sz="6" w:space="0" w:color="auto"/>
              <w:left w:val="single" w:sz="24" w:space="0" w:color="auto"/>
              <w:bottom w:val="single" w:sz="24" w:space="0" w:color="auto"/>
              <w:right w:val="single" w:sz="6" w:space="0" w:color="auto"/>
            </w:tcBorders>
            <w:shd w:val="clear" w:color="auto" w:fill="D9D9D9" w:themeFill="background1" w:themeFillShade="D9"/>
          </w:tcPr>
          <w:p w:rsidR="00C55C64" w:rsidRPr="00984908" w:rsidRDefault="00C55C64" w:rsidP="00984908">
            <w:pPr>
              <w:jc w:val="left"/>
              <w:rPr>
                <w:b/>
                <w:sz w:val="24"/>
              </w:rPr>
            </w:pPr>
            <w:r>
              <w:rPr>
                <w:b/>
                <w:sz w:val="24"/>
              </w:rPr>
              <w:t>New Total</w:t>
            </w:r>
          </w:p>
        </w:tc>
        <w:tc>
          <w:tcPr>
            <w:tcW w:w="2520" w:type="dxa"/>
            <w:tcBorders>
              <w:top w:val="single" w:sz="6" w:space="0" w:color="auto"/>
              <w:left w:val="single" w:sz="6" w:space="0" w:color="auto"/>
              <w:bottom w:val="single" w:sz="24" w:space="0" w:color="auto"/>
              <w:right w:val="single" w:sz="6" w:space="0" w:color="auto"/>
            </w:tcBorders>
            <w:shd w:val="clear" w:color="auto" w:fill="D9D9D9" w:themeFill="background1" w:themeFillShade="D9"/>
          </w:tcPr>
          <w:p w:rsidR="00C55C64" w:rsidRPr="00984908" w:rsidRDefault="00C55C64" w:rsidP="003E455B">
            <w:pPr>
              <w:rPr>
                <w:b/>
                <w:sz w:val="24"/>
              </w:rPr>
            </w:pPr>
          </w:p>
        </w:tc>
        <w:tc>
          <w:tcPr>
            <w:tcW w:w="2340" w:type="dxa"/>
            <w:tcBorders>
              <w:top w:val="single" w:sz="6" w:space="0" w:color="auto"/>
              <w:left w:val="single" w:sz="6" w:space="0" w:color="auto"/>
              <w:bottom w:val="single" w:sz="24" w:space="0" w:color="auto"/>
              <w:right w:val="single" w:sz="24" w:space="0" w:color="auto"/>
            </w:tcBorders>
            <w:shd w:val="clear" w:color="auto" w:fill="D9D9D9" w:themeFill="background1" w:themeFillShade="D9"/>
          </w:tcPr>
          <w:p w:rsidR="00C55C64" w:rsidRPr="00984908" w:rsidRDefault="00C55C64" w:rsidP="003E455B">
            <w:pPr>
              <w:rPr>
                <w:b/>
                <w:sz w:val="24"/>
              </w:rPr>
            </w:pPr>
          </w:p>
        </w:tc>
      </w:tr>
    </w:tbl>
    <w:p w:rsidR="00C85238" w:rsidRPr="00932449" w:rsidRDefault="00C85238" w:rsidP="003E455B">
      <w:pPr>
        <w:rPr>
          <w:b/>
          <w:sz w:val="24"/>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843"/>
        <w:gridCol w:w="2487"/>
        <w:gridCol w:w="2302"/>
      </w:tblGrid>
      <w:tr w:rsidR="00C55C64" w:rsidRPr="00984908" w:rsidTr="00C55C64">
        <w:tc>
          <w:tcPr>
            <w:tcW w:w="10800" w:type="dxa"/>
            <w:gridSpan w:val="3"/>
          </w:tcPr>
          <w:p w:rsidR="00C55C64" w:rsidRDefault="00C55C64" w:rsidP="00C55C64">
            <w:pPr>
              <w:jc w:val="center"/>
              <w:rPr>
                <w:b/>
                <w:sz w:val="24"/>
              </w:rPr>
            </w:pPr>
            <w:r>
              <w:rPr>
                <w:b/>
                <w:sz w:val="24"/>
              </w:rPr>
              <w:t>Broker Fees</w:t>
            </w:r>
          </w:p>
          <w:p w:rsidR="006C2F9D" w:rsidRPr="006C2F9D" w:rsidRDefault="006C2F9D" w:rsidP="00C55C64">
            <w:pPr>
              <w:jc w:val="center"/>
              <w:rPr>
                <w:sz w:val="20"/>
                <w:szCs w:val="20"/>
              </w:rPr>
            </w:pPr>
            <w:r w:rsidRPr="006C2F9D">
              <w:rPr>
                <w:sz w:val="20"/>
                <w:szCs w:val="20"/>
              </w:rPr>
              <w:t xml:space="preserve">Reasonable amount for a realtor broker’s fee. This may be paid once during a 2-year period. The reasonableness of this fee must be determined based on the condition of the local housing market.  </w:t>
            </w:r>
          </w:p>
        </w:tc>
      </w:tr>
      <w:tr w:rsidR="00C55C64" w:rsidRPr="00984908" w:rsidTr="00C55C64">
        <w:tc>
          <w:tcPr>
            <w:tcW w:w="5940" w:type="dxa"/>
            <w:shd w:val="clear" w:color="auto" w:fill="D9D9D9" w:themeFill="background1" w:themeFillShade="D9"/>
          </w:tcPr>
          <w:p w:rsidR="00C55C64" w:rsidRPr="00C55C64" w:rsidRDefault="00C55C64" w:rsidP="00C55C64">
            <w:pPr>
              <w:jc w:val="center"/>
              <w:rPr>
                <w:b/>
                <w:sz w:val="24"/>
              </w:rPr>
            </w:pPr>
            <w:r>
              <w:rPr>
                <w:b/>
                <w:sz w:val="24"/>
              </w:rPr>
              <w:t>Broker Name/Agency</w:t>
            </w:r>
          </w:p>
        </w:tc>
        <w:tc>
          <w:tcPr>
            <w:tcW w:w="2520" w:type="dxa"/>
            <w:shd w:val="clear" w:color="auto" w:fill="D9D9D9" w:themeFill="background1" w:themeFillShade="D9"/>
          </w:tcPr>
          <w:p w:rsidR="00C55C64" w:rsidRPr="00984908" w:rsidRDefault="00C55C64" w:rsidP="00C55C64">
            <w:pPr>
              <w:jc w:val="center"/>
              <w:rPr>
                <w:b/>
                <w:sz w:val="24"/>
              </w:rPr>
            </w:pPr>
            <w:r>
              <w:rPr>
                <w:b/>
                <w:sz w:val="24"/>
              </w:rPr>
              <w:t>Amount</w:t>
            </w:r>
          </w:p>
        </w:tc>
        <w:tc>
          <w:tcPr>
            <w:tcW w:w="2340" w:type="dxa"/>
            <w:shd w:val="clear" w:color="auto" w:fill="D9D9D9" w:themeFill="background1" w:themeFillShade="D9"/>
          </w:tcPr>
          <w:p w:rsidR="00C55C64" w:rsidRPr="00984908" w:rsidRDefault="00C55C64" w:rsidP="00C55C64">
            <w:pPr>
              <w:jc w:val="center"/>
              <w:rPr>
                <w:b/>
                <w:sz w:val="24"/>
              </w:rPr>
            </w:pPr>
            <w:r>
              <w:rPr>
                <w:b/>
                <w:sz w:val="24"/>
              </w:rPr>
              <w:t>Date</w:t>
            </w:r>
          </w:p>
        </w:tc>
      </w:tr>
      <w:tr w:rsidR="00C55C64" w:rsidRPr="00984908" w:rsidTr="00C55C64">
        <w:tc>
          <w:tcPr>
            <w:tcW w:w="5940" w:type="dxa"/>
          </w:tcPr>
          <w:p w:rsidR="00C55C64" w:rsidRPr="00984908" w:rsidRDefault="00C55C64" w:rsidP="00A978CA">
            <w:pPr>
              <w:rPr>
                <w:b/>
                <w:sz w:val="24"/>
              </w:rPr>
            </w:pPr>
          </w:p>
        </w:tc>
        <w:tc>
          <w:tcPr>
            <w:tcW w:w="2520" w:type="dxa"/>
            <w:shd w:val="clear" w:color="auto" w:fill="auto"/>
          </w:tcPr>
          <w:p w:rsidR="00C55C64" w:rsidRPr="00984908" w:rsidRDefault="00C55C64" w:rsidP="00A978CA">
            <w:pPr>
              <w:jc w:val="left"/>
              <w:rPr>
                <w:b/>
                <w:sz w:val="24"/>
              </w:rPr>
            </w:pPr>
          </w:p>
        </w:tc>
        <w:tc>
          <w:tcPr>
            <w:tcW w:w="2340" w:type="dxa"/>
          </w:tcPr>
          <w:p w:rsidR="00C55C64" w:rsidRPr="00984908" w:rsidRDefault="00C55C64" w:rsidP="00A978CA">
            <w:pPr>
              <w:rPr>
                <w:b/>
                <w:sz w:val="24"/>
              </w:rPr>
            </w:pPr>
          </w:p>
        </w:tc>
      </w:tr>
      <w:tr w:rsidR="00932449" w:rsidRPr="00984908" w:rsidTr="00C55C64">
        <w:tc>
          <w:tcPr>
            <w:tcW w:w="5940" w:type="dxa"/>
            <w:shd w:val="clear" w:color="auto" w:fill="D9D9D9" w:themeFill="background1" w:themeFillShade="D9"/>
          </w:tcPr>
          <w:p w:rsidR="00932449" w:rsidRPr="00984908" w:rsidRDefault="00932449" w:rsidP="00A978CA">
            <w:pPr>
              <w:rPr>
                <w:b/>
                <w:sz w:val="24"/>
              </w:rPr>
            </w:pPr>
            <w:r w:rsidRPr="00984908">
              <w:rPr>
                <w:b/>
                <w:sz w:val="24"/>
              </w:rPr>
              <w:t>Total</w:t>
            </w:r>
          </w:p>
        </w:tc>
        <w:tc>
          <w:tcPr>
            <w:tcW w:w="2520" w:type="dxa"/>
            <w:shd w:val="clear" w:color="auto" w:fill="D9D9D9" w:themeFill="background1" w:themeFillShade="D9"/>
          </w:tcPr>
          <w:p w:rsidR="00932449" w:rsidRPr="00984908" w:rsidRDefault="00932449" w:rsidP="00A978CA">
            <w:pPr>
              <w:jc w:val="left"/>
              <w:rPr>
                <w:b/>
                <w:sz w:val="24"/>
              </w:rPr>
            </w:pPr>
          </w:p>
        </w:tc>
        <w:tc>
          <w:tcPr>
            <w:tcW w:w="2340" w:type="dxa"/>
            <w:shd w:val="clear" w:color="auto" w:fill="D9D9D9" w:themeFill="background1" w:themeFillShade="D9"/>
          </w:tcPr>
          <w:p w:rsidR="00932449" w:rsidRPr="00984908" w:rsidRDefault="00932449" w:rsidP="00A978CA">
            <w:pPr>
              <w:rPr>
                <w:b/>
                <w:sz w:val="24"/>
              </w:rPr>
            </w:pPr>
          </w:p>
        </w:tc>
      </w:tr>
      <w:tr w:rsidR="00932449" w:rsidRPr="00984908" w:rsidTr="00932449">
        <w:tc>
          <w:tcPr>
            <w:tcW w:w="10800" w:type="dxa"/>
            <w:gridSpan w:val="3"/>
            <w:shd w:val="clear" w:color="auto" w:fill="auto"/>
            <w:vAlign w:val="center"/>
          </w:tcPr>
          <w:p w:rsidR="00932449" w:rsidRDefault="00932449" w:rsidP="00932449">
            <w:pPr>
              <w:spacing w:line="276" w:lineRule="auto"/>
              <w:jc w:val="left"/>
              <w:rPr>
                <w:sz w:val="24"/>
              </w:rPr>
            </w:pPr>
            <w:r>
              <w:rPr>
                <w:i/>
                <w:sz w:val="20"/>
                <w:szCs w:val="20"/>
              </w:rPr>
              <w:t>Explanation of how it was determined</w:t>
            </w:r>
            <w:r w:rsidRPr="00932449">
              <w:rPr>
                <w:i/>
                <w:sz w:val="20"/>
                <w:szCs w:val="20"/>
              </w:rPr>
              <w:t xml:space="preserve"> that cost is reasonable:</w:t>
            </w:r>
          </w:p>
        </w:tc>
      </w:tr>
      <w:tr w:rsidR="00932449" w:rsidRPr="00984908" w:rsidTr="00932449">
        <w:tc>
          <w:tcPr>
            <w:tcW w:w="10800" w:type="dxa"/>
            <w:gridSpan w:val="3"/>
            <w:shd w:val="clear" w:color="auto" w:fill="auto"/>
            <w:vAlign w:val="center"/>
          </w:tcPr>
          <w:p w:rsidR="00932449" w:rsidRPr="00932449" w:rsidRDefault="00932449" w:rsidP="00932449">
            <w:pPr>
              <w:spacing w:line="276" w:lineRule="auto"/>
              <w:jc w:val="left"/>
              <w:rPr>
                <w:i/>
                <w:sz w:val="20"/>
                <w:szCs w:val="20"/>
              </w:rPr>
            </w:pPr>
          </w:p>
        </w:tc>
      </w:tr>
    </w:tbl>
    <w:p w:rsidR="0020346E" w:rsidRPr="00865864" w:rsidRDefault="0020346E" w:rsidP="006C2F9D">
      <w:pPr>
        <w:rPr>
          <w:rFonts w:eastAsiaTheme="minorHAnsi" w:cs="Arial"/>
          <w:sz w:val="22"/>
          <w:szCs w:val="22"/>
          <w:lang w:eastAsia="en-US"/>
        </w:rPr>
      </w:pPr>
    </w:p>
    <w:sectPr w:rsidR="0020346E" w:rsidRPr="00865864" w:rsidSect="00932449">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72" w:rsidRDefault="00BD4F72" w:rsidP="00FD782D">
      <w:r>
        <w:separator/>
      </w:r>
    </w:p>
  </w:endnote>
  <w:endnote w:type="continuationSeparator" w:id="0">
    <w:p w:rsidR="00BD4F72" w:rsidRDefault="00BD4F72"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72" w:rsidRDefault="00BD4F72" w:rsidP="00FD782D">
      <w:r>
        <w:separator/>
      </w:r>
    </w:p>
  </w:footnote>
  <w:footnote w:type="continuationSeparator" w:id="0">
    <w:p w:rsidR="00BD4F72" w:rsidRDefault="00BD4F72" w:rsidP="00FD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2D" w:rsidRDefault="00FD7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B"/>
    <w:rsid w:val="0002258D"/>
    <w:rsid w:val="00022A7A"/>
    <w:rsid w:val="00024934"/>
    <w:rsid w:val="00041F4D"/>
    <w:rsid w:val="00044077"/>
    <w:rsid w:val="0005277A"/>
    <w:rsid w:val="000665AC"/>
    <w:rsid w:val="00096BCA"/>
    <w:rsid w:val="00097EB8"/>
    <w:rsid w:val="000A3FF8"/>
    <w:rsid w:val="000A4116"/>
    <w:rsid w:val="000B1E75"/>
    <w:rsid w:val="000C3C81"/>
    <w:rsid w:val="000C40CC"/>
    <w:rsid w:val="00102C12"/>
    <w:rsid w:val="0010766E"/>
    <w:rsid w:val="00115C13"/>
    <w:rsid w:val="00117DA5"/>
    <w:rsid w:val="00136AEE"/>
    <w:rsid w:val="00156DA3"/>
    <w:rsid w:val="00157E93"/>
    <w:rsid w:val="00160ED8"/>
    <w:rsid w:val="00163C39"/>
    <w:rsid w:val="00171BEE"/>
    <w:rsid w:val="0017595C"/>
    <w:rsid w:val="00176AD6"/>
    <w:rsid w:val="00184FA6"/>
    <w:rsid w:val="00193CEA"/>
    <w:rsid w:val="00195824"/>
    <w:rsid w:val="001E6ABA"/>
    <w:rsid w:val="002003EB"/>
    <w:rsid w:val="0020346E"/>
    <w:rsid w:val="0020647D"/>
    <w:rsid w:val="0023332B"/>
    <w:rsid w:val="00265542"/>
    <w:rsid w:val="00265987"/>
    <w:rsid w:val="00272F52"/>
    <w:rsid w:val="0028194C"/>
    <w:rsid w:val="002A0D38"/>
    <w:rsid w:val="002B1EB3"/>
    <w:rsid w:val="002C6660"/>
    <w:rsid w:val="002F7CFA"/>
    <w:rsid w:val="00300F66"/>
    <w:rsid w:val="003114AA"/>
    <w:rsid w:val="00324D23"/>
    <w:rsid w:val="00327E3E"/>
    <w:rsid w:val="00336749"/>
    <w:rsid w:val="00340A3C"/>
    <w:rsid w:val="00347C7A"/>
    <w:rsid w:val="003716D2"/>
    <w:rsid w:val="003752EE"/>
    <w:rsid w:val="00382A44"/>
    <w:rsid w:val="00387AE6"/>
    <w:rsid w:val="00397994"/>
    <w:rsid w:val="003A6081"/>
    <w:rsid w:val="003B3CB2"/>
    <w:rsid w:val="003E455B"/>
    <w:rsid w:val="003F2D43"/>
    <w:rsid w:val="003F5EF3"/>
    <w:rsid w:val="003F7C6B"/>
    <w:rsid w:val="00405518"/>
    <w:rsid w:val="00405C35"/>
    <w:rsid w:val="00413B8B"/>
    <w:rsid w:val="00424720"/>
    <w:rsid w:val="004271BC"/>
    <w:rsid w:val="00437382"/>
    <w:rsid w:val="004541A0"/>
    <w:rsid w:val="0046617A"/>
    <w:rsid w:val="00480003"/>
    <w:rsid w:val="004A6C19"/>
    <w:rsid w:val="004C1BFE"/>
    <w:rsid w:val="0051758B"/>
    <w:rsid w:val="005350CB"/>
    <w:rsid w:val="00571E2E"/>
    <w:rsid w:val="00584168"/>
    <w:rsid w:val="00595E43"/>
    <w:rsid w:val="00595EF3"/>
    <w:rsid w:val="005A0441"/>
    <w:rsid w:val="005B500C"/>
    <w:rsid w:val="005C3728"/>
    <w:rsid w:val="005C637C"/>
    <w:rsid w:val="005E1B54"/>
    <w:rsid w:val="005E4894"/>
    <w:rsid w:val="005E6BE5"/>
    <w:rsid w:val="005F37A1"/>
    <w:rsid w:val="005F5D7A"/>
    <w:rsid w:val="005F6322"/>
    <w:rsid w:val="00605231"/>
    <w:rsid w:val="0061371A"/>
    <w:rsid w:val="006204ED"/>
    <w:rsid w:val="00633BF9"/>
    <w:rsid w:val="00640805"/>
    <w:rsid w:val="0064391A"/>
    <w:rsid w:val="00670D27"/>
    <w:rsid w:val="00695713"/>
    <w:rsid w:val="006A07F6"/>
    <w:rsid w:val="006B0353"/>
    <w:rsid w:val="006B15C2"/>
    <w:rsid w:val="006C0243"/>
    <w:rsid w:val="006C2F9D"/>
    <w:rsid w:val="006F0CD6"/>
    <w:rsid w:val="00706AA7"/>
    <w:rsid w:val="007126B2"/>
    <w:rsid w:val="00726616"/>
    <w:rsid w:val="0072760A"/>
    <w:rsid w:val="007377F9"/>
    <w:rsid w:val="007648DA"/>
    <w:rsid w:val="007875BE"/>
    <w:rsid w:val="007C25DB"/>
    <w:rsid w:val="007C3206"/>
    <w:rsid w:val="007D2A11"/>
    <w:rsid w:val="007E2FB7"/>
    <w:rsid w:val="007E705E"/>
    <w:rsid w:val="00814D64"/>
    <w:rsid w:val="00824DFD"/>
    <w:rsid w:val="00847B1F"/>
    <w:rsid w:val="00856CA2"/>
    <w:rsid w:val="00863E05"/>
    <w:rsid w:val="00865864"/>
    <w:rsid w:val="008A256D"/>
    <w:rsid w:val="008B5723"/>
    <w:rsid w:val="008C6273"/>
    <w:rsid w:val="008D306C"/>
    <w:rsid w:val="008E2AAC"/>
    <w:rsid w:val="008F4658"/>
    <w:rsid w:val="008F63CE"/>
    <w:rsid w:val="00905AEC"/>
    <w:rsid w:val="00912FA2"/>
    <w:rsid w:val="00922044"/>
    <w:rsid w:val="00926DCA"/>
    <w:rsid w:val="00927DFD"/>
    <w:rsid w:val="00932449"/>
    <w:rsid w:val="00946C3C"/>
    <w:rsid w:val="00950A7E"/>
    <w:rsid w:val="00966DFE"/>
    <w:rsid w:val="00984908"/>
    <w:rsid w:val="00990B05"/>
    <w:rsid w:val="009A6CE9"/>
    <w:rsid w:val="009E6D4C"/>
    <w:rsid w:val="009F7070"/>
    <w:rsid w:val="009F7805"/>
    <w:rsid w:val="00A03B5A"/>
    <w:rsid w:val="00A23248"/>
    <w:rsid w:val="00A25D61"/>
    <w:rsid w:val="00A53AFB"/>
    <w:rsid w:val="00A94405"/>
    <w:rsid w:val="00AA36C0"/>
    <w:rsid w:val="00AF1115"/>
    <w:rsid w:val="00B13F2D"/>
    <w:rsid w:val="00B42D5A"/>
    <w:rsid w:val="00B5560F"/>
    <w:rsid w:val="00B5759E"/>
    <w:rsid w:val="00B634C2"/>
    <w:rsid w:val="00B97197"/>
    <w:rsid w:val="00BC468E"/>
    <w:rsid w:val="00BC5CF0"/>
    <w:rsid w:val="00BD22E9"/>
    <w:rsid w:val="00BD4F72"/>
    <w:rsid w:val="00C361B9"/>
    <w:rsid w:val="00C42F95"/>
    <w:rsid w:val="00C47C3B"/>
    <w:rsid w:val="00C557CA"/>
    <w:rsid w:val="00C55C64"/>
    <w:rsid w:val="00C66E79"/>
    <w:rsid w:val="00C73FDE"/>
    <w:rsid w:val="00C815AA"/>
    <w:rsid w:val="00C85238"/>
    <w:rsid w:val="00CA0E4D"/>
    <w:rsid w:val="00CA2AE4"/>
    <w:rsid w:val="00CB0E9A"/>
    <w:rsid w:val="00CD6735"/>
    <w:rsid w:val="00CD67E7"/>
    <w:rsid w:val="00CE1DE0"/>
    <w:rsid w:val="00CE660B"/>
    <w:rsid w:val="00D122A6"/>
    <w:rsid w:val="00D31000"/>
    <w:rsid w:val="00D35BC8"/>
    <w:rsid w:val="00D44528"/>
    <w:rsid w:val="00D51B2E"/>
    <w:rsid w:val="00D52524"/>
    <w:rsid w:val="00D56052"/>
    <w:rsid w:val="00D70A8F"/>
    <w:rsid w:val="00D767A3"/>
    <w:rsid w:val="00D77C9F"/>
    <w:rsid w:val="00D77E0D"/>
    <w:rsid w:val="00D82AD7"/>
    <w:rsid w:val="00DA7350"/>
    <w:rsid w:val="00DB3DC4"/>
    <w:rsid w:val="00DC4A2F"/>
    <w:rsid w:val="00DD5BBD"/>
    <w:rsid w:val="00DD6388"/>
    <w:rsid w:val="00DF2FC2"/>
    <w:rsid w:val="00DF5FD8"/>
    <w:rsid w:val="00E07E41"/>
    <w:rsid w:val="00E204F0"/>
    <w:rsid w:val="00E218A8"/>
    <w:rsid w:val="00E26E14"/>
    <w:rsid w:val="00E42870"/>
    <w:rsid w:val="00E43087"/>
    <w:rsid w:val="00E47A4E"/>
    <w:rsid w:val="00E7585B"/>
    <w:rsid w:val="00E75AF6"/>
    <w:rsid w:val="00E778C7"/>
    <w:rsid w:val="00E802E8"/>
    <w:rsid w:val="00E825FA"/>
    <w:rsid w:val="00E90158"/>
    <w:rsid w:val="00E9108E"/>
    <w:rsid w:val="00EA13AA"/>
    <w:rsid w:val="00EA2321"/>
    <w:rsid w:val="00EC77EF"/>
    <w:rsid w:val="00ED3661"/>
    <w:rsid w:val="00EE57D5"/>
    <w:rsid w:val="00EF5765"/>
    <w:rsid w:val="00EF6574"/>
    <w:rsid w:val="00F1741C"/>
    <w:rsid w:val="00F334B3"/>
    <w:rsid w:val="00F60FE7"/>
    <w:rsid w:val="00F75013"/>
    <w:rsid w:val="00FB277F"/>
    <w:rsid w:val="00FD75E8"/>
    <w:rsid w:val="00FD782D"/>
    <w:rsid w:val="00FE3663"/>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432B3-0A33-48DE-B88D-007B472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semiHidden/>
    <w:unhideWhenUsed/>
    <w:rsid w:val="00FD782D"/>
    <w:pPr>
      <w:tabs>
        <w:tab w:val="center" w:pos="4680"/>
        <w:tab w:val="right" w:pos="9360"/>
      </w:tabs>
    </w:pPr>
  </w:style>
  <w:style w:type="character" w:customStyle="1" w:styleId="HeaderChar">
    <w:name w:val="Header Char"/>
    <w:basedOn w:val="DefaultParagraphFont"/>
    <w:link w:val="Header"/>
    <w:uiPriority w:val="99"/>
    <w:semiHidden/>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8D15C-3C85-499F-B457-BD520403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Melany Mondello</cp:lastModifiedBy>
  <cp:revision>2</cp:revision>
  <cp:lastPrinted>2014-12-22T16:20:00Z</cp:lastPrinted>
  <dcterms:created xsi:type="dcterms:W3CDTF">2017-11-06T19:49:00Z</dcterms:created>
  <dcterms:modified xsi:type="dcterms:W3CDTF">2017-11-06T19:49:00Z</dcterms:modified>
</cp:coreProperties>
</file>