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642E3" w14:textId="77777777" w:rsidR="00D82AD7" w:rsidRPr="00FB277F" w:rsidRDefault="003E455B" w:rsidP="003E455B">
      <w:r>
        <w:rPr>
          <w:b/>
          <w:sz w:val="28"/>
          <w:szCs w:val="28"/>
        </w:rPr>
        <w:t>Supportive Services for Veteran Families (SSVF) Program</w:t>
      </w:r>
    </w:p>
    <w:p w14:paraId="5080C220" w14:textId="77777777" w:rsidR="003E455B" w:rsidRDefault="00D8630A" w:rsidP="003E455B">
      <w:pPr>
        <w:rPr>
          <w:b/>
          <w:sz w:val="36"/>
          <w:szCs w:val="28"/>
        </w:rPr>
      </w:pPr>
      <w:r>
        <w:rPr>
          <w:b/>
          <w:sz w:val="36"/>
          <w:szCs w:val="28"/>
        </w:rPr>
        <w:t>Self-</w:t>
      </w:r>
      <w:r w:rsidR="009678D0">
        <w:rPr>
          <w:b/>
          <w:sz w:val="36"/>
          <w:szCs w:val="28"/>
        </w:rPr>
        <w:t>Monitoring Tool</w:t>
      </w:r>
    </w:p>
    <w:p w14:paraId="07DACF54" w14:textId="7F3C6A83" w:rsidR="00EE0FF2" w:rsidRDefault="00D8630A" w:rsidP="00EE0FF2">
      <w:pPr>
        <w:autoSpaceDE w:val="0"/>
        <w:autoSpaceDN w:val="0"/>
        <w:adjustRightInd w:val="0"/>
        <w:spacing w:after="240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 xml:space="preserve">Grantees should ensure that they can </w:t>
      </w:r>
      <w:r w:rsidR="00FF1716">
        <w:rPr>
          <w:rFonts w:eastAsiaTheme="minorHAnsi" w:cs="Arial"/>
          <w:sz w:val="22"/>
          <w:szCs w:val="22"/>
          <w:lang w:eastAsia="en-US"/>
        </w:rPr>
        <w:t>check off</w:t>
      </w:r>
      <w:r>
        <w:rPr>
          <w:rFonts w:eastAsiaTheme="minorHAnsi" w:cs="Arial"/>
          <w:sz w:val="22"/>
          <w:szCs w:val="22"/>
          <w:lang w:eastAsia="en-US"/>
        </w:rPr>
        <w:t xml:space="preserve"> all </w:t>
      </w:r>
      <w:r w:rsidR="00FF1716">
        <w:rPr>
          <w:rFonts w:eastAsiaTheme="minorHAnsi" w:cs="Arial"/>
          <w:sz w:val="22"/>
          <w:szCs w:val="22"/>
          <w:lang w:eastAsia="en-US"/>
        </w:rPr>
        <w:t>statements</w:t>
      </w:r>
      <w:r>
        <w:rPr>
          <w:rFonts w:eastAsiaTheme="minorHAnsi" w:cs="Arial"/>
          <w:sz w:val="22"/>
          <w:szCs w:val="22"/>
          <w:lang w:eastAsia="en-US"/>
        </w:rPr>
        <w:t xml:space="preserve"> below</w:t>
      </w:r>
      <w:r w:rsidR="00F11F9E">
        <w:rPr>
          <w:rFonts w:eastAsiaTheme="minorHAnsi" w:cs="Arial"/>
          <w:sz w:val="22"/>
          <w:szCs w:val="22"/>
          <w:lang w:eastAsia="en-US"/>
        </w:rPr>
        <w:t>,</w:t>
      </w:r>
      <w:r w:rsidR="00D72866">
        <w:rPr>
          <w:rFonts w:eastAsiaTheme="minorHAnsi" w:cs="Arial"/>
          <w:sz w:val="22"/>
          <w:szCs w:val="22"/>
          <w:lang w:eastAsia="en-US"/>
        </w:rPr>
        <w:t xml:space="preserve"> and verify that their programs meet all requirements outlined,</w:t>
      </w:r>
      <w:r w:rsidR="004654B2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to be prepared for their</w:t>
      </w:r>
      <w:r w:rsidR="00D72866">
        <w:rPr>
          <w:rFonts w:eastAsiaTheme="minorHAnsi" w:cs="Arial"/>
          <w:sz w:val="22"/>
          <w:szCs w:val="22"/>
          <w:lang w:eastAsia="en-US"/>
        </w:rPr>
        <w:t xml:space="preserve"> on</w:t>
      </w:r>
      <w:r w:rsidR="00580C9D">
        <w:rPr>
          <w:rFonts w:eastAsiaTheme="minorHAnsi" w:cs="Arial"/>
          <w:sz w:val="22"/>
          <w:szCs w:val="22"/>
          <w:lang w:eastAsia="en-US"/>
        </w:rPr>
        <w:t>-</w:t>
      </w:r>
      <w:r w:rsidR="00D72866">
        <w:rPr>
          <w:rFonts w:eastAsiaTheme="minorHAnsi" w:cs="Arial"/>
          <w:sz w:val="22"/>
          <w:szCs w:val="22"/>
          <w:lang w:eastAsia="en-US"/>
        </w:rPr>
        <w:t>site</w:t>
      </w:r>
      <w:r>
        <w:rPr>
          <w:rFonts w:eastAsiaTheme="minorHAnsi" w:cs="Arial"/>
          <w:sz w:val="22"/>
          <w:szCs w:val="22"/>
          <w:lang w:eastAsia="en-US"/>
        </w:rPr>
        <w:t xml:space="preserve"> monitoring visit.</w:t>
      </w:r>
      <w:r w:rsidR="004654B2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0B5EFC0D" w14:textId="7B0B488E" w:rsidR="00EE0FF2" w:rsidRDefault="00EE0FF2" w:rsidP="00EE0FF2">
      <w:pPr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If a program can check off every item below, they will be well on the way to a successful monitoring visit. </w:t>
      </w:r>
      <w:r>
        <w:rPr>
          <w:rFonts w:eastAsiaTheme="minorHAnsi" w:cs="Arial"/>
          <w:sz w:val="22"/>
          <w:szCs w:val="22"/>
          <w:lang w:eastAsia="en-US"/>
        </w:rPr>
        <w:t xml:space="preserve">The (*) items </w:t>
      </w:r>
      <w:r w:rsidR="00B15755">
        <w:rPr>
          <w:rFonts w:eastAsiaTheme="minorHAnsi" w:cs="Arial"/>
          <w:sz w:val="22"/>
          <w:szCs w:val="22"/>
          <w:lang w:eastAsia="en-US"/>
        </w:rPr>
        <w:t xml:space="preserve">were </w:t>
      </w:r>
      <w:r>
        <w:rPr>
          <w:rFonts w:eastAsiaTheme="minorHAnsi" w:cs="Arial"/>
          <w:sz w:val="22"/>
          <w:szCs w:val="22"/>
          <w:lang w:eastAsia="en-US"/>
        </w:rPr>
        <w:t>the most common</w:t>
      </w:r>
      <w:r w:rsidR="00FC3C96">
        <w:rPr>
          <w:rFonts w:eastAsiaTheme="minorHAnsi" w:cs="Arial"/>
          <w:sz w:val="22"/>
          <w:szCs w:val="22"/>
          <w:lang w:eastAsia="en-US"/>
        </w:rPr>
        <w:t>ly missed during FY17</w:t>
      </w:r>
      <w:r w:rsidR="00B15755">
        <w:rPr>
          <w:rFonts w:eastAsiaTheme="minorHAnsi" w:cs="Arial"/>
          <w:sz w:val="22"/>
          <w:szCs w:val="22"/>
          <w:lang w:eastAsia="en-US"/>
        </w:rPr>
        <w:t xml:space="preserve"> that resulted in a finding or concern for grantees</w:t>
      </w:r>
      <w:r w:rsidR="00F11F9E">
        <w:rPr>
          <w:rFonts w:eastAsiaTheme="minorHAnsi" w:cs="Arial"/>
          <w:sz w:val="22"/>
          <w:szCs w:val="22"/>
          <w:lang w:eastAsia="en-US"/>
        </w:rPr>
        <w:t xml:space="preserve">. To </w:t>
      </w:r>
      <w:r>
        <w:rPr>
          <w:rFonts w:eastAsiaTheme="minorHAnsi" w:cs="Arial"/>
          <w:sz w:val="22"/>
          <w:szCs w:val="22"/>
          <w:lang w:eastAsia="en-US"/>
        </w:rPr>
        <w:t>ensure full compliance with the</w:t>
      </w:r>
      <w:r w:rsidR="000A25BB">
        <w:rPr>
          <w:rFonts w:eastAsiaTheme="minorHAnsi" w:cs="Arial"/>
          <w:sz w:val="22"/>
          <w:szCs w:val="22"/>
          <w:lang w:eastAsia="en-US"/>
        </w:rPr>
        <w:t>se</w:t>
      </w:r>
      <w:r>
        <w:rPr>
          <w:rFonts w:eastAsiaTheme="minorHAnsi" w:cs="Arial"/>
          <w:sz w:val="22"/>
          <w:szCs w:val="22"/>
          <w:lang w:eastAsia="en-US"/>
        </w:rPr>
        <w:t xml:space="preserve"> items, download the Uniform Monitoring Package (UMP) and evaluate programs on all questions.</w:t>
      </w:r>
    </w:p>
    <w:p w14:paraId="3B3D1E6D" w14:textId="0257F567" w:rsidR="00FF66C2" w:rsidRPr="00FF66C2" w:rsidRDefault="00FF66C2" w:rsidP="00EE0FF2">
      <w:pPr>
        <w:rPr>
          <w:rFonts w:eastAsiaTheme="minorHAnsi" w:cs="Arial"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17D19484" w14:textId="77777777" w:rsidTr="00AC24C9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7762793A" w14:textId="3EAFF218" w:rsidR="003D50A3" w:rsidRPr="00AC24C9" w:rsidRDefault="003D50A3" w:rsidP="00AC24C9">
            <w:pPr>
              <w:ind w:right="-72"/>
              <w:contextualSpacing/>
              <w:jc w:val="left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Program Goals and Progress</w:t>
            </w:r>
          </w:p>
        </w:tc>
      </w:tr>
      <w:tr w:rsidR="003D50A3" w:rsidRPr="00FF66C2" w14:paraId="26417F7E" w14:textId="77777777" w:rsidTr="003D50A3">
        <w:tc>
          <w:tcPr>
            <w:tcW w:w="10790" w:type="dxa"/>
          </w:tcPr>
          <w:p w14:paraId="5E3B5BE6" w14:textId="4321B7E7" w:rsidR="003D50A3" w:rsidRPr="00FF66C2" w:rsidRDefault="00EF4B9C" w:rsidP="003531B3">
            <w:pPr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7436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program is on track to hit the annual households served goal, </w:t>
            </w:r>
            <w:r w:rsidR="0031579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prorated based on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month</w:t>
            </w:r>
            <w:r w:rsidR="0031579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of monitoring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605C21">
              <w:rPr>
                <w:rFonts w:eastAsiaTheme="minorHAnsi" w:cs="Arial"/>
                <w:sz w:val="22"/>
                <w:szCs w:val="22"/>
                <w:lang w:eastAsia="en-US"/>
              </w:rPr>
              <w:t>*</w:t>
            </w:r>
          </w:p>
        </w:tc>
      </w:tr>
      <w:tr w:rsidR="003D50A3" w:rsidRPr="00FF66C2" w14:paraId="4BD475CD" w14:textId="77777777" w:rsidTr="003D50A3">
        <w:tc>
          <w:tcPr>
            <w:tcW w:w="10790" w:type="dxa"/>
          </w:tcPr>
          <w:p w14:paraId="39C4BEB2" w14:textId="211A586D" w:rsidR="003D50A3" w:rsidRPr="00FF66C2" w:rsidRDefault="00EF4B9C" w:rsidP="00971C1A">
            <w:pPr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200763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</w:t>
            </w:r>
            <w:r w:rsidR="00FC3C96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program is </w:t>
            </w:r>
            <w:r w:rsidR="00FC3C96">
              <w:rPr>
                <w:rFonts w:eastAsiaTheme="minorHAnsi" w:cs="Arial"/>
                <w:sz w:val="22"/>
                <w:szCs w:val="22"/>
                <w:lang w:eastAsia="en-US"/>
              </w:rPr>
              <w:t xml:space="preserve">drawing down in line with VA recommendations </w:t>
            </w:r>
            <w:r w:rsidR="00FC3C96" w:rsidRPr="00F9020E">
              <w:rPr>
                <w:rFonts w:eastAsiaTheme="minorHAnsi" w:cs="Arial"/>
                <w:sz w:val="22"/>
                <w:szCs w:val="22"/>
                <w:lang w:eastAsia="en-US"/>
              </w:rPr>
              <w:t>to ensure efficient grant expenditure</w:t>
            </w:r>
            <w:r w:rsidR="00FC3C96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605C21">
              <w:rPr>
                <w:rFonts w:eastAsiaTheme="minorHAnsi" w:cs="Arial"/>
                <w:sz w:val="22"/>
                <w:szCs w:val="22"/>
                <w:lang w:eastAsia="en-US"/>
              </w:rPr>
              <w:t>*</w:t>
            </w:r>
          </w:p>
        </w:tc>
      </w:tr>
      <w:tr w:rsidR="003D50A3" w:rsidRPr="00FF66C2" w14:paraId="1F59C64A" w14:textId="77777777" w:rsidTr="003D50A3">
        <w:tc>
          <w:tcPr>
            <w:tcW w:w="10790" w:type="dxa"/>
          </w:tcPr>
          <w:p w14:paraId="1F26FDB5" w14:textId="77777777" w:rsidR="00FC3C96" w:rsidRDefault="00EF4B9C" w:rsidP="00FC3C96">
            <w:pPr>
              <w:ind w:left="330" w:right="-72" w:hanging="330"/>
              <w:contextualSpacing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495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FC3C96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Current SSVF staff match exactly to the approved budget staffing plan </w:t>
            </w:r>
            <w:r w:rsidR="00FC3C96" w:rsidRPr="00FF66C2"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>or</w:t>
            </w:r>
            <w:r w:rsidR="00FC3C96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is </w:t>
            </w:r>
            <w:r w:rsidR="00FC3C96">
              <w:rPr>
                <w:rFonts w:eastAsiaTheme="minorHAnsi" w:cs="Arial"/>
                <w:sz w:val="22"/>
                <w:szCs w:val="22"/>
                <w:lang w:eastAsia="en-US"/>
              </w:rPr>
              <w:t>an approved budget change</w:t>
            </w:r>
          </w:p>
          <w:p w14:paraId="30B809B9" w14:textId="7963AAF1" w:rsidR="003D50A3" w:rsidRPr="00FF66C2" w:rsidRDefault="00FC3C96" w:rsidP="00FC3C96">
            <w:pPr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>or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w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>ritten communication with Regional Coordinator about why the current staffing and budget do not match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3D50A3" w:rsidRPr="00FF66C2" w14:paraId="1DA40236" w14:textId="77777777" w:rsidTr="003D50A3">
        <w:tc>
          <w:tcPr>
            <w:tcW w:w="10790" w:type="dxa"/>
          </w:tcPr>
          <w:p w14:paraId="0E7EA959" w14:textId="77777777" w:rsidR="00FC3C96" w:rsidRPr="00FF66C2" w:rsidRDefault="00EF4B9C" w:rsidP="00FC3C96">
            <w:pPr>
              <w:ind w:right="-72"/>
              <w:contextualSpacing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55019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FC3C96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grantee is spending a minimum of 60% of TFA on Rapid Rehousing households or has a waiver </w:t>
            </w:r>
          </w:p>
          <w:p w14:paraId="5218D4AE" w14:textId="0153015B" w:rsidR="003D50A3" w:rsidRPr="00FF66C2" w:rsidRDefault="00FC3C96" w:rsidP="00FC3C96">
            <w:pPr>
              <w:ind w:left="330" w:right="-72" w:hanging="330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and meets the requirements outlined in the waiver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605C21">
              <w:rPr>
                <w:rFonts w:eastAsiaTheme="minorHAnsi" w:cs="Arial"/>
                <w:sz w:val="22"/>
                <w:szCs w:val="22"/>
                <w:lang w:eastAsia="en-US"/>
              </w:rPr>
              <w:t>*</w:t>
            </w:r>
          </w:p>
        </w:tc>
      </w:tr>
    </w:tbl>
    <w:p w14:paraId="13606B97" w14:textId="77777777" w:rsidR="00FF66C2" w:rsidRPr="00FF66C2" w:rsidRDefault="00FF66C2" w:rsidP="00AB3263">
      <w:pPr>
        <w:ind w:right="-72"/>
        <w:contextualSpacing/>
        <w:rPr>
          <w:rFonts w:eastAsiaTheme="minorHAnsi" w:cs="Arial"/>
          <w:b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0FD9DDEE" w14:textId="77777777" w:rsidTr="00AC24C9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69FFA7EB" w14:textId="5D29AD7F" w:rsidR="003D50A3" w:rsidRPr="00AC24C9" w:rsidRDefault="003D50A3" w:rsidP="00AC24C9">
            <w:pPr>
              <w:ind w:right="-72"/>
              <w:contextualSpacing/>
              <w:jc w:val="left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Policies and Procedures (P&amp;P)</w:t>
            </w:r>
          </w:p>
        </w:tc>
      </w:tr>
      <w:tr w:rsidR="003D50A3" w:rsidRPr="00FF66C2" w14:paraId="59CD5412" w14:textId="77777777" w:rsidTr="003D50A3">
        <w:tc>
          <w:tcPr>
            <w:tcW w:w="10790" w:type="dxa"/>
          </w:tcPr>
          <w:p w14:paraId="3423BB18" w14:textId="75E70D96" w:rsidR="003D50A3" w:rsidRPr="00FF66C2" w:rsidRDefault="00EF4B9C" w:rsidP="003D50A3">
            <w:pPr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96200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</w:t>
            </w:r>
            <w:r w:rsidR="00FC3C96">
              <w:rPr>
                <w:rFonts w:eastAsiaTheme="minorHAnsi" w:cs="Arial"/>
                <w:sz w:val="22"/>
                <w:szCs w:val="22"/>
                <w:lang w:eastAsia="en-US"/>
              </w:rPr>
              <w:t xml:space="preserve">are clearly written,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detailed screening P&amp;Ps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specific to the program.</w:t>
            </w:r>
          </w:p>
        </w:tc>
      </w:tr>
      <w:tr w:rsidR="003D50A3" w:rsidRPr="00FF66C2" w14:paraId="044B44D6" w14:textId="77777777" w:rsidTr="003D50A3">
        <w:tc>
          <w:tcPr>
            <w:tcW w:w="10790" w:type="dxa"/>
          </w:tcPr>
          <w:p w14:paraId="351F13E7" w14:textId="2B896C9F" w:rsidR="003D50A3" w:rsidRPr="00FF66C2" w:rsidRDefault="00EF4B9C" w:rsidP="003D50A3">
            <w:pPr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4268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</w:t>
            </w:r>
            <w:r w:rsidR="00FC3C96">
              <w:rPr>
                <w:rFonts w:eastAsiaTheme="minorHAnsi" w:cs="Arial"/>
                <w:sz w:val="22"/>
                <w:szCs w:val="22"/>
                <w:lang w:eastAsia="en-US"/>
              </w:rPr>
              <w:t xml:space="preserve">are clearly written,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detailed P&amp;Ps regarding how eligibility is determined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specific to the program. </w:t>
            </w:r>
          </w:p>
        </w:tc>
      </w:tr>
      <w:tr w:rsidR="003D50A3" w:rsidRPr="00FF66C2" w14:paraId="4B8A0F06" w14:textId="77777777" w:rsidTr="003D50A3">
        <w:tc>
          <w:tcPr>
            <w:tcW w:w="10790" w:type="dxa"/>
          </w:tcPr>
          <w:p w14:paraId="569C76E5" w14:textId="426BFC01" w:rsidR="003D50A3" w:rsidRPr="00FF66C2" w:rsidRDefault="00EF4B9C" w:rsidP="003D50A3">
            <w:pPr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8233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A3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are clearly written P&amp;Ps for prioritizing admissions and who is responsible for admission decisions.</w:t>
            </w:r>
          </w:p>
        </w:tc>
      </w:tr>
      <w:tr w:rsidR="003D50A3" w:rsidRPr="00FF66C2" w14:paraId="68D9A368" w14:textId="77777777" w:rsidTr="003D50A3">
        <w:tc>
          <w:tcPr>
            <w:tcW w:w="10790" w:type="dxa"/>
          </w:tcPr>
          <w:p w14:paraId="0BED82A1" w14:textId="77777777" w:rsidR="00971C1A" w:rsidRPr="00FF66C2" w:rsidRDefault="00EF4B9C" w:rsidP="003531B3">
            <w:pPr>
              <w:ind w:left="340" w:right="-72" w:hanging="340"/>
              <w:contextualSpacing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8977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A3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is a clearly written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Critical I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ncident</w:t>
            </w:r>
            <w:r w:rsidR="003531B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(CI)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P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olicy </w:t>
            </w:r>
            <w:r w:rsidR="003531B3" w:rsidRPr="00FF66C2">
              <w:rPr>
                <w:rFonts w:cs="Arial"/>
                <w:sz w:val="22"/>
                <w:szCs w:val="22"/>
              </w:rPr>
              <w:t>which includes</w:t>
            </w:r>
            <w:r w:rsidR="00971C1A" w:rsidRPr="00FF66C2">
              <w:rPr>
                <w:rFonts w:cs="Arial"/>
                <w:sz w:val="22"/>
                <w:szCs w:val="22"/>
              </w:rPr>
              <w:t xml:space="preserve"> program specific policy for</w:t>
            </w:r>
            <w:r w:rsidR="003531B3" w:rsidRPr="00FF66C2">
              <w:rPr>
                <w:rFonts w:cs="Arial"/>
                <w:sz w:val="22"/>
                <w:szCs w:val="22"/>
              </w:rPr>
              <w:t xml:space="preserve"> reporting </w:t>
            </w:r>
            <w:r w:rsidR="00971C1A" w:rsidRPr="00FF66C2">
              <w:rPr>
                <w:rFonts w:cs="Arial"/>
                <w:sz w:val="22"/>
                <w:szCs w:val="22"/>
              </w:rPr>
              <w:t xml:space="preserve">CI </w:t>
            </w:r>
          </w:p>
          <w:p w14:paraId="0A6F3F3C" w14:textId="42E36AA6" w:rsidR="003D50A3" w:rsidRPr="00FF66C2" w:rsidRDefault="00971C1A" w:rsidP="003531B3">
            <w:pPr>
              <w:ind w:left="340" w:right="-72" w:hanging="340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FF66C2">
              <w:rPr>
                <w:rFonts w:cs="Arial"/>
                <w:sz w:val="22"/>
                <w:szCs w:val="22"/>
              </w:rPr>
              <w:t xml:space="preserve">    to the SSVF Program office</w:t>
            </w:r>
            <w:r w:rsidR="003531B3" w:rsidRPr="00FF66C2">
              <w:rPr>
                <w:rFonts w:cs="Arial"/>
                <w:sz w:val="22"/>
                <w:szCs w:val="22"/>
              </w:rPr>
              <w:t xml:space="preserve"> and following up on incidents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3D50A3" w:rsidRPr="00FF66C2" w14:paraId="4CEB33C0" w14:textId="77777777" w:rsidTr="003D50A3">
        <w:tc>
          <w:tcPr>
            <w:tcW w:w="10790" w:type="dxa"/>
          </w:tcPr>
          <w:p w14:paraId="610863C0" w14:textId="77777777" w:rsidR="00FC3C96" w:rsidRDefault="00EF4B9C" w:rsidP="00FC3C96">
            <w:pPr>
              <w:ind w:right="-72"/>
              <w:contextualSpacing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64847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is a clearly written policy on practice of </w:t>
            </w:r>
            <w:r w:rsidR="00FC3C96">
              <w:rPr>
                <w:rFonts w:eastAsiaTheme="minorHAnsi" w:cs="Arial"/>
                <w:sz w:val="22"/>
                <w:szCs w:val="22"/>
                <w:lang w:eastAsia="en-US"/>
              </w:rPr>
              <w:t xml:space="preserve">handling ineligible applicants including notifying them as  </w:t>
            </w:r>
          </w:p>
          <w:p w14:paraId="005EB8FB" w14:textId="586574A7" w:rsidR="003D50A3" w:rsidRPr="00FF66C2" w:rsidRDefault="00FC3C96" w:rsidP="00FC3C96">
            <w:pPr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to the reason, making appropriate referrals, notifying referral sources</w:t>
            </w:r>
            <w:r w:rsidR="00A52E16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and informing of the grievance policy.</w:t>
            </w:r>
          </w:p>
        </w:tc>
      </w:tr>
      <w:tr w:rsidR="003D50A3" w:rsidRPr="00FF66C2" w14:paraId="3B4884C5" w14:textId="77777777" w:rsidTr="003D50A3">
        <w:tc>
          <w:tcPr>
            <w:tcW w:w="10790" w:type="dxa"/>
          </w:tcPr>
          <w:p w14:paraId="0413611E" w14:textId="77777777" w:rsidR="00FC3C96" w:rsidRDefault="00EF4B9C" w:rsidP="00FC3C96">
            <w:pPr>
              <w:ind w:right="-72"/>
              <w:contextualSpacing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75227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0A3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FC3C96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is a clearly written policy on </w:t>
            </w:r>
            <w:r w:rsidR="00FC3C96">
              <w:rPr>
                <w:rFonts w:eastAsiaTheme="minorHAnsi" w:cs="Arial"/>
                <w:sz w:val="22"/>
                <w:szCs w:val="22"/>
                <w:lang w:eastAsia="en-US"/>
              </w:rPr>
              <w:t xml:space="preserve">ensuring </w:t>
            </w:r>
            <w:r w:rsidR="00FC3C96" w:rsidRPr="00602EE8">
              <w:rPr>
                <w:rFonts w:eastAsiaTheme="minorHAnsi" w:cs="Arial"/>
                <w:sz w:val="22"/>
                <w:szCs w:val="22"/>
                <w:lang w:eastAsia="en-US"/>
              </w:rPr>
              <w:t xml:space="preserve">confidential information (including paper and electronic records </w:t>
            </w:r>
          </w:p>
          <w:p w14:paraId="762D19ED" w14:textId="7681725E" w:rsidR="003D50A3" w:rsidRPr="00FF66C2" w:rsidRDefault="00FC3C96" w:rsidP="00FC3C96">
            <w:pPr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Pr="00602EE8">
              <w:rPr>
                <w:rFonts w:eastAsiaTheme="minorHAnsi" w:cs="Arial"/>
                <w:sz w:val="22"/>
                <w:szCs w:val="22"/>
                <w:lang w:eastAsia="en-US"/>
              </w:rPr>
              <w:t xml:space="preserve">of persons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served) is secure and protected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3D50A3" w:rsidRPr="00FF66C2" w14:paraId="551B4D29" w14:textId="77777777" w:rsidTr="003D50A3">
        <w:tc>
          <w:tcPr>
            <w:tcW w:w="10790" w:type="dxa"/>
          </w:tcPr>
          <w:p w14:paraId="0B3E5E0D" w14:textId="77777777" w:rsidR="00FC3C96" w:rsidRDefault="00EF4B9C" w:rsidP="00FC3C96">
            <w:pPr>
              <w:ind w:right="-72"/>
              <w:contextualSpacing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36520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FC3C96" w:rsidRPr="00FF66C2">
              <w:rPr>
                <w:rFonts w:eastAsiaTheme="minorHAnsi" w:cs="Arial"/>
                <w:sz w:val="22"/>
                <w:szCs w:val="22"/>
                <w:lang w:eastAsia="en-US"/>
              </w:rPr>
              <w:t>There is a clearly written policy on safe driving, including licenses and insurance on file for drivers</w:t>
            </w:r>
            <w:r w:rsidR="00FC3C96">
              <w:rPr>
                <w:rFonts w:eastAsiaTheme="minorHAnsi" w:cs="Arial"/>
                <w:sz w:val="22"/>
                <w:szCs w:val="22"/>
                <w:lang w:eastAsia="en-US"/>
              </w:rPr>
              <w:t xml:space="preserve"> if staff </w:t>
            </w:r>
          </w:p>
          <w:p w14:paraId="681A5427" w14:textId="22AA718D" w:rsidR="003D50A3" w:rsidRPr="00FF66C2" w:rsidRDefault="00FC3C96" w:rsidP="00FC3C96">
            <w:pPr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transport clients in company or personal cars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</w:tbl>
    <w:p w14:paraId="0E4C8DDE" w14:textId="77777777" w:rsidR="00FF66C2" w:rsidRPr="00FF66C2" w:rsidRDefault="00FF66C2" w:rsidP="00AB3263">
      <w:pPr>
        <w:ind w:right="-72"/>
        <w:contextualSpacing/>
        <w:rPr>
          <w:rFonts w:eastAsiaTheme="minorHAnsi" w:cs="Arial"/>
          <w:b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6DE26023" w14:textId="77777777" w:rsidTr="00AC24C9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2E682F11" w14:textId="4E45A36A" w:rsidR="003D50A3" w:rsidRPr="00AC24C9" w:rsidRDefault="003D50A3" w:rsidP="00AC24C9">
            <w:pPr>
              <w:ind w:right="-72"/>
              <w:contextualSpacing/>
              <w:jc w:val="left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Program Management</w:t>
            </w:r>
          </w:p>
        </w:tc>
      </w:tr>
      <w:tr w:rsidR="003D50A3" w:rsidRPr="00FF66C2" w14:paraId="2AA83177" w14:textId="77777777" w:rsidTr="008C2887">
        <w:tc>
          <w:tcPr>
            <w:tcW w:w="10790" w:type="dxa"/>
          </w:tcPr>
          <w:p w14:paraId="208F0B10" w14:textId="51F1540D" w:rsidR="003D50A3" w:rsidRPr="00FF66C2" w:rsidRDefault="00EF4B9C" w:rsidP="003D50A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6532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are job descriptions for every staff person on the grant which match the titles on the approved budget. </w:t>
            </w:r>
          </w:p>
        </w:tc>
      </w:tr>
      <w:tr w:rsidR="003D50A3" w:rsidRPr="00FF66C2" w14:paraId="3B5F3C3D" w14:textId="77777777" w:rsidTr="003D50A3">
        <w:trPr>
          <w:trHeight w:val="278"/>
        </w:trPr>
        <w:tc>
          <w:tcPr>
            <w:tcW w:w="10790" w:type="dxa"/>
          </w:tcPr>
          <w:p w14:paraId="2E70E09F" w14:textId="2E23DE3A" w:rsidR="003D50A3" w:rsidRPr="00FF66C2" w:rsidRDefault="00EF4B9C" w:rsidP="003D50A3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94861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is documentation of staff supervision through agendas and notes; including supervision of </w:t>
            </w:r>
          </w:p>
          <w:p w14:paraId="117E751B" w14:textId="1B034E41" w:rsidR="003D50A3" w:rsidRPr="00FF66C2" w:rsidRDefault="00971C1A" w:rsidP="00971C1A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management level staff.</w:t>
            </w:r>
          </w:p>
        </w:tc>
      </w:tr>
      <w:tr w:rsidR="003D50A3" w:rsidRPr="00FF66C2" w14:paraId="66B09518" w14:textId="77777777" w:rsidTr="008C2887">
        <w:tc>
          <w:tcPr>
            <w:tcW w:w="10790" w:type="dxa"/>
          </w:tcPr>
          <w:p w14:paraId="4F96C92D" w14:textId="1D934779" w:rsidR="003D50A3" w:rsidRPr="00FF66C2" w:rsidRDefault="00EF4B9C" w:rsidP="003D50A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01927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are signed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C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onflict of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I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nterest statements for every member of the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grantee’s B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oard of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D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irectors.</w:t>
            </w:r>
          </w:p>
        </w:tc>
      </w:tr>
      <w:tr w:rsidR="003D50A3" w:rsidRPr="00FF66C2" w14:paraId="0BA7BB60" w14:textId="77777777" w:rsidTr="008C2887">
        <w:tc>
          <w:tcPr>
            <w:tcW w:w="10790" w:type="dxa"/>
          </w:tcPr>
          <w:p w14:paraId="6D77732D" w14:textId="77777777" w:rsidR="00FC3C96" w:rsidRDefault="00EF4B9C" w:rsidP="00FC3C96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06237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program is participating in the local Continuum of Care (CoC) 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coordinated entry </w:t>
            </w:r>
            <w:r w:rsidR="00FC3C96">
              <w:rPr>
                <w:rFonts w:eastAsiaTheme="minorHAnsi" w:cs="Arial"/>
                <w:sz w:val="22"/>
                <w:szCs w:val="22"/>
                <w:lang w:eastAsia="en-US"/>
              </w:rPr>
              <w:t xml:space="preserve">system 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>(CE</w:t>
            </w:r>
            <w:r w:rsidR="00FC3C96">
              <w:rPr>
                <w:rFonts w:eastAsiaTheme="minorHAnsi" w:cs="Arial"/>
                <w:sz w:val="22"/>
                <w:szCs w:val="22"/>
                <w:lang w:eastAsia="en-US"/>
              </w:rPr>
              <w:t xml:space="preserve">S) 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>as</w:t>
            </w:r>
            <w:r w:rsidR="00FC3C96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1F549A14" w14:textId="6D90185F" w:rsidR="003D50A3" w:rsidRPr="00FF66C2" w:rsidRDefault="00FC3C96" w:rsidP="00FC3C96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demonstrated through written policy, meeting minutes, or clear evidence of receiving referrals through CE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8C288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3D50A3" w:rsidRPr="00FF66C2" w14:paraId="77E81708" w14:textId="77777777" w:rsidTr="008C2887">
        <w:tc>
          <w:tcPr>
            <w:tcW w:w="10790" w:type="dxa"/>
          </w:tcPr>
          <w:p w14:paraId="3CCBF7A4" w14:textId="07D78D71" w:rsidR="003D50A3" w:rsidRPr="00FF66C2" w:rsidRDefault="00EF4B9C" w:rsidP="003D50A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68688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is evidence the program is participating in all CoCs 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>on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resolution, through CoC meeting minutes.</w:t>
            </w:r>
          </w:p>
        </w:tc>
      </w:tr>
      <w:tr w:rsidR="003D50A3" w:rsidRPr="00FF66C2" w14:paraId="2FF85167" w14:textId="77777777" w:rsidTr="008C2887">
        <w:tc>
          <w:tcPr>
            <w:tcW w:w="10790" w:type="dxa"/>
          </w:tcPr>
          <w:p w14:paraId="1DC8808D" w14:textId="2E5E5248" w:rsidR="003D50A3" w:rsidRPr="00FF66C2" w:rsidRDefault="00EF4B9C" w:rsidP="003D50A3">
            <w:pPr>
              <w:tabs>
                <w:tab w:val="left" w:pos="820"/>
              </w:tabs>
              <w:ind w:right="-72"/>
              <w:contextualSpacing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36601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All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Veterans are registered for the </w:t>
            </w:r>
            <w:r w:rsidR="00573D8E">
              <w:rPr>
                <w:rFonts w:eastAsiaTheme="minorHAnsi" w:cs="Arial"/>
                <w:sz w:val="22"/>
                <w:szCs w:val="22"/>
                <w:lang w:eastAsia="en-US"/>
              </w:rPr>
              <w:t>Participant Survey at exit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605C21">
              <w:rPr>
                <w:rFonts w:eastAsiaTheme="minorHAnsi" w:cs="Arial"/>
                <w:sz w:val="22"/>
                <w:szCs w:val="22"/>
                <w:lang w:eastAsia="en-US"/>
              </w:rPr>
              <w:t>*</w:t>
            </w:r>
          </w:p>
        </w:tc>
      </w:tr>
      <w:tr w:rsidR="003D50A3" w:rsidRPr="00FF66C2" w14:paraId="12CA013B" w14:textId="77777777" w:rsidTr="008C2887">
        <w:tc>
          <w:tcPr>
            <w:tcW w:w="10790" w:type="dxa"/>
          </w:tcPr>
          <w:p w14:paraId="6457AE63" w14:textId="19C6D0B0" w:rsidR="003D50A3" w:rsidRPr="00FF66C2" w:rsidRDefault="00EF4B9C" w:rsidP="003D50A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21468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program has </w:t>
            </w:r>
            <w:r w:rsidR="00573D8E">
              <w:rPr>
                <w:rFonts w:eastAsiaTheme="minorHAnsi" w:cs="Arial"/>
                <w:sz w:val="22"/>
                <w:szCs w:val="22"/>
                <w:lang w:eastAsia="en-US"/>
              </w:rPr>
              <w:t xml:space="preserve">a process to review results from either Participant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Survey or from an internal survey.</w:t>
            </w:r>
          </w:p>
        </w:tc>
      </w:tr>
      <w:tr w:rsidR="00573D8E" w:rsidRPr="00FF66C2" w14:paraId="4DBD4BFC" w14:textId="77777777" w:rsidTr="005B3FAA">
        <w:tc>
          <w:tcPr>
            <w:tcW w:w="10790" w:type="dxa"/>
          </w:tcPr>
          <w:p w14:paraId="36329650" w14:textId="6FF6A593" w:rsidR="00573D8E" w:rsidRPr="00FF66C2" w:rsidRDefault="00EF4B9C" w:rsidP="005B3FAA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62805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8E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73D8E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</w:t>
            </w:r>
            <w:r w:rsidR="00573D8E">
              <w:rPr>
                <w:rFonts w:eastAsiaTheme="minorHAnsi" w:cs="Arial"/>
                <w:sz w:val="22"/>
                <w:szCs w:val="22"/>
                <w:lang w:eastAsia="en-US"/>
              </w:rPr>
              <w:t>program has a clear practice for landlord rec</w:t>
            </w:r>
            <w:r w:rsidR="00A52E16">
              <w:rPr>
                <w:rFonts w:eastAsiaTheme="minorHAnsi" w:cs="Arial"/>
                <w:sz w:val="22"/>
                <w:szCs w:val="22"/>
                <w:lang w:eastAsia="en-US"/>
              </w:rPr>
              <w:t>ruitment and retention, including</w:t>
            </w:r>
            <w:r w:rsidR="00573D8E">
              <w:rPr>
                <w:rFonts w:eastAsiaTheme="minorHAnsi" w:cs="Arial"/>
                <w:sz w:val="22"/>
                <w:szCs w:val="22"/>
                <w:lang w:eastAsia="en-US"/>
              </w:rPr>
              <w:t xml:space="preserve"> support after move in.</w:t>
            </w:r>
          </w:p>
        </w:tc>
      </w:tr>
      <w:tr w:rsidR="00573D8E" w:rsidRPr="00FF66C2" w14:paraId="6F150DAC" w14:textId="77777777" w:rsidTr="005B3FAA">
        <w:tc>
          <w:tcPr>
            <w:tcW w:w="10790" w:type="dxa"/>
          </w:tcPr>
          <w:p w14:paraId="68B535D6" w14:textId="77777777" w:rsidR="006907E9" w:rsidRDefault="00EF4B9C" w:rsidP="005B3FAA">
            <w:pPr>
              <w:rPr>
                <w:iCs/>
                <w:sz w:val="22"/>
                <w:szCs w:val="22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34883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8E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573D8E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573D8E">
              <w:rPr>
                <w:rFonts w:eastAsiaTheme="minorHAnsi" w:cs="Arial"/>
                <w:sz w:val="22"/>
                <w:szCs w:val="22"/>
                <w:lang w:eastAsia="en-US"/>
              </w:rPr>
              <w:t>All staff, including fiscal team, have viewed SSVF</w:t>
            </w:r>
            <w:r w:rsidR="00573D8E" w:rsidRPr="006907E9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6907E9" w:rsidRPr="006907E9">
              <w:rPr>
                <w:iCs/>
                <w:sz w:val="22"/>
                <w:szCs w:val="22"/>
              </w:rPr>
              <w:t xml:space="preserve">Audit Guidelines, Fraud Prevention, Reporting and </w:t>
            </w:r>
          </w:p>
          <w:p w14:paraId="529667B3" w14:textId="4188AC2B" w:rsidR="00573D8E" w:rsidRPr="00FF66C2" w:rsidRDefault="006907E9" w:rsidP="005B3FAA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</w:rPr>
              <w:t xml:space="preserve">    </w:t>
            </w:r>
            <w:r w:rsidRPr="006907E9">
              <w:rPr>
                <w:iCs/>
                <w:sz w:val="22"/>
                <w:szCs w:val="22"/>
              </w:rPr>
              <w:t>Compliance Webinar</w:t>
            </w:r>
            <w:r w:rsidR="00573D8E" w:rsidRPr="006907E9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</w:tbl>
    <w:p w14:paraId="0096A814" w14:textId="234A16AA" w:rsidR="00FF66C2" w:rsidRDefault="00FF66C2" w:rsidP="00AB3263">
      <w:pPr>
        <w:rPr>
          <w:rFonts w:eastAsiaTheme="minorHAnsi" w:cs="Arial"/>
          <w:sz w:val="30"/>
          <w:szCs w:val="30"/>
          <w:lang w:eastAsia="en-US"/>
        </w:rPr>
      </w:pPr>
    </w:p>
    <w:p w14:paraId="6C5433FF" w14:textId="54BADBA6" w:rsidR="00FF66C2" w:rsidRDefault="00FF66C2" w:rsidP="00AB3263">
      <w:pPr>
        <w:rPr>
          <w:rFonts w:eastAsiaTheme="minorHAnsi" w:cs="Arial"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41E3D8EE" w14:textId="77777777" w:rsidTr="00AC24C9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6581DC0D" w14:textId="178DA807" w:rsidR="003D50A3" w:rsidRPr="00AC24C9" w:rsidRDefault="003D50A3" w:rsidP="00AC24C9">
            <w:pPr>
              <w:tabs>
                <w:tab w:val="left" w:pos="820"/>
              </w:tabs>
              <w:ind w:right="-72"/>
              <w:contextualSpacing/>
              <w:jc w:val="left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Subcontractor Management</w:t>
            </w:r>
          </w:p>
        </w:tc>
      </w:tr>
      <w:tr w:rsidR="003D50A3" w:rsidRPr="00FF66C2" w14:paraId="4B2576B4" w14:textId="77777777" w:rsidTr="003D50A3">
        <w:tc>
          <w:tcPr>
            <w:tcW w:w="10790" w:type="dxa"/>
          </w:tcPr>
          <w:p w14:paraId="5D06061D" w14:textId="3C825455" w:rsidR="003D50A3" w:rsidRPr="00FF66C2" w:rsidRDefault="00EF4B9C" w:rsidP="003D50A3">
            <w:pPr>
              <w:tabs>
                <w:tab w:val="left" w:pos="820"/>
              </w:tabs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9794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are signed and current agreements between the grantee and each subcontractor paid on SSVF.</w:t>
            </w:r>
          </w:p>
        </w:tc>
      </w:tr>
      <w:tr w:rsidR="003D50A3" w:rsidRPr="00FF66C2" w14:paraId="13EB5BAB" w14:textId="77777777" w:rsidTr="003D50A3">
        <w:tc>
          <w:tcPr>
            <w:tcW w:w="10790" w:type="dxa"/>
          </w:tcPr>
          <w:p w14:paraId="7747AE01" w14:textId="1FCBFE23" w:rsidR="003D50A3" w:rsidRPr="00FF66C2" w:rsidRDefault="00EF4B9C" w:rsidP="003D50A3">
            <w:pPr>
              <w:tabs>
                <w:tab w:val="left" w:pos="820"/>
              </w:tabs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85741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is a written plan for monitoring</w:t>
            </w:r>
            <w:r w:rsidR="00573D8E">
              <w:rPr>
                <w:rFonts w:eastAsiaTheme="minorHAnsi" w:cs="Arial"/>
                <w:sz w:val="22"/>
                <w:szCs w:val="22"/>
                <w:lang w:eastAsia="en-US"/>
              </w:rPr>
              <w:t xml:space="preserve"> (quarterly and annually)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managing the work of the subcontractor.</w:t>
            </w:r>
          </w:p>
        </w:tc>
      </w:tr>
      <w:tr w:rsidR="003D50A3" w:rsidRPr="00FF66C2" w14:paraId="76DC30E7" w14:textId="77777777" w:rsidTr="003D50A3">
        <w:tc>
          <w:tcPr>
            <w:tcW w:w="10790" w:type="dxa"/>
          </w:tcPr>
          <w:p w14:paraId="472879F9" w14:textId="4D196ED1" w:rsidR="003D50A3" w:rsidRPr="00FF66C2" w:rsidRDefault="00EF4B9C" w:rsidP="003D50A3">
            <w:pPr>
              <w:tabs>
                <w:tab w:val="left" w:pos="820"/>
              </w:tabs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77400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agreements describe in detail the services and duties to be performed by the subcontractor.</w:t>
            </w:r>
          </w:p>
        </w:tc>
      </w:tr>
      <w:tr w:rsidR="003D50A3" w:rsidRPr="00FF66C2" w14:paraId="3C1B6FED" w14:textId="77777777" w:rsidTr="003D50A3">
        <w:tc>
          <w:tcPr>
            <w:tcW w:w="10790" w:type="dxa"/>
          </w:tcPr>
          <w:p w14:paraId="784CF9E3" w14:textId="62A0041C" w:rsidR="003D50A3" w:rsidRPr="00FF66C2" w:rsidRDefault="00EF4B9C" w:rsidP="003D50A3">
            <w:pPr>
              <w:tabs>
                <w:tab w:val="left" w:pos="820"/>
              </w:tabs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76198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Grantee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has a copy of the subcontractor’s SSVF P&amp;Ps, or indicates</w:t>
            </w:r>
            <w:r w:rsidR="00573D8E">
              <w:rPr>
                <w:rFonts w:eastAsiaTheme="minorHAnsi" w:cs="Arial"/>
                <w:sz w:val="22"/>
                <w:szCs w:val="22"/>
                <w:lang w:eastAsia="en-US"/>
              </w:rPr>
              <w:t xml:space="preserve"> in writing they abide by grantee P&amp;Ps.</w:t>
            </w:r>
          </w:p>
        </w:tc>
      </w:tr>
      <w:tr w:rsidR="003D50A3" w:rsidRPr="00FF66C2" w14:paraId="6E106D38" w14:textId="77777777" w:rsidTr="003D50A3">
        <w:tc>
          <w:tcPr>
            <w:tcW w:w="10790" w:type="dxa"/>
          </w:tcPr>
          <w:p w14:paraId="03A1B7AF" w14:textId="7028D0C6" w:rsidR="003D50A3" w:rsidRPr="00FF66C2" w:rsidRDefault="00EF4B9C" w:rsidP="003D50A3">
            <w:pPr>
              <w:tabs>
                <w:tab w:val="left" w:pos="820"/>
              </w:tabs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6720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agreement has a clear </w:t>
            </w:r>
            <w:r w:rsidR="00573D8E">
              <w:rPr>
                <w:rFonts w:eastAsiaTheme="minorHAnsi" w:cs="Arial"/>
                <w:sz w:val="22"/>
                <w:szCs w:val="22"/>
                <w:lang w:eastAsia="en-US"/>
              </w:rPr>
              <w:t xml:space="preserve">payment guidelines and a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statement for h</w:t>
            </w:r>
            <w:r w:rsidR="00573D8E">
              <w:rPr>
                <w:rFonts w:eastAsiaTheme="minorHAnsi" w:cs="Arial"/>
                <w:sz w:val="22"/>
                <w:szCs w:val="22"/>
                <w:lang w:eastAsia="en-US"/>
              </w:rPr>
              <w:t>ow the contract can be amended.</w:t>
            </w:r>
          </w:p>
        </w:tc>
      </w:tr>
    </w:tbl>
    <w:p w14:paraId="37368D14" w14:textId="77777777" w:rsidR="00FF66C2" w:rsidRPr="00FF66C2" w:rsidRDefault="00FF66C2" w:rsidP="00AB3263">
      <w:pPr>
        <w:tabs>
          <w:tab w:val="left" w:pos="820"/>
        </w:tabs>
        <w:ind w:right="-72"/>
        <w:contextualSpacing/>
        <w:rPr>
          <w:rFonts w:eastAsiaTheme="minorHAnsi" w:cs="Arial"/>
          <w:b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124C" w:rsidRPr="00AC24C9" w14:paraId="192D29C5" w14:textId="77777777" w:rsidTr="00C75B96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1ACBD814" w14:textId="77777777" w:rsidR="0064124C" w:rsidRPr="00AC24C9" w:rsidRDefault="0064124C" w:rsidP="00C75B96">
            <w:pPr>
              <w:ind w:right="-72"/>
              <w:contextualSpacing/>
              <w:jc w:val="left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Outreach</w:t>
            </w:r>
          </w:p>
        </w:tc>
      </w:tr>
      <w:tr w:rsidR="0064124C" w:rsidRPr="00FF66C2" w14:paraId="0EC384DF" w14:textId="77777777" w:rsidTr="00C75B96">
        <w:tc>
          <w:tcPr>
            <w:tcW w:w="10790" w:type="dxa"/>
          </w:tcPr>
          <w:p w14:paraId="21D9429F" w14:textId="77777777" w:rsidR="00971C1A" w:rsidRPr="00FF66C2" w:rsidRDefault="00EF4B9C" w:rsidP="00971C1A">
            <w:pPr>
              <w:ind w:right="-72"/>
              <w:contextualSpacing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58837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>Outreach logs show consistent, r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>egular outreach to include when, where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, who </w:t>
            </w:r>
            <w:r w:rsidR="00971C1A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the staff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met with, and what </w:t>
            </w:r>
          </w:p>
          <w:p w14:paraId="19B37656" w14:textId="4025CDC6" w:rsidR="00971C1A" w:rsidRPr="00FF66C2" w:rsidRDefault="00971C1A" w:rsidP="00971C1A">
            <w:pPr>
              <w:ind w:right="-72"/>
              <w:contextualSpacing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>was done.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or programs where 100% of the outreach and referrals are done through the community’s </w:t>
            </w:r>
          </w:p>
          <w:p w14:paraId="22B82DD8" w14:textId="10EFECA5" w:rsidR="0064124C" w:rsidRPr="00FF66C2" w:rsidRDefault="00971C1A" w:rsidP="00971C1A">
            <w:pPr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coordinated entry system, there </w:t>
            </w:r>
            <w:r w:rsidR="00DB1111">
              <w:rPr>
                <w:rFonts w:eastAsiaTheme="minorHAnsi" w:cs="Arial"/>
                <w:sz w:val="22"/>
                <w:szCs w:val="22"/>
                <w:lang w:eastAsia="en-US"/>
              </w:rPr>
              <w:t>is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 written policy on this practice.</w:t>
            </w:r>
          </w:p>
        </w:tc>
      </w:tr>
      <w:tr w:rsidR="0064124C" w:rsidRPr="00FF66C2" w14:paraId="42F14D0D" w14:textId="77777777" w:rsidTr="00C75B96">
        <w:tc>
          <w:tcPr>
            <w:tcW w:w="10790" w:type="dxa"/>
          </w:tcPr>
          <w:p w14:paraId="7DCD2AD6" w14:textId="5F411C0B" w:rsidR="0064124C" w:rsidRPr="00FF66C2" w:rsidRDefault="00EF4B9C" w:rsidP="00C75B96">
            <w:pPr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212700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Logs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>include documentation of outreach to all CoCs</w:t>
            </w:r>
            <w:r w:rsidR="000C5767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0C5767">
              <w:rPr>
                <w:rFonts w:eastAsiaTheme="minorHAnsi" w:cs="Arial"/>
                <w:sz w:val="22"/>
                <w:szCs w:val="22"/>
                <w:lang w:eastAsia="en-US"/>
              </w:rPr>
              <w:t xml:space="preserve">and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>all counties and communities in service area.</w:t>
            </w:r>
          </w:p>
        </w:tc>
      </w:tr>
      <w:tr w:rsidR="0064124C" w:rsidRPr="00FF66C2" w14:paraId="4A8BF1D0" w14:textId="77777777" w:rsidTr="00C75B96">
        <w:tc>
          <w:tcPr>
            <w:tcW w:w="10790" w:type="dxa"/>
          </w:tcPr>
          <w:p w14:paraId="3E25C88F" w14:textId="6A7FAE0D" w:rsidR="0064124C" w:rsidRPr="00FF66C2" w:rsidRDefault="00EF4B9C" w:rsidP="00C75B96">
            <w:pPr>
              <w:ind w:right="-72"/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7645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Outreach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logs include outreach to hard-to-reach populations and targeting of homeless Veterans. </w:t>
            </w:r>
          </w:p>
        </w:tc>
      </w:tr>
      <w:tr w:rsidR="0064124C" w:rsidRPr="00FF66C2" w14:paraId="28DF1F86" w14:textId="77777777" w:rsidTr="00C75B96">
        <w:tc>
          <w:tcPr>
            <w:tcW w:w="10790" w:type="dxa"/>
          </w:tcPr>
          <w:p w14:paraId="2F4571DD" w14:textId="77777777" w:rsidR="002B245F" w:rsidRDefault="00EF4B9C" w:rsidP="00DB1111">
            <w:pPr>
              <w:ind w:left="340" w:right="-72" w:hanging="340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81127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>program is a part of each CoC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’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s </w:t>
            </w:r>
            <w:r w:rsidR="00DB1111">
              <w:rPr>
                <w:rFonts w:eastAsiaTheme="minorHAnsi" w:cs="Arial"/>
                <w:sz w:val="22"/>
                <w:szCs w:val="22"/>
                <w:lang w:eastAsia="en-US"/>
              </w:rPr>
              <w:t>CES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take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refer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rals directly from the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>system. If CE</w:t>
            </w:r>
            <w:r w:rsidR="00DB1111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is </w:t>
            </w:r>
            <w:r w:rsidR="002B245F">
              <w:rPr>
                <w:rFonts w:eastAsiaTheme="minorHAnsi" w:cs="Arial"/>
                <w:sz w:val="22"/>
                <w:szCs w:val="22"/>
                <w:lang w:eastAsia="en-US"/>
              </w:rPr>
              <w:t xml:space="preserve">not in </w:t>
            </w:r>
          </w:p>
          <w:p w14:paraId="0DC872EB" w14:textId="77777777" w:rsidR="002B245F" w:rsidRDefault="002B245F" w:rsidP="00DB1111">
            <w:pPr>
              <w:ind w:left="340" w:right="-72" w:hanging="340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place, logs should include outreach to private organizations, state and local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government agencies, and </w:t>
            </w:r>
          </w:p>
          <w:p w14:paraId="75C8868F" w14:textId="3E81BC53" w:rsidR="0064124C" w:rsidRPr="00FF66C2" w:rsidRDefault="002B245F" w:rsidP="00DB1111">
            <w:pPr>
              <w:ind w:left="340" w:right="-72" w:hanging="340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64124C" w:rsidRPr="00FF66C2">
              <w:rPr>
                <w:rFonts w:eastAsiaTheme="minorHAnsi" w:cs="Arial"/>
                <w:sz w:val="22"/>
                <w:szCs w:val="22"/>
                <w:lang w:eastAsia="en-US"/>
              </w:rPr>
              <w:t>other community providers.</w:t>
            </w:r>
          </w:p>
        </w:tc>
      </w:tr>
    </w:tbl>
    <w:p w14:paraId="381792F9" w14:textId="77777777" w:rsidR="00FF66C2" w:rsidRPr="00FF66C2" w:rsidRDefault="00FF66C2" w:rsidP="00AB3263">
      <w:pPr>
        <w:tabs>
          <w:tab w:val="left" w:pos="820"/>
        </w:tabs>
        <w:ind w:right="-72"/>
        <w:contextualSpacing/>
        <w:rPr>
          <w:rFonts w:eastAsiaTheme="minorHAnsi" w:cs="Arial"/>
          <w:b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468516DD" w14:textId="77777777" w:rsidTr="00AC24C9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2AD24566" w14:textId="77777777" w:rsidR="003D50A3" w:rsidRDefault="003D50A3" w:rsidP="00AC24C9">
            <w:pPr>
              <w:jc w:val="left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Eligibility</w:t>
            </w:r>
          </w:p>
          <w:p w14:paraId="49AB2A5D" w14:textId="0C9A925B" w:rsidR="004654B2" w:rsidRPr="00AE37AF" w:rsidRDefault="004654B2" w:rsidP="00AC24C9">
            <w:pPr>
              <w:jc w:val="left"/>
              <w:rPr>
                <w:rFonts w:eastAsiaTheme="minorHAnsi" w:cs="Arial"/>
                <w:b/>
                <w:i/>
                <w:sz w:val="24"/>
                <w:lang w:eastAsia="en-US"/>
              </w:rPr>
            </w:pPr>
            <w:r w:rsidRPr="00AE37AF">
              <w:rPr>
                <w:rFonts w:eastAsiaTheme="minorHAnsi" w:cs="Arial"/>
                <w:i/>
                <w:sz w:val="22"/>
                <w:szCs w:val="22"/>
                <w:lang w:eastAsia="en-US"/>
              </w:rPr>
              <w:t>For documentation standards and suggestions for meeting each requirement, see the SSVF Case File Tool.</w:t>
            </w:r>
          </w:p>
        </w:tc>
      </w:tr>
      <w:tr w:rsidR="003D50A3" w:rsidRPr="00FF66C2" w14:paraId="5781D919" w14:textId="77777777" w:rsidTr="003D50A3">
        <w:tc>
          <w:tcPr>
            <w:tcW w:w="10790" w:type="dxa"/>
          </w:tcPr>
          <w:p w14:paraId="7ACAF765" w14:textId="65DF81F5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9157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are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“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screened but not enrolled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”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logs</w:t>
            </w:r>
            <w:r w:rsidR="00597BD9" w:rsidRPr="00FF66C2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including reasons for denial and where Veterans were referred. </w:t>
            </w:r>
          </w:p>
        </w:tc>
      </w:tr>
      <w:tr w:rsidR="003D50A3" w:rsidRPr="00FF66C2" w14:paraId="60E13D8B" w14:textId="77777777" w:rsidTr="003D50A3">
        <w:tc>
          <w:tcPr>
            <w:tcW w:w="10790" w:type="dxa"/>
          </w:tcPr>
          <w:p w14:paraId="2B727437" w14:textId="30AD7023" w:rsidR="003D50A3" w:rsidRPr="00FF66C2" w:rsidRDefault="00EF4B9C" w:rsidP="008C2887">
            <w:pPr>
              <w:tabs>
                <w:tab w:val="left" w:pos="820"/>
              </w:tabs>
              <w:contextualSpacing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98396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ha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>ve clear evidence of eligible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Veteran status.</w:t>
            </w:r>
          </w:p>
        </w:tc>
      </w:tr>
      <w:tr w:rsidR="003D50A3" w:rsidRPr="00FF66C2" w14:paraId="53D8123E" w14:textId="77777777" w:rsidTr="003D50A3">
        <w:tc>
          <w:tcPr>
            <w:tcW w:w="10790" w:type="dxa"/>
          </w:tcPr>
          <w:p w14:paraId="3C02D5FD" w14:textId="1BE52757" w:rsidR="003D50A3" w:rsidRPr="00FF66C2" w:rsidRDefault="00EF4B9C" w:rsidP="008C2887">
            <w:pPr>
              <w:contextualSpacing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14046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Files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have evidence of Veteran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housing status: Homeless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ness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Prevention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(HP) or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Rapid Rehousing</w:t>
            </w:r>
            <w:r w:rsidR="00DB1111">
              <w:rPr>
                <w:rFonts w:eastAsiaTheme="minorHAnsi" w:cs="Arial"/>
                <w:sz w:val="22"/>
                <w:szCs w:val="22"/>
                <w:lang w:eastAsia="en-US"/>
              </w:rPr>
              <w:t>(RRH).</w:t>
            </w:r>
          </w:p>
        </w:tc>
      </w:tr>
      <w:tr w:rsidR="003D50A3" w:rsidRPr="00FF66C2" w14:paraId="02FAFCA2" w14:textId="77777777" w:rsidTr="003D50A3">
        <w:tc>
          <w:tcPr>
            <w:tcW w:w="10790" w:type="dxa"/>
          </w:tcPr>
          <w:p w14:paraId="2340AB5E" w14:textId="323E182F" w:rsidR="003D50A3" w:rsidRPr="00FF66C2" w:rsidRDefault="00EF4B9C" w:rsidP="008C2887">
            <w:pPr>
              <w:contextualSpacing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33365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HP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files have comple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ted screening tool and meet 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threshold score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597BD9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if receiving TFA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3D50A3" w:rsidRPr="00FF66C2" w14:paraId="1D63C350" w14:textId="77777777" w:rsidTr="003D50A3">
        <w:tc>
          <w:tcPr>
            <w:tcW w:w="10790" w:type="dxa"/>
          </w:tcPr>
          <w:p w14:paraId="71BA9144" w14:textId="48CF2F95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85963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have clear income and asset documentation to show client is under 30% or 50% AMI.</w:t>
            </w:r>
          </w:p>
        </w:tc>
      </w:tr>
      <w:tr w:rsidR="003D50A3" w:rsidRPr="00FF66C2" w14:paraId="53FA9103" w14:textId="77777777" w:rsidTr="003D50A3">
        <w:tc>
          <w:tcPr>
            <w:tcW w:w="10790" w:type="dxa"/>
          </w:tcPr>
          <w:p w14:paraId="174883F2" w14:textId="3E915125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46757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Clients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in the program over </w:t>
            </w:r>
            <w:r w:rsidR="00A52E16">
              <w:rPr>
                <w:rFonts w:eastAsiaTheme="minorHAnsi" w:cs="Arial"/>
                <w:sz w:val="22"/>
                <w:szCs w:val="22"/>
                <w:lang w:eastAsia="en-US"/>
              </w:rPr>
              <w:t>3 months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are </w:t>
            </w:r>
            <w:r w:rsidR="00D41AD0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recertified,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including updated income</w:t>
            </w:r>
            <w:r w:rsidR="00D41AD0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documentation</w:t>
            </w:r>
            <w:r w:rsidR="00F939C3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605C21">
              <w:rPr>
                <w:rFonts w:eastAsiaTheme="minorHAnsi" w:cs="Arial"/>
                <w:sz w:val="22"/>
                <w:szCs w:val="22"/>
                <w:lang w:eastAsia="en-US"/>
              </w:rPr>
              <w:t>*</w:t>
            </w:r>
          </w:p>
        </w:tc>
      </w:tr>
      <w:tr w:rsidR="003D50A3" w:rsidRPr="00FF66C2" w14:paraId="04EAA791" w14:textId="77777777" w:rsidTr="003D50A3">
        <w:tc>
          <w:tcPr>
            <w:tcW w:w="10790" w:type="dxa"/>
          </w:tcPr>
          <w:p w14:paraId="4E99FF79" w14:textId="60A52B97" w:rsidR="003D50A3" w:rsidRPr="00FF66C2" w:rsidRDefault="00EF4B9C" w:rsidP="008C2887">
            <w:pPr>
              <w:contextualSpacing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78935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Exited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files </w:t>
            </w:r>
            <w:r w:rsidR="00A350B2">
              <w:rPr>
                <w:rFonts w:eastAsiaTheme="minorHAnsi" w:cs="Arial"/>
                <w:sz w:val="22"/>
                <w:szCs w:val="22"/>
                <w:lang w:eastAsia="en-US"/>
              </w:rPr>
              <w:t xml:space="preserve">document exit criteria or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have </w:t>
            </w:r>
            <w:r w:rsidR="00682682">
              <w:rPr>
                <w:rFonts w:eastAsiaTheme="minorHAnsi" w:cs="Arial"/>
                <w:sz w:val="22"/>
                <w:szCs w:val="22"/>
                <w:lang w:eastAsia="en-US"/>
              </w:rPr>
              <w:t>the SSVF</w:t>
            </w:r>
            <w:r w:rsidR="00A350B2">
              <w:rPr>
                <w:rFonts w:eastAsiaTheme="minorHAnsi" w:cs="Arial"/>
                <w:sz w:val="22"/>
                <w:szCs w:val="22"/>
                <w:lang w:eastAsia="en-US"/>
              </w:rPr>
              <w:t xml:space="preserve"> Program</w:t>
            </w:r>
            <w:r w:rsidR="00682682">
              <w:rPr>
                <w:rFonts w:eastAsiaTheme="minorHAnsi" w:cs="Arial"/>
                <w:sz w:val="22"/>
                <w:szCs w:val="22"/>
                <w:lang w:eastAsia="en-US"/>
              </w:rPr>
              <w:t xml:space="preserve"> Exit Checklist</w:t>
            </w:r>
            <w:r w:rsidR="002763BF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3D50A3" w:rsidRPr="00FF66C2" w14:paraId="45AA3C41" w14:textId="77777777" w:rsidTr="003D50A3">
        <w:tc>
          <w:tcPr>
            <w:tcW w:w="10790" w:type="dxa"/>
          </w:tcPr>
          <w:p w14:paraId="392B1AA7" w14:textId="79FD219F" w:rsidR="003D50A3" w:rsidRPr="00FF66C2" w:rsidRDefault="00EF4B9C" w:rsidP="003D50A3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24548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If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self-certifying housing status or income, there are written attempts at getting third party documentation.</w:t>
            </w:r>
          </w:p>
        </w:tc>
      </w:tr>
      <w:tr w:rsidR="003D50A3" w:rsidRPr="00FF66C2" w14:paraId="70C6756A" w14:textId="77777777" w:rsidTr="003D50A3">
        <w:tc>
          <w:tcPr>
            <w:tcW w:w="10790" w:type="dxa"/>
          </w:tcPr>
          <w:p w14:paraId="2ED65D4F" w14:textId="01E92993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25262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All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client files have signed releases of information</w:t>
            </w:r>
            <w:r w:rsidR="002763BF">
              <w:rPr>
                <w:rFonts w:eastAsiaTheme="minorHAnsi" w:cs="Arial"/>
                <w:sz w:val="22"/>
                <w:szCs w:val="22"/>
                <w:lang w:eastAsia="en-US"/>
              </w:rPr>
              <w:t xml:space="preserve"> for each third party addressed, including HMIS release.</w:t>
            </w:r>
          </w:p>
        </w:tc>
      </w:tr>
      <w:tr w:rsidR="00D41AD0" w:rsidRPr="00FF66C2" w14:paraId="22CA7F22" w14:textId="77777777" w:rsidTr="003D50A3">
        <w:tc>
          <w:tcPr>
            <w:tcW w:w="10790" w:type="dxa"/>
          </w:tcPr>
          <w:p w14:paraId="247E77E6" w14:textId="7949E450" w:rsidR="00D41AD0" w:rsidRPr="00FF66C2" w:rsidRDefault="00EF4B9C" w:rsidP="00D41AD0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76561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bookmarkStart w:id="0" w:name="_Hlk497736436"/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All files </w:t>
            </w:r>
            <w:r w:rsidR="00D41AD0" w:rsidRPr="00FF66C2">
              <w:rPr>
                <w:rFonts w:eastAsiaTheme="minorHAnsi" w:cs="Arial"/>
                <w:sz w:val="22"/>
                <w:lang w:eastAsia="en-US"/>
              </w:rPr>
              <w:t xml:space="preserve">have a </w:t>
            </w:r>
            <w:r w:rsidR="00AD7F47">
              <w:rPr>
                <w:rFonts w:eastAsiaTheme="minorHAnsi" w:cs="Arial"/>
                <w:sz w:val="22"/>
                <w:lang w:eastAsia="en-US"/>
              </w:rPr>
              <w:t>signed S</w:t>
            </w:r>
            <w:r w:rsidR="00D41AD0" w:rsidRPr="00FF66C2">
              <w:rPr>
                <w:rFonts w:eastAsiaTheme="minorHAnsi" w:cs="Arial"/>
                <w:sz w:val="22"/>
                <w:lang w:eastAsia="en-US"/>
              </w:rPr>
              <w:t xml:space="preserve">taff </w:t>
            </w:r>
            <w:r w:rsidR="00AD7F47">
              <w:rPr>
                <w:rFonts w:eastAsiaTheme="minorHAnsi" w:cs="Arial"/>
                <w:sz w:val="22"/>
                <w:lang w:eastAsia="en-US"/>
              </w:rPr>
              <w:t>Certification of Eligibility and a Staff Re-certification of E</w:t>
            </w:r>
            <w:r w:rsidR="00D41AD0" w:rsidRPr="00FF66C2">
              <w:rPr>
                <w:rFonts w:eastAsiaTheme="minorHAnsi" w:cs="Arial"/>
                <w:sz w:val="22"/>
                <w:lang w:eastAsia="en-US"/>
              </w:rPr>
              <w:t xml:space="preserve">ligibility (if </w:t>
            </w:r>
            <w:r w:rsidR="00AD7F47">
              <w:rPr>
                <w:rFonts w:eastAsiaTheme="minorHAnsi" w:cs="Arial"/>
                <w:sz w:val="22"/>
                <w:lang w:eastAsia="en-US"/>
              </w:rPr>
              <w:t>applicable).</w:t>
            </w:r>
            <w:bookmarkEnd w:id="0"/>
          </w:p>
        </w:tc>
      </w:tr>
    </w:tbl>
    <w:p w14:paraId="7485DBC0" w14:textId="77777777" w:rsidR="00FF66C2" w:rsidRPr="00FF66C2" w:rsidRDefault="00FF66C2" w:rsidP="00AB3263">
      <w:pPr>
        <w:ind w:right="-72"/>
        <w:contextualSpacing/>
        <w:rPr>
          <w:rFonts w:eastAsiaTheme="minorHAnsi" w:cs="Arial"/>
          <w:b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79DB69F8" w14:textId="77777777" w:rsidTr="00AC24C9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055EE850" w14:textId="77777777" w:rsidR="003D50A3" w:rsidRDefault="003D50A3" w:rsidP="00AC24C9">
            <w:pPr>
              <w:contextualSpacing/>
              <w:jc w:val="left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Services</w:t>
            </w:r>
          </w:p>
          <w:p w14:paraId="7FA50C72" w14:textId="206095DB" w:rsidR="004654B2" w:rsidRPr="00AE37AF" w:rsidRDefault="004654B2" w:rsidP="00AC24C9">
            <w:pPr>
              <w:contextualSpacing/>
              <w:jc w:val="left"/>
              <w:rPr>
                <w:rFonts w:eastAsiaTheme="minorHAnsi" w:cs="Arial"/>
                <w:b/>
                <w:i/>
                <w:sz w:val="24"/>
                <w:lang w:eastAsia="en-US"/>
              </w:rPr>
            </w:pPr>
            <w:r w:rsidRPr="00AE37AF">
              <w:rPr>
                <w:rFonts w:eastAsiaTheme="minorHAnsi" w:cs="Arial"/>
                <w:i/>
                <w:sz w:val="22"/>
                <w:szCs w:val="22"/>
                <w:lang w:eastAsia="en-US"/>
              </w:rPr>
              <w:t>For documentation standards and suggestions for meeting each requirement, see the SSVF Case File Tool.</w:t>
            </w:r>
          </w:p>
        </w:tc>
      </w:tr>
      <w:tr w:rsidR="003D50A3" w:rsidRPr="00FF66C2" w14:paraId="70D91706" w14:textId="77777777" w:rsidTr="003D50A3">
        <w:tc>
          <w:tcPr>
            <w:tcW w:w="10790" w:type="dxa"/>
          </w:tcPr>
          <w:p w14:paraId="717D5955" w14:textId="2F40886F" w:rsidR="003D50A3" w:rsidRPr="00FF66C2" w:rsidRDefault="00EF4B9C" w:rsidP="00793CCD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9101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Staff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understand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H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ousing </w:t>
            </w:r>
            <w:r w:rsidR="00C30B9E" w:rsidRPr="00FF66C2">
              <w:rPr>
                <w:rFonts w:eastAsiaTheme="minorHAnsi" w:cs="Arial"/>
                <w:sz w:val="22"/>
                <w:szCs w:val="22"/>
                <w:lang w:eastAsia="en-US"/>
              </w:rPr>
              <w:t>F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irst and how to implement and house Veterans stably using the approach.</w:t>
            </w:r>
          </w:p>
        </w:tc>
      </w:tr>
      <w:tr w:rsidR="003D50A3" w:rsidRPr="00FF66C2" w14:paraId="07726D18" w14:textId="77777777" w:rsidTr="003D50A3">
        <w:tc>
          <w:tcPr>
            <w:tcW w:w="10790" w:type="dxa"/>
          </w:tcPr>
          <w:p w14:paraId="535538D7" w14:textId="4AB5BE96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72999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have clear referrals to VA programs and follow up 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>for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those ref</w:t>
            </w:r>
            <w:r w:rsidR="00DB1111">
              <w:rPr>
                <w:rFonts w:eastAsiaTheme="minorHAnsi" w:cs="Arial"/>
                <w:sz w:val="22"/>
                <w:szCs w:val="22"/>
                <w:lang w:eastAsia="en-US"/>
              </w:rPr>
              <w:t>errals documented in the files.</w:t>
            </w:r>
          </w:p>
        </w:tc>
      </w:tr>
      <w:tr w:rsidR="003D50A3" w:rsidRPr="00FF66C2" w14:paraId="03FCC54B" w14:textId="77777777" w:rsidTr="003D50A3">
        <w:tc>
          <w:tcPr>
            <w:tcW w:w="10790" w:type="dxa"/>
          </w:tcPr>
          <w:p w14:paraId="4BCFF527" w14:textId="74B71BD6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8486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have clear referrals to mainstream programs and follow up 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>for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those ref</w:t>
            </w:r>
            <w:r w:rsidR="00DB1111">
              <w:rPr>
                <w:rFonts w:eastAsiaTheme="minorHAnsi" w:cs="Arial"/>
                <w:sz w:val="22"/>
                <w:szCs w:val="22"/>
                <w:lang w:eastAsia="en-US"/>
              </w:rPr>
              <w:t>errals documented in the files.</w:t>
            </w:r>
          </w:p>
        </w:tc>
      </w:tr>
      <w:tr w:rsidR="003D50A3" w:rsidRPr="00FF66C2" w14:paraId="3B0080C4" w14:textId="77777777" w:rsidTr="003D50A3">
        <w:tc>
          <w:tcPr>
            <w:tcW w:w="10790" w:type="dxa"/>
          </w:tcPr>
          <w:p w14:paraId="4D67ED36" w14:textId="77777777" w:rsidR="00AE37AF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64596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have individualized plans with goals, action steps, person responsible, and ongoing assessments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of  </w:t>
            </w:r>
          </w:p>
          <w:p w14:paraId="132985D9" w14:textId="5856840A" w:rsidR="003D50A3" w:rsidRPr="00FF66C2" w:rsidRDefault="00AE37AF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0A25BB" w:rsidRPr="00FF66C2">
              <w:rPr>
                <w:rFonts w:eastAsiaTheme="minorHAnsi" w:cs="Arial"/>
                <w:sz w:val="22"/>
                <w:szCs w:val="22"/>
                <w:lang w:eastAsia="en-US"/>
              </w:rPr>
              <w:t>plans with updated goals and actions steps as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steps and goals are accomplished</w:t>
            </w:r>
            <w:r w:rsidR="00DB1111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605C21">
              <w:rPr>
                <w:rFonts w:eastAsiaTheme="minorHAnsi" w:cs="Arial"/>
                <w:sz w:val="22"/>
                <w:szCs w:val="22"/>
                <w:lang w:eastAsia="en-US"/>
              </w:rPr>
              <w:t>*</w:t>
            </w:r>
          </w:p>
        </w:tc>
      </w:tr>
      <w:tr w:rsidR="003D50A3" w:rsidRPr="00FF66C2" w14:paraId="7035875D" w14:textId="77777777" w:rsidTr="003D50A3">
        <w:tc>
          <w:tcPr>
            <w:tcW w:w="10790" w:type="dxa"/>
          </w:tcPr>
          <w:p w14:paraId="1D58BC1E" w14:textId="30CF682C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8636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have clear evidence of housing counseling, including assistance with housing search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DB1111">
              <w:rPr>
                <w:rFonts w:eastAsiaTheme="minorHAnsi" w:cs="Arial"/>
                <w:sz w:val="22"/>
                <w:szCs w:val="22"/>
                <w:lang w:eastAsia="en-US"/>
              </w:rPr>
              <w:t xml:space="preserve"> if needed.</w:t>
            </w:r>
          </w:p>
        </w:tc>
      </w:tr>
      <w:tr w:rsidR="003D50A3" w:rsidRPr="00FF66C2" w14:paraId="48C34947" w14:textId="77777777" w:rsidTr="003D50A3">
        <w:tc>
          <w:tcPr>
            <w:tcW w:w="10790" w:type="dxa"/>
          </w:tcPr>
          <w:p w14:paraId="5096EB07" w14:textId="432996BC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96160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have clear ev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idence of assessing client need and offering services/referrals based on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those needs.</w:t>
            </w:r>
          </w:p>
        </w:tc>
      </w:tr>
      <w:tr w:rsidR="003D50A3" w:rsidRPr="00FF66C2" w14:paraId="35CAE322" w14:textId="77777777" w:rsidTr="003D50A3">
        <w:tc>
          <w:tcPr>
            <w:tcW w:w="10790" w:type="dxa"/>
          </w:tcPr>
          <w:p w14:paraId="06DF0B8D" w14:textId="457ED7B4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69435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have </w:t>
            </w:r>
            <w:r w:rsidR="00F25227">
              <w:rPr>
                <w:rFonts w:eastAsiaTheme="minorHAnsi" w:cs="Arial"/>
                <w:sz w:val="22"/>
                <w:szCs w:val="22"/>
                <w:lang w:eastAsia="en-US"/>
              </w:rPr>
              <w:t>r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ent </w:t>
            </w:r>
            <w:r w:rsidR="00F25227">
              <w:rPr>
                <w:rFonts w:eastAsiaTheme="minorHAnsi" w:cs="Arial"/>
                <w:sz w:val="22"/>
                <w:szCs w:val="22"/>
                <w:lang w:eastAsia="en-US"/>
              </w:rPr>
              <w:t>r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easonableness assessments i</w:t>
            </w:r>
            <w:r w:rsidR="00DB1111">
              <w:rPr>
                <w:rFonts w:eastAsiaTheme="minorHAnsi" w:cs="Arial"/>
                <w:sz w:val="22"/>
                <w:szCs w:val="22"/>
                <w:lang w:eastAsia="en-US"/>
              </w:rPr>
              <w:t>f paying housing costs.</w:t>
            </w:r>
          </w:p>
        </w:tc>
      </w:tr>
      <w:tr w:rsidR="003D50A3" w:rsidRPr="00FF66C2" w14:paraId="7E9620E4" w14:textId="77777777" w:rsidTr="003D50A3">
        <w:tc>
          <w:tcPr>
            <w:tcW w:w="10790" w:type="dxa"/>
          </w:tcPr>
          <w:p w14:paraId="4378710F" w14:textId="21C6F11F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23466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have proof of </w:t>
            </w:r>
            <w:r w:rsidR="00326648">
              <w:rPr>
                <w:rFonts w:eastAsiaTheme="minorHAnsi" w:cs="Arial"/>
                <w:sz w:val="22"/>
                <w:szCs w:val="22"/>
                <w:lang w:eastAsia="en-US"/>
              </w:rPr>
              <w:t>housing inspection</w:t>
            </w:r>
            <w:r w:rsidR="00416561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for Veterans moving into new or different units.</w:t>
            </w:r>
          </w:p>
        </w:tc>
      </w:tr>
      <w:tr w:rsidR="003D50A3" w:rsidRPr="00FF66C2" w14:paraId="13657700" w14:textId="77777777" w:rsidTr="003D50A3">
        <w:tc>
          <w:tcPr>
            <w:tcW w:w="10790" w:type="dxa"/>
          </w:tcPr>
          <w:p w14:paraId="6078BFDD" w14:textId="7B73A09C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83167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with TFA payments have statements regarding</w:t>
            </w:r>
            <w:r w:rsidR="000A25BB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“but for” and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necessity of the payment for stability.</w:t>
            </w:r>
          </w:p>
        </w:tc>
      </w:tr>
      <w:tr w:rsidR="003D50A3" w:rsidRPr="00FF66C2" w14:paraId="3FE19853" w14:textId="77777777" w:rsidTr="003D50A3">
        <w:tc>
          <w:tcPr>
            <w:tcW w:w="10790" w:type="dxa"/>
          </w:tcPr>
          <w:p w14:paraId="3692FC30" w14:textId="726985EE" w:rsidR="003D50A3" w:rsidRPr="00FF66C2" w:rsidRDefault="00EF4B9C" w:rsidP="00F078C1">
            <w:pPr>
              <w:ind w:left="240" w:hanging="240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3978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Files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have </w:t>
            </w:r>
            <w:r w:rsidR="00F078C1">
              <w:rPr>
                <w:rFonts w:eastAsiaTheme="minorHAnsi" w:cs="Arial"/>
                <w:sz w:val="22"/>
                <w:szCs w:val="22"/>
                <w:lang w:eastAsia="en-US"/>
              </w:rPr>
              <w:t xml:space="preserve">proper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backup documentation and invoices for all costs paid on beha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>lf of a cli</w:t>
            </w:r>
            <w:r w:rsidR="00F078C1">
              <w:rPr>
                <w:rFonts w:eastAsiaTheme="minorHAnsi" w:cs="Arial"/>
                <w:sz w:val="22"/>
                <w:szCs w:val="22"/>
                <w:lang w:eastAsia="en-US"/>
              </w:rPr>
              <w:t xml:space="preserve">ent 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and </w:t>
            </w:r>
            <w:r w:rsidR="00F078C1">
              <w:rPr>
                <w:rFonts w:eastAsiaTheme="minorHAnsi" w:cs="Arial"/>
                <w:sz w:val="22"/>
                <w:szCs w:val="22"/>
                <w:lang w:eastAsia="en-US"/>
              </w:rPr>
              <w:t xml:space="preserve">grantee is taking clear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steps to prevent fraud. </w:t>
            </w:r>
          </w:p>
        </w:tc>
      </w:tr>
    </w:tbl>
    <w:p w14:paraId="3AD1609F" w14:textId="77777777" w:rsidR="002B47AF" w:rsidRPr="00AC24C9" w:rsidRDefault="002B47AF" w:rsidP="00AB3263">
      <w:pPr>
        <w:ind w:right="-72"/>
        <w:contextualSpacing/>
        <w:rPr>
          <w:rFonts w:eastAsiaTheme="minorHAnsi" w:cs="Arial"/>
          <w:b/>
          <w:sz w:val="26"/>
          <w:szCs w:val="26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7C72F9E1" w14:textId="77777777" w:rsidTr="00AC24C9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481583ED" w14:textId="77777777" w:rsidR="003D50A3" w:rsidRPr="00AC24C9" w:rsidRDefault="003D50A3" w:rsidP="00AC24C9">
            <w:pPr>
              <w:contextualSpacing/>
              <w:jc w:val="left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Financials</w:t>
            </w:r>
          </w:p>
        </w:tc>
      </w:tr>
      <w:tr w:rsidR="003D50A3" w:rsidRPr="00FF66C2" w14:paraId="48235A18" w14:textId="77777777" w:rsidTr="003D50A3">
        <w:tc>
          <w:tcPr>
            <w:tcW w:w="10790" w:type="dxa"/>
          </w:tcPr>
          <w:p w14:paraId="249A0BEF" w14:textId="77777777" w:rsidR="00C62EF7" w:rsidRDefault="00EF4B9C" w:rsidP="00C62EF7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13655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Accounting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manual</w:t>
            </w:r>
            <w:r w:rsidR="004654B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and/or Accounting </w:t>
            </w:r>
            <w:r w:rsidR="00C62EF7">
              <w:rPr>
                <w:rFonts w:eastAsiaTheme="minorHAnsi" w:cs="Arial"/>
                <w:sz w:val="22"/>
                <w:szCs w:val="22"/>
                <w:lang w:eastAsia="en-US"/>
              </w:rPr>
              <w:t>P&amp;Ps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, chart of accounts, and procedure for recording financial </w:t>
            </w:r>
          </w:p>
          <w:p w14:paraId="61E92452" w14:textId="5FF36E26" w:rsidR="003D50A3" w:rsidRPr="00FF66C2" w:rsidRDefault="00C62EF7" w:rsidP="00C62EF7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transactions </w:t>
            </w:r>
            <w:r w:rsidR="00F6360F" w:rsidRPr="00FF66C2">
              <w:rPr>
                <w:rFonts w:eastAsiaTheme="minorHAnsi" w:cs="Arial"/>
                <w:sz w:val="22"/>
                <w:szCs w:val="22"/>
                <w:lang w:eastAsia="en-US"/>
              </w:rPr>
              <w:t>are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in place. </w:t>
            </w:r>
          </w:p>
        </w:tc>
      </w:tr>
      <w:tr w:rsidR="003D50A3" w:rsidRPr="00FF66C2" w14:paraId="46325CFD" w14:textId="77777777" w:rsidTr="003D50A3">
        <w:tc>
          <w:tcPr>
            <w:tcW w:w="10790" w:type="dxa"/>
          </w:tcPr>
          <w:p w14:paraId="0F4431AC" w14:textId="266F78DD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45292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C62EF7">
              <w:rPr>
                <w:rFonts w:eastAsiaTheme="minorHAnsi" w:cs="Arial"/>
                <w:sz w:val="22"/>
                <w:szCs w:val="22"/>
                <w:lang w:eastAsia="en-US"/>
              </w:rPr>
              <w:t xml:space="preserve">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is a written policy for approving financial transactions</w:t>
            </w:r>
            <w:r w:rsidR="00C62EF7">
              <w:rPr>
                <w:rFonts w:eastAsiaTheme="minorHAnsi" w:cs="Arial"/>
                <w:sz w:val="22"/>
                <w:szCs w:val="22"/>
                <w:lang w:eastAsia="en-US"/>
              </w:rPr>
              <w:t xml:space="preserve"> including evidence staff duties are separated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3D50A3" w:rsidRPr="00FF66C2" w14:paraId="76197DE0" w14:textId="77777777" w:rsidTr="003D50A3">
        <w:tc>
          <w:tcPr>
            <w:tcW w:w="10790" w:type="dxa"/>
          </w:tcPr>
          <w:p w14:paraId="15263705" w14:textId="559C72E0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54637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Records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and valuables are securely stored and there is a written </w:t>
            </w:r>
            <w:r w:rsidR="00C62EF7">
              <w:rPr>
                <w:rFonts w:eastAsiaTheme="minorHAnsi" w:cs="Arial"/>
                <w:sz w:val="22"/>
                <w:szCs w:val="22"/>
                <w:lang w:eastAsia="en-US"/>
              </w:rPr>
              <w:t xml:space="preserve">record retention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policy.</w:t>
            </w:r>
          </w:p>
        </w:tc>
      </w:tr>
      <w:tr w:rsidR="003D50A3" w:rsidRPr="00FF66C2" w14:paraId="30648E2B" w14:textId="77777777" w:rsidTr="003D50A3">
        <w:tc>
          <w:tcPr>
            <w:tcW w:w="10790" w:type="dxa"/>
          </w:tcPr>
          <w:p w14:paraId="04548CC1" w14:textId="77777777" w:rsidR="00AE37AF" w:rsidRPr="00FF66C2" w:rsidRDefault="00EF4B9C" w:rsidP="007E36F6">
            <w:pPr>
              <w:ind w:left="330" w:hanging="330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210399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is a clear way that finance identifies, tracks, and accounts for all 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>SSVF costs and matches them to</w:t>
            </w:r>
          </w:p>
          <w:p w14:paraId="4AFEEA05" w14:textId="732ACB12" w:rsidR="003D50A3" w:rsidRPr="00FF66C2" w:rsidRDefault="00AE37AF" w:rsidP="007E36F6">
            <w:pPr>
              <w:ind w:left="330" w:hanging="33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approved</w:t>
            </w:r>
            <w:r w:rsidR="007E36F6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line items in the SSVF budget.       </w:t>
            </w:r>
          </w:p>
        </w:tc>
      </w:tr>
      <w:tr w:rsidR="003D50A3" w:rsidRPr="00FF66C2" w14:paraId="7D008C6E" w14:textId="77777777" w:rsidTr="003D50A3">
        <w:tc>
          <w:tcPr>
            <w:tcW w:w="10790" w:type="dxa"/>
          </w:tcPr>
          <w:p w14:paraId="66A76B29" w14:textId="77777777" w:rsidR="00AE37AF" w:rsidRPr="00FF66C2" w:rsidRDefault="00EF4B9C" w:rsidP="00AE37AF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80358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Finance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keeps detailed records to account for every dollar drawn down from </w:t>
            </w:r>
            <w:r w:rsidR="00AE37AF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Payment Management </w:t>
            </w:r>
          </w:p>
          <w:p w14:paraId="3B8F2162" w14:textId="7FCB1A64" w:rsidR="003D50A3" w:rsidRPr="00FF66C2" w:rsidRDefault="00AE37AF" w:rsidP="00F078C1">
            <w:pPr>
              <w:ind w:left="240" w:hanging="24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System (PMS)</w:t>
            </w:r>
            <w:r w:rsidR="004C15F5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maintains invoices to support all costs</w:t>
            </w:r>
            <w:r w:rsidR="00F078C1">
              <w:rPr>
                <w:rFonts w:eastAsiaTheme="minorHAnsi" w:cs="Arial"/>
                <w:sz w:val="22"/>
                <w:szCs w:val="22"/>
                <w:lang w:eastAsia="en-US"/>
              </w:rPr>
              <w:t xml:space="preserve">, </w:t>
            </w:r>
            <w:r w:rsidR="00F078C1" w:rsidRPr="00FF66C2">
              <w:rPr>
                <w:rFonts w:eastAsiaTheme="minorHAnsi" w:cs="Arial"/>
                <w:sz w:val="22"/>
                <w:szCs w:val="22"/>
                <w:lang w:eastAsia="en-US"/>
              </w:rPr>
              <w:t>including proof the check went to the appropriate third party</w:t>
            </w:r>
            <w:r w:rsidR="004C15F5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605C21">
              <w:rPr>
                <w:rFonts w:eastAsiaTheme="minorHAnsi" w:cs="Arial"/>
                <w:sz w:val="22"/>
                <w:szCs w:val="22"/>
                <w:lang w:eastAsia="en-US"/>
              </w:rPr>
              <w:t>*</w:t>
            </w:r>
          </w:p>
        </w:tc>
      </w:tr>
      <w:tr w:rsidR="00E366A3" w:rsidRPr="00FF66C2" w14:paraId="1A574C73" w14:textId="77777777" w:rsidTr="003D50A3">
        <w:tc>
          <w:tcPr>
            <w:tcW w:w="10790" w:type="dxa"/>
          </w:tcPr>
          <w:p w14:paraId="409B213F" w14:textId="0ABE9CDF" w:rsidR="00E366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8569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Finance </w:t>
            </w:r>
            <w:r w:rsidR="00E366A3" w:rsidRPr="00FF66C2">
              <w:rPr>
                <w:rFonts w:cs="Arial"/>
                <w:sz w:val="22"/>
                <w:szCs w:val="22"/>
              </w:rPr>
              <w:t>draws downs funds on a reimbursement basis, or fully expends drawn down funds within 3 days.</w:t>
            </w:r>
          </w:p>
        </w:tc>
      </w:tr>
      <w:tr w:rsidR="00B76F05" w:rsidRPr="00FF66C2" w14:paraId="49A70CD8" w14:textId="77777777" w:rsidTr="003D50A3">
        <w:tc>
          <w:tcPr>
            <w:tcW w:w="10790" w:type="dxa"/>
          </w:tcPr>
          <w:p w14:paraId="2E7B4231" w14:textId="11D40320" w:rsidR="00B76F05" w:rsidRPr="00FF66C2" w:rsidRDefault="00EF4B9C" w:rsidP="00F078C1">
            <w:pPr>
              <w:ind w:left="240" w:hanging="240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70841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Finance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does not charge SSVF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for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admin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>istrative costs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DB1111">
              <w:rPr>
                <w:rFonts w:eastAsiaTheme="minorHAnsi" w:cs="Arial"/>
                <w:sz w:val="22"/>
                <w:szCs w:val="22"/>
                <w:lang w:eastAsia="en-US"/>
              </w:rPr>
              <w:t>based on an indirect cost rate</w:t>
            </w:r>
            <w:r w:rsidR="00F078C1">
              <w:rPr>
                <w:rFonts w:eastAsiaTheme="minorHAnsi" w:cs="Arial"/>
                <w:sz w:val="22"/>
                <w:szCs w:val="22"/>
                <w:lang w:eastAsia="en-US"/>
              </w:rPr>
              <w:t xml:space="preserve"> with no further  breakdown</w:t>
            </w:r>
            <w:r w:rsidR="00DB1111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3D50A3" w:rsidRPr="00FF66C2" w14:paraId="57CFA000" w14:textId="77777777" w:rsidTr="003D50A3">
        <w:tc>
          <w:tcPr>
            <w:tcW w:w="10790" w:type="dxa"/>
          </w:tcPr>
          <w:p w14:paraId="3F0E4BA3" w14:textId="77777777" w:rsidR="00FF66C2" w:rsidRPr="00FF66C2" w:rsidRDefault="00EF4B9C" w:rsidP="00FF66C2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90891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Finance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breaks down 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administrative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charges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,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only bills those 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administrative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expenses that are reasonable, </w:t>
            </w:r>
          </w:p>
          <w:p w14:paraId="19186461" w14:textId="4772C2DD" w:rsidR="003D50A3" w:rsidRPr="00FF66C2" w:rsidRDefault="00FF66C2" w:rsidP="00FF66C2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allowable, and allocable, and 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can provide </w:t>
            </w:r>
            <w:r w:rsidR="00F078C1">
              <w:rPr>
                <w:rFonts w:eastAsiaTheme="minorHAnsi" w:cs="Arial"/>
                <w:sz w:val="22"/>
                <w:szCs w:val="22"/>
                <w:lang w:eastAsia="en-US"/>
              </w:rPr>
              <w:t xml:space="preserve">backup documentation for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all charge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  <w:r w:rsidR="00605C21">
              <w:rPr>
                <w:rFonts w:eastAsiaTheme="minorHAnsi" w:cs="Arial"/>
                <w:sz w:val="22"/>
                <w:szCs w:val="22"/>
                <w:lang w:eastAsia="en-US"/>
              </w:rPr>
              <w:t>*</w:t>
            </w:r>
          </w:p>
        </w:tc>
      </w:tr>
      <w:tr w:rsidR="003D50A3" w:rsidRPr="00FF66C2" w14:paraId="7149A940" w14:textId="77777777" w:rsidTr="003D50A3">
        <w:tc>
          <w:tcPr>
            <w:tcW w:w="10790" w:type="dxa"/>
          </w:tcPr>
          <w:p w14:paraId="5339F3C5" w14:textId="1EA699B3" w:rsidR="003D50A3" w:rsidRPr="00FF66C2" w:rsidRDefault="00EF4B9C" w:rsidP="00EE0FF2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389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Timesheets </w:t>
            </w:r>
            <w:r w:rsidR="00EE0FF2" w:rsidRPr="00FF66C2">
              <w:rPr>
                <w:rFonts w:eastAsiaTheme="minorHAnsi" w:cs="Arial"/>
                <w:sz w:val="22"/>
                <w:szCs w:val="22"/>
                <w:lang w:eastAsia="en-US"/>
              </w:rPr>
              <w:t>record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actual hours worked on various projects and are appro</w:t>
            </w:r>
            <w:r w:rsidR="00DB1111">
              <w:rPr>
                <w:rFonts w:eastAsiaTheme="minorHAnsi" w:cs="Arial"/>
                <w:sz w:val="22"/>
                <w:szCs w:val="22"/>
                <w:lang w:eastAsia="en-US"/>
              </w:rPr>
              <w:t>ved by employee and supervisor.</w:t>
            </w:r>
          </w:p>
        </w:tc>
      </w:tr>
      <w:tr w:rsidR="003D50A3" w:rsidRPr="00FF66C2" w14:paraId="368EB460" w14:textId="77777777" w:rsidTr="003D50A3">
        <w:tc>
          <w:tcPr>
            <w:tcW w:w="10790" w:type="dxa"/>
          </w:tcPr>
          <w:p w14:paraId="31EEF08A" w14:textId="758F1DAA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97031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Timesheets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directly link to payroll so that funds drawn down are based on actual hours worked on SSVF.</w:t>
            </w:r>
          </w:p>
        </w:tc>
      </w:tr>
      <w:tr w:rsidR="003D50A3" w:rsidRPr="00FF66C2" w14:paraId="7C48F99F" w14:textId="77777777" w:rsidTr="003D50A3">
        <w:tc>
          <w:tcPr>
            <w:tcW w:w="10790" w:type="dxa"/>
          </w:tcPr>
          <w:p w14:paraId="6C4CB43E" w14:textId="77777777" w:rsidR="00FF66C2" w:rsidRPr="00FF66C2" w:rsidRDefault="00EF4B9C" w:rsidP="007E36F6">
            <w:pPr>
              <w:ind w:left="330" w:hanging="330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2333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For 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>staff paid under the a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dministrative section of the budget, if there are no timesheet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s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indica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ting actual </w:t>
            </w:r>
          </w:p>
          <w:p w14:paraId="48DA5EBC" w14:textId="77777777" w:rsidR="00C62EF7" w:rsidRDefault="00FF66C2" w:rsidP="00C62EF7">
            <w:pPr>
              <w:ind w:left="330" w:hanging="33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time worked on SSVF, there </w:t>
            </w:r>
            <w:r w:rsidR="00C62EF7">
              <w:rPr>
                <w:rFonts w:eastAsiaTheme="minorHAnsi" w:cs="Arial"/>
                <w:sz w:val="22"/>
                <w:szCs w:val="22"/>
                <w:lang w:eastAsia="en-US"/>
              </w:rPr>
              <w:t>time studies updated regularly or a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reasonable allocation plan</w:t>
            </w:r>
            <w:r w:rsidR="00C62EF7">
              <w:rPr>
                <w:rFonts w:eastAsiaTheme="minorHAnsi" w:cs="Arial"/>
                <w:sz w:val="22"/>
                <w:szCs w:val="22"/>
                <w:lang w:eastAsia="en-US"/>
              </w:rPr>
              <w:t xml:space="preserve"> for charging </w:t>
            </w:r>
          </w:p>
          <w:p w14:paraId="1BAAA357" w14:textId="6DF5999A" w:rsidR="003D50A3" w:rsidRPr="00FF66C2" w:rsidRDefault="00C62EF7" w:rsidP="00C62EF7">
            <w:pPr>
              <w:ind w:left="330" w:hanging="33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4C15F5">
              <w:rPr>
                <w:rFonts w:eastAsiaTheme="minorHAnsi" w:cs="Arial"/>
                <w:sz w:val="22"/>
                <w:szCs w:val="22"/>
                <w:lang w:eastAsia="en-US"/>
              </w:rPr>
              <w:t>each administrative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staff </w:t>
            </w:r>
            <w:r w:rsidR="004C15F5">
              <w:rPr>
                <w:rFonts w:eastAsiaTheme="minorHAnsi" w:cs="Arial"/>
                <w:sz w:val="22"/>
                <w:szCs w:val="22"/>
                <w:lang w:eastAsia="en-US"/>
              </w:rPr>
              <w:t xml:space="preserve">person </w:t>
            </w:r>
            <w:r w:rsidR="00B76F05" w:rsidRPr="00FF66C2">
              <w:rPr>
                <w:rFonts w:eastAsiaTheme="minorHAnsi" w:cs="Arial"/>
                <w:sz w:val="22"/>
                <w:szCs w:val="22"/>
                <w:lang w:eastAsia="en-US"/>
              </w:rPr>
              <w:t>to the grant</w:t>
            </w:r>
            <w:r w:rsidR="00605C21">
              <w:rPr>
                <w:rFonts w:eastAsiaTheme="minorHAnsi" w:cs="Arial"/>
                <w:sz w:val="22"/>
                <w:szCs w:val="22"/>
                <w:lang w:eastAsia="en-US"/>
              </w:rPr>
              <w:t>.*</w:t>
            </w:r>
          </w:p>
        </w:tc>
      </w:tr>
      <w:tr w:rsidR="003D50A3" w:rsidRPr="00FF66C2" w14:paraId="61B64825" w14:textId="77777777" w:rsidTr="003D50A3">
        <w:tc>
          <w:tcPr>
            <w:tcW w:w="10790" w:type="dxa"/>
          </w:tcPr>
          <w:p w14:paraId="5FA89703" w14:textId="0601F9DC" w:rsidR="003D50A3" w:rsidRPr="00FF66C2" w:rsidRDefault="00EF4B9C" w:rsidP="002A25CB">
            <w:pPr>
              <w:ind w:left="330" w:hanging="330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52679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5F5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No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ineligible costs </w:t>
            </w:r>
            <w:r w:rsidR="002A25CB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are </w:t>
            </w:r>
            <w:r w:rsidR="00DB1111">
              <w:rPr>
                <w:rFonts w:eastAsiaTheme="minorHAnsi" w:cs="Arial"/>
                <w:sz w:val="22"/>
                <w:szCs w:val="22"/>
                <w:lang w:eastAsia="en-US"/>
              </w:rPr>
              <w:t>charged to the grant.</w:t>
            </w:r>
            <w:r w:rsidR="00605C21">
              <w:rPr>
                <w:rFonts w:eastAsiaTheme="minorHAnsi" w:cs="Arial"/>
                <w:sz w:val="22"/>
                <w:szCs w:val="22"/>
                <w:lang w:eastAsia="en-US"/>
              </w:rPr>
              <w:t>*</w:t>
            </w:r>
          </w:p>
        </w:tc>
      </w:tr>
      <w:tr w:rsidR="004C15F5" w:rsidRPr="00FF66C2" w14:paraId="2BC44B37" w14:textId="77777777" w:rsidTr="003D50A3">
        <w:tc>
          <w:tcPr>
            <w:tcW w:w="10790" w:type="dxa"/>
          </w:tcPr>
          <w:p w14:paraId="1C1D514A" w14:textId="43A6CE1E" w:rsidR="004C15F5" w:rsidRDefault="00EF4B9C" w:rsidP="002A25CB">
            <w:pPr>
              <w:ind w:left="330" w:hanging="330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113791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5F5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C15F5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4C15F5">
              <w:rPr>
                <w:rFonts w:eastAsiaTheme="minorHAnsi" w:cs="Arial"/>
                <w:sz w:val="22"/>
                <w:szCs w:val="22"/>
                <w:lang w:eastAsia="en-US"/>
              </w:rPr>
              <w:t>There is clear documentation to support vehicles charged to the grantee (if applicable).</w:t>
            </w:r>
          </w:p>
        </w:tc>
      </w:tr>
    </w:tbl>
    <w:p w14:paraId="6130B500" w14:textId="77777777" w:rsidR="002B47AF" w:rsidRPr="00FF66C2" w:rsidRDefault="002B47AF" w:rsidP="00AB3263">
      <w:pPr>
        <w:ind w:right="-72"/>
        <w:contextualSpacing/>
        <w:rPr>
          <w:rFonts w:eastAsiaTheme="minorHAnsi" w:cs="Arial"/>
          <w:b/>
          <w:sz w:val="30"/>
          <w:szCs w:val="3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50A3" w:rsidRPr="00AC24C9" w14:paraId="64964A66" w14:textId="77777777" w:rsidTr="00AC24C9">
        <w:trPr>
          <w:trHeight w:val="360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14:paraId="18FAB249" w14:textId="12987862" w:rsidR="003D50A3" w:rsidRPr="00AC24C9" w:rsidRDefault="003D50A3" w:rsidP="00AC24C9">
            <w:pPr>
              <w:contextualSpacing/>
              <w:jc w:val="left"/>
              <w:rPr>
                <w:rFonts w:eastAsiaTheme="minorHAnsi" w:cs="Arial"/>
                <w:b/>
                <w:sz w:val="24"/>
                <w:lang w:eastAsia="en-US"/>
              </w:rPr>
            </w:pPr>
            <w:r w:rsidRPr="00AC24C9">
              <w:rPr>
                <w:rFonts w:eastAsiaTheme="minorHAnsi" w:cs="Arial"/>
                <w:b/>
                <w:sz w:val="24"/>
                <w:lang w:eastAsia="en-US"/>
              </w:rPr>
              <w:t>Data</w:t>
            </w:r>
            <w:r w:rsidR="00FF66C2">
              <w:rPr>
                <w:rFonts w:eastAsiaTheme="minorHAnsi" w:cs="Arial"/>
                <w:b/>
                <w:sz w:val="24"/>
                <w:lang w:eastAsia="en-US"/>
              </w:rPr>
              <w:t xml:space="preserve"> Management and Quality Assurance</w:t>
            </w:r>
          </w:p>
        </w:tc>
      </w:tr>
      <w:tr w:rsidR="003D50A3" w:rsidRPr="00FF66C2" w14:paraId="467A3256" w14:textId="77777777" w:rsidTr="003D50A3">
        <w:tc>
          <w:tcPr>
            <w:tcW w:w="10790" w:type="dxa"/>
          </w:tcPr>
          <w:p w14:paraId="74B10783" w14:textId="159171E8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51134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There </w:t>
            </w:r>
            <w:r w:rsidR="00F74F7F">
              <w:rPr>
                <w:rFonts w:eastAsiaTheme="minorHAnsi" w:cs="Arial"/>
                <w:sz w:val="22"/>
                <w:szCs w:val="22"/>
                <w:lang w:eastAsia="en-US"/>
              </w:rPr>
              <w:t>is a written Data Quality P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lan covering completeness, timeliness, and accuracy.</w:t>
            </w:r>
          </w:p>
        </w:tc>
      </w:tr>
      <w:tr w:rsidR="003D50A3" w:rsidRPr="00FF66C2" w14:paraId="21A6130B" w14:textId="77777777" w:rsidTr="003D50A3">
        <w:tc>
          <w:tcPr>
            <w:tcW w:w="10790" w:type="dxa"/>
          </w:tcPr>
          <w:p w14:paraId="620594FC" w14:textId="3F3886CB" w:rsidR="00FF66C2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26021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</w:t>
            </w:r>
            <w:r w:rsidR="00F74F7F">
              <w:rPr>
                <w:rFonts w:eastAsiaTheme="minorHAnsi" w:cs="Arial"/>
                <w:sz w:val="22"/>
                <w:szCs w:val="22"/>
                <w:lang w:eastAsia="en-US"/>
              </w:rPr>
              <w:t>Data Quality P</w:t>
            </w:r>
            <w:r w:rsidR="00F74F7F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lan </w:t>
            </w:r>
            <w:bookmarkStart w:id="1" w:name="_GoBack"/>
            <w:bookmarkEnd w:id="1"/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outlines staff 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responsibility for timely entry,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quality assurance practices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, and internal </w:t>
            </w:r>
          </w:p>
          <w:p w14:paraId="58E9EFEC" w14:textId="7D5D2C73" w:rsidR="003D50A3" w:rsidRPr="00FF66C2" w:rsidRDefault="00FF66C2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process for uploading data into the VA Repository System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3D50A3" w:rsidRPr="00FF66C2" w14:paraId="46C31EF0" w14:textId="77777777" w:rsidTr="003D50A3">
        <w:tc>
          <w:tcPr>
            <w:tcW w:w="10790" w:type="dxa"/>
          </w:tcPr>
          <w:p w14:paraId="7B354C75" w14:textId="1808EFB0" w:rsidR="003D50A3" w:rsidRPr="00FF66C2" w:rsidRDefault="00EF4B9C" w:rsidP="008C2887">
            <w:pPr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-10291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The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grantee has evidence of successful monthly uploads into VA system and into all CoCs they serve.</w:t>
            </w:r>
          </w:p>
        </w:tc>
      </w:tr>
      <w:tr w:rsidR="003D50A3" w:rsidRPr="00FF66C2" w14:paraId="3808E626" w14:textId="77777777" w:rsidTr="003D50A3">
        <w:tc>
          <w:tcPr>
            <w:tcW w:w="10790" w:type="dxa"/>
          </w:tcPr>
          <w:p w14:paraId="6F58E207" w14:textId="77777777" w:rsidR="00FF66C2" w:rsidRPr="00FF66C2" w:rsidRDefault="00EF4B9C" w:rsidP="00FF66C2">
            <w:pPr>
              <w:ind w:left="330" w:hanging="330"/>
              <w:rPr>
                <w:rFonts w:eastAsiaTheme="minorHAnsi" w:cs="Arial"/>
                <w:sz w:val="22"/>
                <w:szCs w:val="22"/>
                <w:lang w:eastAsia="en-US"/>
              </w:rPr>
            </w:pPr>
            <w:sdt>
              <w:sdtPr>
                <w:rPr>
                  <w:rFonts w:eastAsiaTheme="minorHAnsi" w:cs="Arial"/>
                  <w:sz w:val="22"/>
                  <w:szCs w:val="22"/>
                  <w:lang w:eastAsia="en-US"/>
                </w:rPr>
                <w:id w:val="26173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FE7" w:rsidRPr="00FF66C2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247FE7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Client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data in HMIS matches client files 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>for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VAMC code, CoC code, program entry and exit,</w:t>
            </w:r>
            <w:r w:rsidR="00FF66C2"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Veteran SSN, </w:t>
            </w:r>
          </w:p>
          <w:p w14:paraId="4686AF89" w14:textId="437A11DF" w:rsidR="003D50A3" w:rsidRPr="00FF66C2" w:rsidRDefault="00FF66C2" w:rsidP="00FF66C2">
            <w:pPr>
              <w:ind w:left="330" w:hanging="33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="003D50A3" w:rsidRPr="00FF66C2">
              <w:rPr>
                <w:rFonts w:eastAsiaTheme="minorHAnsi" w:cs="Arial"/>
                <w:sz w:val="22"/>
                <w:szCs w:val="22"/>
                <w:lang w:eastAsia="en-US"/>
              </w:rPr>
              <w:t>move-in date, prevention threshold score, HoH designation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>, services provided</w:t>
            </w:r>
            <w:r w:rsidR="002763BF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Pr="00FF66C2">
              <w:rPr>
                <w:rFonts w:eastAsiaTheme="minorHAnsi" w:cs="Arial"/>
                <w:sz w:val="22"/>
                <w:szCs w:val="22"/>
                <w:lang w:eastAsia="en-US"/>
              </w:rPr>
              <w:t xml:space="preserve"> and TFA payments</w:t>
            </w:r>
            <w:r w:rsidR="00605C21">
              <w:rPr>
                <w:rFonts w:eastAsiaTheme="minorHAnsi" w:cs="Arial"/>
                <w:sz w:val="22"/>
                <w:szCs w:val="22"/>
                <w:lang w:eastAsia="en-US"/>
              </w:rPr>
              <w:t>.*</w:t>
            </w:r>
          </w:p>
        </w:tc>
      </w:tr>
    </w:tbl>
    <w:p w14:paraId="3D3C3E09" w14:textId="404CC917" w:rsidR="0007077B" w:rsidRDefault="0007077B" w:rsidP="0007077B">
      <w:pPr>
        <w:ind w:right="-72"/>
        <w:contextualSpacing/>
        <w:rPr>
          <w:rFonts w:eastAsiaTheme="minorHAnsi" w:cs="Arial"/>
          <w:b/>
          <w:sz w:val="22"/>
          <w:szCs w:val="22"/>
          <w:lang w:eastAsia="en-US"/>
        </w:rPr>
      </w:pPr>
    </w:p>
    <w:p w14:paraId="5CCB3E93" w14:textId="1D199C15" w:rsidR="002763BF" w:rsidRPr="0007077B" w:rsidRDefault="002763BF" w:rsidP="0007077B">
      <w:pPr>
        <w:ind w:right="-72"/>
        <w:contextualSpacing/>
        <w:rPr>
          <w:rFonts w:eastAsiaTheme="minorHAnsi" w:cs="Arial"/>
          <w:b/>
          <w:sz w:val="22"/>
          <w:szCs w:val="22"/>
          <w:lang w:eastAsia="en-US"/>
        </w:rPr>
      </w:pPr>
    </w:p>
    <w:sectPr w:rsidR="002763BF" w:rsidRPr="0007077B" w:rsidSect="008A256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F55C3" w14:textId="77777777" w:rsidR="00EF4B9C" w:rsidRDefault="00EF4B9C" w:rsidP="00FD782D">
      <w:r>
        <w:separator/>
      </w:r>
    </w:p>
  </w:endnote>
  <w:endnote w:type="continuationSeparator" w:id="0">
    <w:p w14:paraId="44AFB3B3" w14:textId="77777777" w:rsidR="00EF4B9C" w:rsidRDefault="00EF4B9C" w:rsidP="00FD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6648"/>
      <w:docPartObj>
        <w:docPartGallery w:val="Page Numbers (Bottom of Page)"/>
        <w:docPartUnique/>
      </w:docPartObj>
    </w:sdtPr>
    <w:sdtEndPr/>
    <w:sdtContent>
      <w:p w14:paraId="7C57F9BF" w14:textId="2E567078" w:rsidR="008C2887" w:rsidRDefault="008C2887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B9C">
          <w:rPr>
            <w:noProof/>
          </w:rPr>
          <w:t>1</w:t>
        </w:r>
        <w:r>
          <w:fldChar w:fldCharType="end"/>
        </w:r>
        <w:r>
          <w:t xml:space="preserve"> of </w:t>
        </w:r>
        <w:r w:rsidR="003531B3">
          <w:t>3</w:t>
        </w:r>
      </w:p>
    </w:sdtContent>
  </w:sdt>
  <w:p w14:paraId="561501EE" w14:textId="77777777" w:rsidR="008C2887" w:rsidRDefault="008C2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E21E" w14:textId="77777777" w:rsidR="00EF4B9C" w:rsidRDefault="00EF4B9C" w:rsidP="00FD782D">
      <w:r>
        <w:separator/>
      </w:r>
    </w:p>
  </w:footnote>
  <w:footnote w:type="continuationSeparator" w:id="0">
    <w:p w14:paraId="5AB7333F" w14:textId="77777777" w:rsidR="00EF4B9C" w:rsidRDefault="00EF4B9C" w:rsidP="00FD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B4F75" w14:textId="360FA4BB" w:rsidR="008C2887" w:rsidRDefault="008C2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3E8"/>
    <w:multiLevelType w:val="hybridMultilevel"/>
    <w:tmpl w:val="7786C1AA"/>
    <w:lvl w:ilvl="0" w:tplc="41F82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5C8C"/>
    <w:multiLevelType w:val="hybridMultilevel"/>
    <w:tmpl w:val="5284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97763"/>
    <w:multiLevelType w:val="hybridMultilevel"/>
    <w:tmpl w:val="BBDC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80182"/>
    <w:multiLevelType w:val="hybridMultilevel"/>
    <w:tmpl w:val="FB58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5AB1"/>
    <w:multiLevelType w:val="hybridMultilevel"/>
    <w:tmpl w:val="FDB4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drawingGridHorizontalSpacing w:val="11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5B"/>
    <w:rsid w:val="0002258D"/>
    <w:rsid w:val="00024934"/>
    <w:rsid w:val="00025AAB"/>
    <w:rsid w:val="00040C29"/>
    <w:rsid w:val="00041F4D"/>
    <w:rsid w:val="00044077"/>
    <w:rsid w:val="0005277A"/>
    <w:rsid w:val="00056B67"/>
    <w:rsid w:val="000663FC"/>
    <w:rsid w:val="000665AC"/>
    <w:rsid w:val="0007077B"/>
    <w:rsid w:val="0007116A"/>
    <w:rsid w:val="00084C7A"/>
    <w:rsid w:val="00096BCA"/>
    <w:rsid w:val="00097EB8"/>
    <w:rsid w:val="000A25BB"/>
    <w:rsid w:val="000A3FF8"/>
    <w:rsid w:val="000A4116"/>
    <w:rsid w:val="000B1E75"/>
    <w:rsid w:val="000B4DA3"/>
    <w:rsid w:val="000C3C81"/>
    <w:rsid w:val="000C40CC"/>
    <w:rsid w:val="000C5767"/>
    <w:rsid w:val="000F265C"/>
    <w:rsid w:val="000F6EF7"/>
    <w:rsid w:val="00102C12"/>
    <w:rsid w:val="0010766E"/>
    <w:rsid w:val="00115C13"/>
    <w:rsid w:val="00117DA5"/>
    <w:rsid w:val="00120D62"/>
    <w:rsid w:val="00136AEE"/>
    <w:rsid w:val="00140F3E"/>
    <w:rsid w:val="0014198C"/>
    <w:rsid w:val="001456F4"/>
    <w:rsid w:val="00156DA3"/>
    <w:rsid w:val="00157E93"/>
    <w:rsid w:val="00160ED8"/>
    <w:rsid w:val="00163C39"/>
    <w:rsid w:val="00171BEE"/>
    <w:rsid w:val="0017595C"/>
    <w:rsid w:val="00186CBA"/>
    <w:rsid w:val="00193CEA"/>
    <w:rsid w:val="00195824"/>
    <w:rsid w:val="001C1D27"/>
    <w:rsid w:val="001D4917"/>
    <w:rsid w:val="001D7614"/>
    <w:rsid w:val="001F2133"/>
    <w:rsid w:val="001F21E1"/>
    <w:rsid w:val="001F40DB"/>
    <w:rsid w:val="001F4AFE"/>
    <w:rsid w:val="0020346E"/>
    <w:rsid w:val="0020647D"/>
    <w:rsid w:val="00217AAF"/>
    <w:rsid w:val="002240C1"/>
    <w:rsid w:val="002337A7"/>
    <w:rsid w:val="00247FE7"/>
    <w:rsid w:val="002528C0"/>
    <w:rsid w:val="00265987"/>
    <w:rsid w:val="00267317"/>
    <w:rsid w:val="00272F52"/>
    <w:rsid w:val="002763BF"/>
    <w:rsid w:val="0028194C"/>
    <w:rsid w:val="002A0D38"/>
    <w:rsid w:val="002A25CB"/>
    <w:rsid w:val="002B1EB3"/>
    <w:rsid w:val="002B245F"/>
    <w:rsid w:val="002B47AF"/>
    <w:rsid w:val="002C6660"/>
    <w:rsid w:val="002F6AAA"/>
    <w:rsid w:val="002F7CFA"/>
    <w:rsid w:val="00300F66"/>
    <w:rsid w:val="003114AA"/>
    <w:rsid w:val="00315792"/>
    <w:rsid w:val="00324D23"/>
    <w:rsid w:val="00326648"/>
    <w:rsid w:val="003275E3"/>
    <w:rsid w:val="00327842"/>
    <w:rsid w:val="0033492E"/>
    <w:rsid w:val="00336749"/>
    <w:rsid w:val="00340A3C"/>
    <w:rsid w:val="0034233A"/>
    <w:rsid w:val="00347C7A"/>
    <w:rsid w:val="003531B3"/>
    <w:rsid w:val="00353AFE"/>
    <w:rsid w:val="003716D2"/>
    <w:rsid w:val="003752EE"/>
    <w:rsid w:val="00382A44"/>
    <w:rsid w:val="00387AE6"/>
    <w:rsid w:val="00397994"/>
    <w:rsid w:val="00397EF2"/>
    <w:rsid w:val="003A6081"/>
    <w:rsid w:val="003B3CB2"/>
    <w:rsid w:val="003C353D"/>
    <w:rsid w:val="003D50A3"/>
    <w:rsid w:val="003E455B"/>
    <w:rsid w:val="003F2D43"/>
    <w:rsid w:val="003F5EF3"/>
    <w:rsid w:val="003F7C6B"/>
    <w:rsid w:val="00404094"/>
    <w:rsid w:val="00405518"/>
    <w:rsid w:val="00405C35"/>
    <w:rsid w:val="00410EE8"/>
    <w:rsid w:val="00413B8B"/>
    <w:rsid w:val="00416561"/>
    <w:rsid w:val="00424720"/>
    <w:rsid w:val="00425DEB"/>
    <w:rsid w:val="004271BC"/>
    <w:rsid w:val="004372DC"/>
    <w:rsid w:val="004541A0"/>
    <w:rsid w:val="004654B2"/>
    <w:rsid w:val="0046617A"/>
    <w:rsid w:val="00471E02"/>
    <w:rsid w:val="00474D17"/>
    <w:rsid w:val="00480003"/>
    <w:rsid w:val="004851B1"/>
    <w:rsid w:val="004A4CBA"/>
    <w:rsid w:val="004A6C19"/>
    <w:rsid w:val="004C15F5"/>
    <w:rsid w:val="004C1B62"/>
    <w:rsid w:val="004C1BFE"/>
    <w:rsid w:val="004C3E57"/>
    <w:rsid w:val="004F24F4"/>
    <w:rsid w:val="0051758B"/>
    <w:rsid w:val="005264D3"/>
    <w:rsid w:val="005350CB"/>
    <w:rsid w:val="00563CFA"/>
    <w:rsid w:val="00571E2E"/>
    <w:rsid w:val="00573D8E"/>
    <w:rsid w:val="00580C9D"/>
    <w:rsid w:val="00584168"/>
    <w:rsid w:val="00595EF3"/>
    <w:rsid w:val="00597BD9"/>
    <w:rsid w:val="005A0441"/>
    <w:rsid w:val="005A17D4"/>
    <w:rsid w:val="005B500C"/>
    <w:rsid w:val="005C637C"/>
    <w:rsid w:val="005D1965"/>
    <w:rsid w:val="005D68F3"/>
    <w:rsid w:val="005E1B54"/>
    <w:rsid w:val="005E4894"/>
    <w:rsid w:val="005E6BE5"/>
    <w:rsid w:val="005F5D7A"/>
    <w:rsid w:val="005F6322"/>
    <w:rsid w:val="00605231"/>
    <w:rsid w:val="00605C21"/>
    <w:rsid w:val="00614BAB"/>
    <w:rsid w:val="006204ED"/>
    <w:rsid w:val="00633BF9"/>
    <w:rsid w:val="00640805"/>
    <w:rsid w:val="0064124C"/>
    <w:rsid w:val="0064391A"/>
    <w:rsid w:val="00667880"/>
    <w:rsid w:val="00667E38"/>
    <w:rsid w:val="00670D27"/>
    <w:rsid w:val="00682682"/>
    <w:rsid w:val="006907E9"/>
    <w:rsid w:val="00695713"/>
    <w:rsid w:val="006A07F6"/>
    <w:rsid w:val="006B0353"/>
    <w:rsid w:val="006B15C2"/>
    <w:rsid w:val="006B248D"/>
    <w:rsid w:val="006C0243"/>
    <w:rsid w:val="006F0CD6"/>
    <w:rsid w:val="00706AA7"/>
    <w:rsid w:val="0071421E"/>
    <w:rsid w:val="007248ED"/>
    <w:rsid w:val="00726616"/>
    <w:rsid w:val="00727F31"/>
    <w:rsid w:val="00733D49"/>
    <w:rsid w:val="007377F9"/>
    <w:rsid w:val="007648DA"/>
    <w:rsid w:val="00793CCD"/>
    <w:rsid w:val="00793FBB"/>
    <w:rsid w:val="00797085"/>
    <w:rsid w:val="007B1794"/>
    <w:rsid w:val="007C25DB"/>
    <w:rsid w:val="007C3206"/>
    <w:rsid w:val="007D2A11"/>
    <w:rsid w:val="007E2FB7"/>
    <w:rsid w:val="007E36F6"/>
    <w:rsid w:val="007E705E"/>
    <w:rsid w:val="007E75A4"/>
    <w:rsid w:val="00810618"/>
    <w:rsid w:val="00814D64"/>
    <w:rsid w:val="00824DFD"/>
    <w:rsid w:val="00841E85"/>
    <w:rsid w:val="008433E8"/>
    <w:rsid w:val="0084388C"/>
    <w:rsid w:val="00847B1F"/>
    <w:rsid w:val="00863E05"/>
    <w:rsid w:val="00865864"/>
    <w:rsid w:val="00877283"/>
    <w:rsid w:val="00877562"/>
    <w:rsid w:val="00883958"/>
    <w:rsid w:val="008A034C"/>
    <w:rsid w:val="008A18BF"/>
    <w:rsid w:val="008A256D"/>
    <w:rsid w:val="008B5723"/>
    <w:rsid w:val="008C1613"/>
    <w:rsid w:val="008C2887"/>
    <w:rsid w:val="008C6273"/>
    <w:rsid w:val="008D306C"/>
    <w:rsid w:val="008D7B0C"/>
    <w:rsid w:val="008E2AAC"/>
    <w:rsid w:val="008F4658"/>
    <w:rsid w:val="008F63CE"/>
    <w:rsid w:val="00905AEC"/>
    <w:rsid w:val="0091038A"/>
    <w:rsid w:val="00912FA2"/>
    <w:rsid w:val="00922044"/>
    <w:rsid w:val="00926DCA"/>
    <w:rsid w:val="00927DFD"/>
    <w:rsid w:val="00944264"/>
    <w:rsid w:val="00946C3C"/>
    <w:rsid w:val="00950A7E"/>
    <w:rsid w:val="00966DFE"/>
    <w:rsid w:val="009678D0"/>
    <w:rsid w:val="00971C1A"/>
    <w:rsid w:val="00972C36"/>
    <w:rsid w:val="00990B05"/>
    <w:rsid w:val="009961DD"/>
    <w:rsid w:val="00997A41"/>
    <w:rsid w:val="009B5E9D"/>
    <w:rsid w:val="009D3C7D"/>
    <w:rsid w:val="009E5C75"/>
    <w:rsid w:val="009E6D4C"/>
    <w:rsid w:val="009F7070"/>
    <w:rsid w:val="009F7805"/>
    <w:rsid w:val="00A03B5A"/>
    <w:rsid w:val="00A058E1"/>
    <w:rsid w:val="00A23248"/>
    <w:rsid w:val="00A25D61"/>
    <w:rsid w:val="00A350B2"/>
    <w:rsid w:val="00A425D1"/>
    <w:rsid w:val="00A471B2"/>
    <w:rsid w:val="00A52E16"/>
    <w:rsid w:val="00A63857"/>
    <w:rsid w:val="00A94405"/>
    <w:rsid w:val="00AA36C0"/>
    <w:rsid w:val="00AA743E"/>
    <w:rsid w:val="00AB3263"/>
    <w:rsid w:val="00AC24C9"/>
    <w:rsid w:val="00AC3EA1"/>
    <w:rsid w:val="00AD0D58"/>
    <w:rsid w:val="00AD7344"/>
    <w:rsid w:val="00AD7F47"/>
    <w:rsid w:val="00AE37AF"/>
    <w:rsid w:val="00AF1115"/>
    <w:rsid w:val="00AF3580"/>
    <w:rsid w:val="00B13F2D"/>
    <w:rsid w:val="00B15755"/>
    <w:rsid w:val="00B379EA"/>
    <w:rsid w:val="00B42D5A"/>
    <w:rsid w:val="00B5560F"/>
    <w:rsid w:val="00B55DE0"/>
    <w:rsid w:val="00B5759E"/>
    <w:rsid w:val="00B634C2"/>
    <w:rsid w:val="00B6746E"/>
    <w:rsid w:val="00B76F05"/>
    <w:rsid w:val="00B97197"/>
    <w:rsid w:val="00BA114D"/>
    <w:rsid w:val="00BA2BED"/>
    <w:rsid w:val="00BC468E"/>
    <w:rsid w:val="00BC5CF0"/>
    <w:rsid w:val="00BD22E9"/>
    <w:rsid w:val="00BE176C"/>
    <w:rsid w:val="00C17081"/>
    <w:rsid w:val="00C21363"/>
    <w:rsid w:val="00C2414D"/>
    <w:rsid w:val="00C30B9E"/>
    <w:rsid w:val="00C361B9"/>
    <w:rsid w:val="00C37312"/>
    <w:rsid w:val="00C40CC6"/>
    <w:rsid w:val="00C42F95"/>
    <w:rsid w:val="00C43333"/>
    <w:rsid w:val="00C47C3B"/>
    <w:rsid w:val="00C60BFD"/>
    <w:rsid w:val="00C62EF7"/>
    <w:rsid w:val="00C73FDE"/>
    <w:rsid w:val="00C92547"/>
    <w:rsid w:val="00CA0E4D"/>
    <w:rsid w:val="00CA2AE4"/>
    <w:rsid w:val="00CB0E9A"/>
    <w:rsid w:val="00CB7977"/>
    <w:rsid w:val="00CD6735"/>
    <w:rsid w:val="00CD67E7"/>
    <w:rsid w:val="00CE1DE0"/>
    <w:rsid w:val="00CE660B"/>
    <w:rsid w:val="00D122A6"/>
    <w:rsid w:val="00D31000"/>
    <w:rsid w:val="00D31B31"/>
    <w:rsid w:val="00D35BC8"/>
    <w:rsid w:val="00D41AD0"/>
    <w:rsid w:val="00D44528"/>
    <w:rsid w:val="00D47E62"/>
    <w:rsid w:val="00D512AA"/>
    <w:rsid w:val="00D52524"/>
    <w:rsid w:val="00D56052"/>
    <w:rsid w:val="00D611FD"/>
    <w:rsid w:val="00D70A8F"/>
    <w:rsid w:val="00D72866"/>
    <w:rsid w:val="00D767A3"/>
    <w:rsid w:val="00D77E0D"/>
    <w:rsid w:val="00D82AD7"/>
    <w:rsid w:val="00D8630A"/>
    <w:rsid w:val="00DA7350"/>
    <w:rsid w:val="00DB1111"/>
    <w:rsid w:val="00DB1EEB"/>
    <w:rsid w:val="00DB3DC4"/>
    <w:rsid w:val="00DC4A2F"/>
    <w:rsid w:val="00DD5BBD"/>
    <w:rsid w:val="00DD6388"/>
    <w:rsid w:val="00DF2FC2"/>
    <w:rsid w:val="00E07E41"/>
    <w:rsid w:val="00E16ADC"/>
    <w:rsid w:val="00E204F0"/>
    <w:rsid w:val="00E218A8"/>
    <w:rsid w:val="00E21C83"/>
    <w:rsid w:val="00E26E14"/>
    <w:rsid w:val="00E366A3"/>
    <w:rsid w:val="00E42870"/>
    <w:rsid w:val="00E43087"/>
    <w:rsid w:val="00E47A4E"/>
    <w:rsid w:val="00E7585B"/>
    <w:rsid w:val="00E75AF6"/>
    <w:rsid w:val="00E802E8"/>
    <w:rsid w:val="00E825FA"/>
    <w:rsid w:val="00E90158"/>
    <w:rsid w:val="00E9108E"/>
    <w:rsid w:val="00EA2321"/>
    <w:rsid w:val="00EC0015"/>
    <w:rsid w:val="00EC77EF"/>
    <w:rsid w:val="00ED3661"/>
    <w:rsid w:val="00ED58EC"/>
    <w:rsid w:val="00ED5C1A"/>
    <w:rsid w:val="00EE0FF2"/>
    <w:rsid w:val="00EE57D5"/>
    <w:rsid w:val="00EF4B9C"/>
    <w:rsid w:val="00EF5765"/>
    <w:rsid w:val="00EF5A8D"/>
    <w:rsid w:val="00EF6574"/>
    <w:rsid w:val="00EF7BB4"/>
    <w:rsid w:val="00F000A7"/>
    <w:rsid w:val="00F078C1"/>
    <w:rsid w:val="00F11F9E"/>
    <w:rsid w:val="00F25227"/>
    <w:rsid w:val="00F334B3"/>
    <w:rsid w:val="00F60FE7"/>
    <w:rsid w:val="00F6360F"/>
    <w:rsid w:val="00F66C62"/>
    <w:rsid w:val="00F6788F"/>
    <w:rsid w:val="00F74F7F"/>
    <w:rsid w:val="00F75013"/>
    <w:rsid w:val="00F939C3"/>
    <w:rsid w:val="00FB277F"/>
    <w:rsid w:val="00FB291D"/>
    <w:rsid w:val="00FC3C96"/>
    <w:rsid w:val="00FC5E21"/>
    <w:rsid w:val="00FD75E8"/>
    <w:rsid w:val="00FD782D"/>
    <w:rsid w:val="00FE3663"/>
    <w:rsid w:val="00FE7B22"/>
    <w:rsid w:val="00FF1716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1E548"/>
  <w15:docId w15:val="{815BEBD2-BD3D-4EC8-A658-74A1B2CD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C83"/>
    <w:pPr>
      <w:spacing w:after="0" w:line="240" w:lineRule="auto"/>
      <w:jc w:val="both"/>
    </w:pPr>
    <w:rPr>
      <w:rFonts w:ascii="Arial" w:eastAsia="Batang" w:hAnsi="Arial" w:cs="Times New Roman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8E2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AC"/>
    <w:rPr>
      <w:rFonts w:ascii="Arial" w:eastAsia="Batang" w:hAnsi="Arial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AC"/>
    <w:rPr>
      <w:rFonts w:ascii="Arial" w:eastAsia="Batang" w:hAnsi="Arial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8E2AAC"/>
    <w:pPr>
      <w:spacing w:after="0" w:line="240" w:lineRule="auto"/>
    </w:pPr>
    <w:rPr>
      <w:rFonts w:ascii="Arial" w:eastAsia="Batang" w:hAnsi="Arial" w:cs="Times New Roman"/>
      <w:sz w:val="23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AC"/>
    <w:rPr>
      <w:rFonts w:ascii="Tahoma" w:eastAsia="Batang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D5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4351F-EFA9-43E5-908F-103D6189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Wong</dc:creator>
  <cp:lastModifiedBy>Sami Rudnick</cp:lastModifiedBy>
  <cp:revision>7</cp:revision>
  <cp:lastPrinted>2014-12-22T16:20:00Z</cp:lastPrinted>
  <dcterms:created xsi:type="dcterms:W3CDTF">2017-12-06T17:13:00Z</dcterms:created>
  <dcterms:modified xsi:type="dcterms:W3CDTF">2017-12-06T19:21:00Z</dcterms:modified>
</cp:coreProperties>
</file>