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2E4D" w14:textId="0EAFB88D" w:rsidR="0050322C" w:rsidRDefault="0023034F" w:rsidP="00761966">
      <w:pPr>
        <w:jc w:val="center"/>
        <w:rPr>
          <w:rFonts w:ascii="Calibri" w:hAnsi="Calibri" w:cs="Arial"/>
          <w:b/>
          <w:szCs w:val="18"/>
        </w:rPr>
      </w:pPr>
      <w:r w:rsidRPr="00DF7547">
        <w:rPr>
          <w:rFonts w:ascii="Calibri" w:hAnsi="Calibri" w:cs="Arial"/>
          <w:b/>
          <w:noProof/>
          <w:szCs w:val="18"/>
        </w:rPr>
        <w:drawing>
          <wp:anchor distT="0" distB="0" distL="114300" distR="114300" simplePos="0" relativeHeight="251656704" behindDoc="1" locked="0" layoutInCell="1" allowOverlap="1" wp14:anchorId="3E47A77C" wp14:editId="09B56350">
            <wp:simplePos x="0" y="0"/>
            <wp:positionH relativeFrom="column">
              <wp:posOffset>40005</wp:posOffset>
            </wp:positionH>
            <wp:positionV relativeFrom="paragraph">
              <wp:posOffset>-391160</wp:posOffset>
            </wp:positionV>
            <wp:extent cx="1012190" cy="1010285"/>
            <wp:effectExtent l="0" t="0" r="0" b="0"/>
            <wp:wrapNone/>
            <wp:docPr id="5" name="Picture 2" descr="VA_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_se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547">
        <w:rPr>
          <w:rFonts w:ascii="Calibri" w:hAnsi="Calibri" w:cs="Arial"/>
          <w:b/>
          <w:noProof/>
          <w:szCs w:val="18"/>
        </w:rPr>
        <w:drawing>
          <wp:anchor distT="0" distB="0" distL="114300" distR="114300" simplePos="0" relativeHeight="251655680" behindDoc="1" locked="0" layoutInCell="1" allowOverlap="1" wp14:anchorId="5DF11A55" wp14:editId="23ADC082">
            <wp:simplePos x="0" y="0"/>
            <wp:positionH relativeFrom="margin">
              <wp:posOffset>4942205</wp:posOffset>
            </wp:positionH>
            <wp:positionV relativeFrom="margin">
              <wp:posOffset>-380365</wp:posOffset>
            </wp:positionV>
            <wp:extent cx="1033780" cy="1010285"/>
            <wp:effectExtent l="0" t="0" r="0" b="0"/>
            <wp:wrapNone/>
            <wp:docPr id="4" name="Picture 2" descr="H:\Indy Excellence logo-rgb-2in-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dy Excellence logo-rgb-2in-300pp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22C" w:rsidRPr="00DF7547">
        <w:rPr>
          <w:rFonts w:ascii="Calibri" w:hAnsi="Calibri" w:cs="Arial"/>
          <w:b/>
          <w:szCs w:val="18"/>
        </w:rPr>
        <w:t>P</w:t>
      </w:r>
      <w:r w:rsidR="00F07047" w:rsidRPr="00DF7547">
        <w:rPr>
          <w:rFonts w:ascii="Calibri" w:hAnsi="Calibri" w:cs="Arial"/>
          <w:b/>
          <w:szCs w:val="18"/>
        </w:rPr>
        <w:t>GY 2 Internal Medicine</w:t>
      </w:r>
      <w:r w:rsidR="0050322C" w:rsidRPr="00DF7547">
        <w:rPr>
          <w:rFonts w:ascii="Calibri" w:hAnsi="Calibri" w:cs="Arial"/>
          <w:b/>
          <w:szCs w:val="18"/>
        </w:rPr>
        <w:t xml:space="preserve"> Residency</w:t>
      </w:r>
    </w:p>
    <w:p w14:paraId="1E5EF33A" w14:textId="77777777" w:rsidR="00FC02A3" w:rsidRPr="00DF7547" w:rsidRDefault="00FC02A3" w:rsidP="00761966">
      <w:pPr>
        <w:jc w:val="center"/>
        <w:rPr>
          <w:rFonts w:ascii="Calibri" w:hAnsi="Calibri" w:cs="Arial"/>
          <w:b/>
          <w:szCs w:val="18"/>
        </w:rPr>
      </w:pPr>
      <w:r>
        <w:rPr>
          <w:rFonts w:ascii="Calibri" w:hAnsi="Calibri" w:cs="Arial"/>
          <w:b/>
          <w:szCs w:val="18"/>
        </w:rPr>
        <w:t>Veteran Health Indiana</w:t>
      </w:r>
    </w:p>
    <w:p w14:paraId="3BA5B4D6" w14:textId="77777777" w:rsidR="0050322C" w:rsidRDefault="0050322C" w:rsidP="00761966">
      <w:pPr>
        <w:jc w:val="center"/>
        <w:rPr>
          <w:rFonts w:ascii="Calibri" w:hAnsi="Calibri" w:cs="Arial"/>
          <w:b/>
          <w:szCs w:val="18"/>
        </w:rPr>
      </w:pPr>
      <w:r w:rsidRPr="00DF7547">
        <w:rPr>
          <w:rFonts w:ascii="Calibri" w:hAnsi="Calibri" w:cs="Arial"/>
          <w:b/>
          <w:szCs w:val="18"/>
        </w:rPr>
        <w:t>Richard L. Roudebush Veterans Affairs Medical Center</w:t>
      </w:r>
    </w:p>
    <w:p w14:paraId="5F175B7E" w14:textId="77777777" w:rsidR="009409B1" w:rsidRPr="00DF7547" w:rsidRDefault="009409B1" w:rsidP="00761966">
      <w:pPr>
        <w:jc w:val="center"/>
        <w:rPr>
          <w:rFonts w:ascii="Calibri" w:hAnsi="Calibri" w:cs="Arial"/>
          <w:b/>
          <w:szCs w:val="18"/>
        </w:rPr>
      </w:pPr>
    </w:p>
    <w:p w14:paraId="1E1DE43E" w14:textId="77777777" w:rsidR="00237B75" w:rsidRPr="00235D84" w:rsidRDefault="00C1175B" w:rsidP="009D28F8">
      <w:pPr>
        <w:pStyle w:val="NormalWeb"/>
        <w:spacing w:before="0" w:beforeAutospacing="0" w:after="0"/>
        <w:jc w:val="center"/>
        <w:rPr>
          <w:rFonts w:ascii="Calibri" w:hAnsi="Calibri" w:cs="Calibri"/>
          <w:color w:val="2E2E2E"/>
          <w:sz w:val="20"/>
          <w:szCs w:val="20"/>
          <w:shd w:val="clear" w:color="auto" w:fill="FFFFFF"/>
        </w:rPr>
      </w:pPr>
      <w:hyperlink r:id="rId10" w:history="1">
        <w:r w:rsidR="009D28F8" w:rsidRPr="00235D84">
          <w:rPr>
            <w:rStyle w:val="Hyperlink"/>
            <w:rFonts w:ascii="Calibri" w:hAnsi="Calibri" w:cs="Calibri"/>
            <w:sz w:val="20"/>
            <w:szCs w:val="20"/>
          </w:rPr>
          <w:t>Indianapolis VAMC Pharmacy Residency Program | VA Indiana Health Care | Veterans Affairs</w:t>
        </w:r>
      </w:hyperlink>
    </w:p>
    <w:p w14:paraId="7BC9CE79" w14:textId="342D9591" w:rsidR="008F2304" w:rsidRPr="004D74F4" w:rsidRDefault="008F2304" w:rsidP="00237B75">
      <w:pPr>
        <w:pStyle w:val="NormalWeb"/>
        <w:spacing w:before="0" w:beforeAutospacing="0" w:after="0"/>
        <w:rPr>
          <w:rFonts w:ascii="Calibri" w:hAnsi="Calibri" w:cs="Calibri"/>
          <w:b/>
          <w:bCs/>
          <w:i/>
          <w:iCs/>
          <w:color w:val="2E2E2E"/>
          <w:sz w:val="20"/>
          <w:szCs w:val="20"/>
          <w:shd w:val="clear" w:color="auto" w:fill="FFFFFF"/>
        </w:rPr>
      </w:pPr>
    </w:p>
    <w:p w14:paraId="5695D0C0" w14:textId="61FC8D9D" w:rsidR="00BA1D15" w:rsidRPr="00F64310" w:rsidRDefault="007C450C" w:rsidP="00BA1D15">
      <w:pPr>
        <w:pStyle w:val="NormalWeb"/>
        <w:spacing w:before="0" w:beforeAutospacing="0" w:after="0" w:line="240" w:lineRule="auto"/>
        <w:rPr>
          <w:rFonts w:ascii="Calibri" w:hAnsi="Calibri" w:cs="Calibri"/>
          <w:b/>
          <w:bCs/>
          <w:i/>
          <w:iCs/>
          <w:color w:val="2E2E2E"/>
          <w:sz w:val="22"/>
          <w:szCs w:val="22"/>
          <w:shd w:val="clear" w:color="auto" w:fill="FFFFFF"/>
        </w:rPr>
      </w:pPr>
      <w:r w:rsidRPr="00F64310">
        <w:rPr>
          <w:noProof/>
          <w:sz w:val="28"/>
          <w:szCs w:val="28"/>
        </w:rPr>
        <w:drawing>
          <wp:anchor distT="0" distB="0" distL="114300" distR="114300" simplePos="0" relativeHeight="251657728" behindDoc="0" locked="0" layoutInCell="1" allowOverlap="1" wp14:anchorId="058C2A5D" wp14:editId="6C291C66">
            <wp:simplePos x="0" y="0"/>
            <wp:positionH relativeFrom="margin">
              <wp:posOffset>3832708</wp:posOffset>
            </wp:positionH>
            <wp:positionV relativeFrom="paragraph">
              <wp:posOffset>28346</wp:posOffset>
            </wp:positionV>
            <wp:extent cx="2662555" cy="2160905"/>
            <wp:effectExtent l="0" t="0" r="444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2555"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2A3" w:rsidRPr="00F64310">
        <w:rPr>
          <w:rFonts w:ascii="Calibri" w:hAnsi="Calibri" w:cs="Calibri"/>
          <w:b/>
          <w:bCs/>
          <w:i/>
          <w:iCs/>
          <w:color w:val="2E2E2E"/>
          <w:sz w:val="22"/>
          <w:szCs w:val="22"/>
          <w:shd w:val="clear" w:color="auto" w:fill="FFFFFF"/>
        </w:rPr>
        <w:t>Program Purpose Statement:</w:t>
      </w:r>
    </w:p>
    <w:p w14:paraId="482A940D" w14:textId="2EA74486" w:rsidR="00BA1D15" w:rsidRDefault="00271478" w:rsidP="00BA1D15">
      <w:pPr>
        <w:pStyle w:val="NormalWeb"/>
        <w:spacing w:before="0" w:beforeAutospacing="0" w:after="0" w:line="240" w:lineRule="auto"/>
        <w:rPr>
          <w:rFonts w:ascii="Calibri" w:hAnsi="Calibri" w:cs="Calibri"/>
          <w:sz w:val="20"/>
          <w:szCs w:val="20"/>
        </w:rPr>
      </w:pPr>
      <w:r w:rsidRPr="00271478">
        <w:rPr>
          <w:rFonts w:ascii="Calibri" w:hAnsi="Calibri" w:cs="Calibri"/>
          <w:sz w:val="20"/>
          <w:szCs w:val="20"/>
        </w:rPr>
        <w:t xml:space="preserve">PGY2 pharmacy residency programs build on Doctor of Pharmacy (Pharm.D.) education and PGY1 pharmacy residency programs to develop pharmacist practitioners with knowledge, skills, and abilities as defined in the educational competency areas, goals, and objectives for advanced practice areas.  Residents who successfully complete PGY2 residency programs are prepared for advanced patient care or other specialized positions, and board certification in the advanced practice area, if available. </w:t>
      </w:r>
    </w:p>
    <w:p w14:paraId="108EB7A8" w14:textId="77777777" w:rsidR="00BA1D15" w:rsidRDefault="00BA1D15" w:rsidP="00BA1D15">
      <w:pPr>
        <w:rPr>
          <w:rFonts w:ascii="Calibri" w:hAnsi="Calibri" w:cs="Calibri"/>
          <w:b/>
          <w:i/>
          <w:color w:val="333333"/>
          <w:sz w:val="20"/>
          <w:szCs w:val="20"/>
        </w:rPr>
      </w:pPr>
    </w:p>
    <w:p w14:paraId="10670508" w14:textId="77777777" w:rsidR="007C450C" w:rsidRDefault="007C450C" w:rsidP="00BA1D15">
      <w:pPr>
        <w:rPr>
          <w:rFonts w:ascii="Calibri" w:hAnsi="Calibri" w:cs="Calibri"/>
          <w:b/>
          <w:i/>
          <w:color w:val="333333"/>
          <w:sz w:val="20"/>
          <w:szCs w:val="20"/>
        </w:rPr>
      </w:pPr>
    </w:p>
    <w:p w14:paraId="21F72659" w14:textId="33E5C298" w:rsidR="009409B1" w:rsidRPr="00F64310" w:rsidRDefault="009409B1" w:rsidP="00BA1D15">
      <w:pPr>
        <w:rPr>
          <w:rFonts w:ascii="Calibri" w:hAnsi="Calibri" w:cs="Calibri"/>
          <w:b/>
          <w:i/>
          <w:color w:val="333333"/>
          <w:sz w:val="22"/>
          <w:szCs w:val="22"/>
        </w:rPr>
      </w:pPr>
      <w:r w:rsidRPr="00F64310">
        <w:rPr>
          <w:rFonts w:ascii="Calibri" w:hAnsi="Calibri" w:cs="Calibri"/>
          <w:b/>
          <w:i/>
          <w:color w:val="333333"/>
          <w:sz w:val="22"/>
          <w:szCs w:val="22"/>
        </w:rPr>
        <w:t>Specific Strengths of this Residency Program:</w:t>
      </w:r>
    </w:p>
    <w:p w14:paraId="2186EE23" w14:textId="0DD8FD84" w:rsidR="009409B1" w:rsidRPr="004D74F4" w:rsidRDefault="00BA1D15" w:rsidP="00BA1D15">
      <w:pPr>
        <w:pStyle w:val="ListParagraph"/>
        <w:numPr>
          <w:ilvl w:val="0"/>
          <w:numId w:val="5"/>
        </w:numPr>
        <w:spacing w:line="240" w:lineRule="auto"/>
        <w:rPr>
          <w:rFonts w:eastAsia="Times New Roman" w:cs="Calibri"/>
          <w:color w:val="333333"/>
          <w:sz w:val="20"/>
          <w:szCs w:val="20"/>
        </w:rPr>
      </w:pPr>
      <w:r>
        <w:rPr>
          <w:rFonts w:eastAsia="Times New Roman" w:cs="Calibri"/>
          <w:color w:val="333333"/>
          <w:sz w:val="20"/>
          <w:szCs w:val="20"/>
        </w:rPr>
        <w:t>Provides</w:t>
      </w:r>
      <w:r w:rsidR="009409B1" w:rsidRPr="004D74F4">
        <w:rPr>
          <w:rFonts w:eastAsia="Times New Roman" w:cs="Calibri"/>
          <w:color w:val="333333"/>
          <w:sz w:val="20"/>
          <w:szCs w:val="20"/>
        </w:rPr>
        <w:t xml:space="preserve"> </w:t>
      </w:r>
      <w:r w:rsidR="007C450C">
        <w:rPr>
          <w:rFonts w:eastAsia="Times New Roman" w:cs="Calibri"/>
          <w:color w:val="333333"/>
          <w:sz w:val="20"/>
          <w:szCs w:val="20"/>
        </w:rPr>
        <w:t xml:space="preserve">the necessary </w:t>
      </w:r>
      <w:r>
        <w:rPr>
          <w:rFonts w:eastAsia="Times New Roman" w:cs="Calibri"/>
          <w:color w:val="333333"/>
          <w:sz w:val="20"/>
          <w:szCs w:val="20"/>
        </w:rPr>
        <w:t xml:space="preserve">training to become a clinical pharmacy practitioner in acute care </w:t>
      </w:r>
      <w:r w:rsidR="007C450C">
        <w:rPr>
          <w:rFonts w:eastAsia="Times New Roman" w:cs="Calibri"/>
          <w:color w:val="333333"/>
          <w:sz w:val="20"/>
          <w:szCs w:val="20"/>
        </w:rPr>
        <w:t xml:space="preserve">upon graduation </w:t>
      </w:r>
      <w:r w:rsidR="00271478">
        <w:rPr>
          <w:rFonts w:eastAsia="Times New Roman" w:cs="Calibri"/>
          <w:color w:val="333333"/>
          <w:sz w:val="20"/>
          <w:szCs w:val="20"/>
        </w:rPr>
        <w:t>by</w:t>
      </w:r>
      <w:r w:rsidR="009409B1" w:rsidRPr="004D74F4">
        <w:rPr>
          <w:rFonts w:eastAsia="Times New Roman" w:cs="Calibri"/>
          <w:color w:val="333333"/>
          <w:sz w:val="20"/>
          <w:szCs w:val="20"/>
        </w:rPr>
        <w:t xml:space="preserve"> integrating </w:t>
      </w:r>
      <w:r>
        <w:rPr>
          <w:rFonts w:eastAsia="Times New Roman" w:cs="Calibri"/>
          <w:color w:val="333333"/>
          <w:sz w:val="20"/>
          <w:szCs w:val="20"/>
        </w:rPr>
        <w:t xml:space="preserve">the necessary </w:t>
      </w:r>
      <w:r w:rsidR="009409B1" w:rsidRPr="004D74F4">
        <w:rPr>
          <w:rFonts w:eastAsia="Times New Roman" w:cs="Calibri"/>
          <w:color w:val="333333"/>
          <w:sz w:val="20"/>
          <w:szCs w:val="20"/>
        </w:rPr>
        <w:t>experience and knowledge</w:t>
      </w:r>
      <w:r>
        <w:rPr>
          <w:rFonts w:eastAsia="Times New Roman" w:cs="Calibri"/>
          <w:color w:val="333333"/>
          <w:sz w:val="20"/>
          <w:szCs w:val="20"/>
        </w:rPr>
        <w:t xml:space="preserve"> to provide </w:t>
      </w:r>
      <w:r w:rsidR="00271478">
        <w:rPr>
          <w:rFonts w:eastAsia="Times New Roman" w:cs="Calibri"/>
          <w:color w:val="333333"/>
          <w:sz w:val="20"/>
          <w:szCs w:val="20"/>
        </w:rPr>
        <w:t>comprehensive medication management</w:t>
      </w:r>
      <w:r w:rsidR="009409B1" w:rsidRPr="004D74F4">
        <w:rPr>
          <w:rFonts w:eastAsia="Times New Roman" w:cs="Calibri"/>
          <w:color w:val="333333"/>
          <w:sz w:val="20"/>
          <w:szCs w:val="20"/>
        </w:rPr>
        <w:t xml:space="preserve"> for</w:t>
      </w:r>
      <w:r>
        <w:rPr>
          <w:rFonts w:eastAsia="Times New Roman" w:cs="Calibri"/>
          <w:color w:val="333333"/>
          <w:sz w:val="20"/>
          <w:szCs w:val="20"/>
        </w:rPr>
        <w:t xml:space="preserve"> Veteran patients.</w:t>
      </w:r>
    </w:p>
    <w:p w14:paraId="7E657897" w14:textId="77777777" w:rsidR="00BA1D15" w:rsidRDefault="009409B1" w:rsidP="00BA1D15">
      <w:pPr>
        <w:pStyle w:val="ListParagraph"/>
        <w:numPr>
          <w:ilvl w:val="0"/>
          <w:numId w:val="5"/>
        </w:numPr>
        <w:spacing w:before="100" w:beforeAutospacing="1" w:line="240" w:lineRule="auto"/>
        <w:rPr>
          <w:rFonts w:eastAsia="Times New Roman" w:cs="Calibri"/>
          <w:color w:val="333333"/>
          <w:sz w:val="20"/>
          <w:szCs w:val="20"/>
        </w:rPr>
      </w:pPr>
      <w:r w:rsidRPr="004D74F4">
        <w:rPr>
          <w:rFonts w:eastAsia="Times New Roman" w:cs="Calibri"/>
          <w:color w:val="333333"/>
          <w:sz w:val="20"/>
          <w:szCs w:val="20"/>
        </w:rPr>
        <w:t>Clinical education and advanced training in internal medicine will occur in both the inpatient and outpatient settings.</w:t>
      </w:r>
    </w:p>
    <w:p w14:paraId="506A8B55" w14:textId="67AEB2C7" w:rsidR="009409B1" w:rsidRPr="004D74F4" w:rsidRDefault="009409B1" w:rsidP="00BA1D15">
      <w:pPr>
        <w:pStyle w:val="ListParagraph"/>
        <w:numPr>
          <w:ilvl w:val="0"/>
          <w:numId w:val="5"/>
        </w:numPr>
        <w:spacing w:before="100" w:beforeAutospacing="1" w:line="240" w:lineRule="auto"/>
        <w:rPr>
          <w:rFonts w:eastAsia="Times New Roman" w:cs="Calibri"/>
          <w:color w:val="333333"/>
          <w:sz w:val="20"/>
          <w:szCs w:val="20"/>
        </w:rPr>
      </w:pPr>
      <w:r w:rsidRPr="004D74F4">
        <w:rPr>
          <w:rFonts w:eastAsia="Times New Roman" w:cs="Calibri"/>
          <w:color w:val="333333"/>
          <w:sz w:val="20"/>
          <w:szCs w:val="20"/>
        </w:rPr>
        <w:t>Residents will gain clinical skills and knowledge in pharmacotherapy, pharmacokinetics, and the pathophysiology of core Internal Medicine disease states</w:t>
      </w:r>
      <w:r w:rsidR="00296B00">
        <w:rPr>
          <w:rFonts w:eastAsia="Times New Roman" w:cs="Calibri"/>
          <w:color w:val="333333"/>
          <w:sz w:val="20"/>
          <w:szCs w:val="20"/>
        </w:rPr>
        <w:t xml:space="preserve"> on multidisciplinary health care teams providing veteran-centered care </w:t>
      </w:r>
    </w:p>
    <w:p w14:paraId="227014D2" w14:textId="1CCCD7BE" w:rsidR="009409B1" w:rsidRPr="004D74F4" w:rsidRDefault="007C450C" w:rsidP="00BA1D15">
      <w:pPr>
        <w:pStyle w:val="ListParagraph"/>
        <w:numPr>
          <w:ilvl w:val="0"/>
          <w:numId w:val="5"/>
        </w:numPr>
        <w:spacing w:before="100" w:beforeAutospacing="1" w:line="240" w:lineRule="auto"/>
        <w:rPr>
          <w:rFonts w:eastAsia="Times New Roman" w:cs="Calibri"/>
          <w:color w:val="333333"/>
          <w:sz w:val="20"/>
          <w:szCs w:val="20"/>
        </w:rPr>
      </w:pPr>
      <w:r>
        <w:rPr>
          <w:rFonts w:eastAsia="Times New Roman" w:cs="Calibri"/>
          <w:color w:val="333333"/>
          <w:sz w:val="20"/>
          <w:szCs w:val="20"/>
        </w:rPr>
        <w:t>Learning experiences</w:t>
      </w:r>
      <w:r w:rsidR="009409B1" w:rsidRPr="004D74F4">
        <w:rPr>
          <w:rFonts w:eastAsia="Times New Roman" w:cs="Calibri"/>
          <w:color w:val="333333"/>
          <w:sz w:val="20"/>
          <w:szCs w:val="20"/>
        </w:rPr>
        <w:t xml:space="preserve"> include six months of rounding on VA Internal Medicine multidisciplinary medical teams </w:t>
      </w:r>
      <w:r w:rsidR="004302F0" w:rsidRPr="004D74F4">
        <w:rPr>
          <w:rFonts w:eastAsia="Times New Roman" w:cs="Calibri"/>
          <w:color w:val="333333"/>
          <w:sz w:val="20"/>
          <w:szCs w:val="20"/>
        </w:rPr>
        <w:t xml:space="preserve">(teaching and non-teaching) </w:t>
      </w:r>
      <w:r w:rsidR="009409B1" w:rsidRPr="004D74F4">
        <w:rPr>
          <w:rFonts w:eastAsia="Times New Roman" w:cs="Calibri"/>
          <w:color w:val="333333"/>
          <w:sz w:val="20"/>
          <w:szCs w:val="20"/>
        </w:rPr>
        <w:t>providing prospective</w:t>
      </w:r>
      <w:r w:rsidR="004302F0" w:rsidRPr="004D74F4">
        <w:rPr>
          <w:rFonts w:eastAsia="Times New Roman" w:cs="Calibri"/>
          <w:color w:val="333333"/>
          <w:sz w:val="20"/>
          <w:szCs w:val="20"/>
        </w:rPr>
        <w:t xml:space="preserve">, </w:t>
      </w:r>
      <w:r w:rsidR="009409B1" w:rsidRPr="004D74F4">
        <w:rPr>
          <w:rFonts w:eastAsia="Times New Roman" w:cs="Calibri"/>
          <w:color w:val="333333"/>
          <w:sz w:val="20"/>
          <w:szCs w:val="20"/>
        </w:rPr>
        <w:t xml:space="preserve">comprehensive pharmaceutical care. </w:t>
      </w:r>
    </w:p>
    <w:p w14:paraId="40DB8711" w14:textId="06A831FC" w:rsidR="009409B1" w:rsidRPr="004D74F4" w:rsidRDefault="009409B1" w:rsidP="00BA1D15">
      <w:pPr>
        <w:pStyle w:val="ListParagraph"/>
        <w:numPr>
          <w:ilvl w:val="1"/>
          <w:numId w:val="5"/>
        </w:numPr>
        <w:spacing w:before="100" w:beforeAutospacing="1" w:line="240" w:lineRule="auto"/>
        <w:rPr>
          <w:rFonts w:eastAsia="Times New Roman" w:cs="Calibri"/>
          <w:color w:val="333333"/>
          <w:sz w:val="20"/>
          <w:szCs w:val="20"/>
        </w:rPr>
      </w:pPr>
      <w:r w:rsidRPr="004D74F4">
        <w:rPr>
          <w:rFonts w:eastAsia="Times New Roman" w:cs="Calibri"/>
          <w:color w:val="333333"/>
          <w:sz w:val="20"/>
          <w:szCs w:val="20"/>
        </w:rPr>
        <w:t xml:space="preserve">Additional required </w:t>
      </w:r>
      <w:r w:rsidR="007C450C">
        <w:rPr>
          <w:rFonts w:eastAsia="Times New Roman" w:cs="Calibri"/>
          <w:color w:val="333333"/>
          <w:sz w:val="20"/>
          <w:szCs w:val="20"/>
        </w:rPr>
        <w:t>learning experiences</w:t>
      </w:r>
      <w:r w:rsidRPr="004D74F4">
        <w:rPr>
          <w:rFonts w:eastAsia="Times New Roman" w:cs="Calibri"/>
          <w:color w:val="333333"/>
          <w:sz w:val="20"/>
          <w:szCs w:val="20"/>
        </w:rPr>
        <w:t xml:space="preserve"> include ambulatory care, critical care, and medication safety to cover the entire continuum of care.  </w:t>
      </w:r>
    </w:p>
    <w:p w14:paraId="40D97BA8" w14:textId="5269A032" w:rsidR="009409B1" w:rsidRPr="004D74F4" w:rsidRDefault="009409B1" w:rsidP="00BA1D15">
      <w:pPr>
        <w:pStyle w:val="ListParagraph"/>
        <w:numPr>
          <w:ilvl w:val="1"/>
          <w:numId w:val="5"/>
        </w:numPr>
        <w:spacing w:before="100" w:beforeAutospacing="1" w:line="240" w:lineRule="auto"/>
        <w:rPr>
          <w:rFonts w:eastAsia="Times New Roman" w:cs="Calibri"/>
          <w:color w:val="333333"/>
          <w:sz w:val="20"/>
          <w:szCs w:val="20"/>
        </w:rPr>
      </w:pPr>
      <w:r w:rsidRPr="004D74F4">
        <w:rPr>
          <w:rFonts w:eastAsia="Times New Roman" w:cs="Calibri"/>
          <w:color w:val="333333"/>
          <w:sz w:val="20"/>
          <w:szCs w:val="20"/>
        </w:rPr>
        <w:t>Additional</w:t>
      </w:r>
      <w:r w:rsidR="00296B00">
        <w:rPr>
          <w:rFonts w:eastAsia="Times New Roman" w:cs="Calibri"/>
          <w:color w:val="333333"/>
          <w:sz w:val="20"/>
          <w:szCs w:val="20"/>
        </w:rPr>
        <w:t xml:space="preserve"> </w:t>
      </w:r>
      <w:r w:rsidR="005A5CD2">
        <w:rPr>
          <w:rFonts w:eastAsia="Times New Roman" w:cs="Calibri"/>
          <w:color w:val="333333"/>
          <w:sz w:val="20"/>
          <w:szCs w:val="20"/>
        </w:rPr>
        <w:t xml:space="preserve">11 month </w:t>
      </w:r>
      <w:r w:rsidR="00296B00">
        <w:rPr>
          <w:rFonts w:eastAsia="Times New Roman" w:cs="Calibri"/>
          <w:color w:val="333333"/>
          <w:sz w:val="20"/>
          <w:szCs w:val="20"/>
        </w:rPr>
        <w:t>long</w:t>
      </w:r>
      <w:r w:rsidRPr="004D74F4">
        <w:rPr>
          <w:rFonts w:eastAsia="Times New Roman" w:cs="Calibri"/>
          <w:color w:val="333333"/>
          <w:sz w:val="20"/>
          <w:szCs w:val="20"/>
        </w:rPr>
        <w:t xml:space="preserve"> longitudinal experiences that are required are administration/management, </w:t>
      </w:r>
      <w:r w:rsidR="004302F0" w:rsidRPr="004D74F4">
        <w:rPr>
          <w:rFonts w:eastAsia="Times New Roman" w:cs="Calibri"/>
          <w:color w:val="333333"/>
          <w:sz w:val="20"/>
          <w:szCs w:val="20"/>
        </w:rPr>
        <w:t>and longitudinal quality improvement</w:t>
      </w:r>
      <w:r w:rsidRPr="004D74F4">
        <w:rPr>
          <w:rFonts w:eastAsia="Times New Roman" w:cs="Calibri"/>
          <w:color w:val="333333"/>
          <w:sz w:val="20"/>
          <w:szCs w:val="20"/>
        </w:rPr>
        <w:t xml:space="preserve"> project</w:t>
      </w:r>
    </w:p>
    <w:p w14:paraId="7269A5C2" w14:textId="77777777" w:rsidR="004302F0" w:rsidRPr="004D74F4" w:rsidRDefault="009409B1" w:rsidP="00BA1D15">
      <w:pPr>
        <w:pStyle w:val="ListParagraph"/>
        <w:numPr>
          <w:ilvl w:val="1"/>
          <w:numId w:val="5"/>
        </w:numPr>
        <w:spacing w:before="100" w:beforeAutospacing="1" w:line="240" w:lineRule="auto"/>
        <w:rPr>
          <w:rFonts w:eastAsia="Times New Roman" w:cs="Calibri"/>
          <w:color w:val="333333"/>
          <w:sz w:val="20"/>
          <w:szCs w:val="20"/>
        </w:rPr>
      </w:pPr>
      <w:r w:rsidRPr="004D74F4">
        <w:rPr>
          <w:rFonts w:eastAsia="Times New Roman" w:cs="Calibri"/>
          <w:color w:val="333333"/>
          <w:sz w:val="20"/>
          <w:szCs w:val="20"/>
        </w:rPr>
        <w:t>Elective</w:t>
      </w:r>
      <w:r w:rsidR="00AA07F7" w:rsidRPr="004D74F4">
        <w:rPr>
          <w:rFonts w:eastAsia="Times New Roman" w:cs="Calibri"/>
          <w:color w:val="333333"/>
          <w:sz w:val="20"/>
          <w:szCs w:val="20"/>
        </w:rPr>
        <w:t xml:space="preserve"> Learning Experience opportunities:</w:t>
      </w:r>
    </w:p>
    <w:p w14:paraId="5A08F97D" w14:textId="77777777" w:rsidR="00AA07F7" w:rsidRPr="004D74F4" w:rsidRDefault="00AA07F7" w:rsidP="00BA1D15">
      <w:pPr>
        <w:pStyle w:val="ListParagraph"/>
        <w:numPr>
          <w:ilvl w:val="2"/>
          <w:numId w:val="5"/>
        </w:numPr>
        <w:spacing w:before="100" w:beforeAutospacing="1" w:line="240" w:lineRule="auto"/>
        <w:rPr>
          <w:rFonts w:eastAsia="Times New Roman" w:cs="Calibri"/>
          <w:color w:val="333333"/>
          <w:sz w:val="20"/>
          <w:szCs w:val="20"/>
        </w:rPr>
      </w:pPr>
      <w:r w:rsidRPr="004D74F4">
        <w:rPr>
          <w:rFonts w:eastAsia="Times New Roman" w:cs="Calibri"/>
          <w:color w:val="333333"/>
          <w:sz w:val="20"/>
          <w:szCs w:val="20"/>
        </w:rPr>
        <w:t>Academic Rotation with Butler University College of Pharmacy</w:t>
      </w:r>
    </w:p>
    <w:p w14:paraId="25580D8C" w14:textId="77777777" w:rsidR="00AA07F7" w:rsidRPr="00AA07F7" w:rsidRDefault="00AA07F7" w:rsidP="00BA1D15">
      <w:pPr>
        <w:pStyle w:val="ListParagraph"/>
        <w:numPr>
          <w:ilvl w:val="2"/>
          <w:numId w:val="5"/>
        </w:numPr>
        <w:spacing w:before="100" w:beforeAutospacing="1" w:line="240" w:lineRule="auto"/>
        <w:rPr>
          <w:rFonts w:eastAsia="Times New Roman" w:cs="Calibri"/>
          <w:color w:val="333333"/>
          <w:sz w:val="20"/>
          <w:szCs w:val="20"/>
        </w:rPr>
      </w:pPr>
      <w:r w:rsidRPr="00AA07F7">
        <w:rPr>
          <w:rFonts w:eastAsia="Times New Roman" w:cs="Calibri"/>
          <w:color w:val="333333"/>
          <w:sz w:val="20"/>
          <w:szCs w:val="20"/>
        </w:rPr>
        <w:t xml:space="preserve">Emergency Medicine </w:t>
      </w:r>
    </w:p>
    <w:p w14:paraId="3E0C853B" w14:textId="77777777" w:rsidR="004302F0" w:rsidRPr="004D74F4" w:rsidRDefault="004302F0" w:rsidP="00BA1D15">
      <w:pPr>
        <w:pStyle w:val="ListParagraph"/>
        <w:numPr>
          <w:ilvl w:val="2"/>
          <w:numId w:val="5"/>
        </w:numPr>
        <w:spacing w:before="100" w:beforeAutospacing="1" w:line="240" w:lineRule="auto"/>
        <w:rPr>
          <w:rFonts w:eastAsia="Times New Roman" w:cs="Calibri"/>
          <w:color w:val="333333"/>
          <w:sz w:val="20"/>
          <w:szCs w:val="20"/>
        </w:rPr>
      </w:pPr>
      <w:r w:rsidRPr="004D74F4">
        <w:rPr>
          <w:rFonts w:eastAsia="Times New Roman" w:cs="Calibri"/>
          <w:color w:val="333333"/>
          <w:sz w:val="20"/>
          <w:szCs w:val="20"/>
        </w:rPr>
        <w:t>Infectious Disease</w:t>
      </w:r>
    </w:p>
    <w:p w14:paraId="01600C51" w14:textId="77777777" w:rsidR="004302F0" w:rsidRPr="004D74F4" w:rsidRDefault="004302F0" w:rsidP="00BA1D15">
      <w:pPr>
        <w:pStyle w:val="ListParagraph"/>
        <w:numPr>
          <w:ilvl w:val="2"/>
          <w:numId w:val="5"/>
        </w:numPr>
        <w:spacing w:before="100" w:beforeAutospacing="1" w:line="240" w:lineRule="auto"/>
        <w:rPr>
          <w:rFonts w:eastAsia="Times New Roman" w:cs="Calibri"/>
          <w:color w:val="333333"/>
          <w:sz w:val="20"/>
          <w:szCs w:val="20"/>
        </w:rPr>
      </w:pPr>
      <w:r w:rsidRPr="004D74F4">
        <w:rPr>
          <w:rFonts w:eastAsia="Times New Roman" w:cs="Calibri"/>
          <w:color w:val="333333"/>
          <w:sz w:val="20"/>
          <w:szCs w:val="20"/>
        </w:rPr>
        <w:t>Inpatient Psychiatry</w:t>
      </w:r>
    </w:p>
    <w:p w14:paraId="5CC537C5" w14:textId="77777777" w:rsidR="004302F0" w:rsidRPr="004D74F4" w:rsidRDefault="004302F0" w:rsidP="00BA1D15">
      <w:pPr>
        <w:pStyle w:val="ListParagraph"/>
        <w:numPr>
          <w:ilvl w:val="2"/>
          <w:numId w:val="5"/>
        </w:numPr>
        <w:spacing w:before="100" w:beforeAutospacing="1" w:line="240" w:lineRule="auto"/>
        <w:rPr>
          <w:rFonts w:eastAsia="Times New Roman" w:cs="Calibri"/>
          <w:color w:val="333333"/>
          <w:sz w:val="20"/>
          <w:szCs w:val="20"/>
        </w:rPr>
      </w:pPr>
      <w:r w:rsidRPr="004D74F4">
        <w:rPr>
          <w:rFonts w:eastAsia="Times New Roman" w:cs="Calibri"/>
          <w:color w:val="333333"/>
          <w:sz w:val="20"/>
          <w:szCs w:val="20"/>
        </w:rPr>
        <w:t>Surgical Care</w:t>
      </w:r>
    </w:p>
    <w:p w14:paraId="5429E629" w14:textId="124A34C6" w:rsidR="00185D95" w:rsidRPr="007C450C" w:rsidRDefault="00237B75" w:rsidP="007C450C">
      <w:pPr>
        <w:pStyle w:val="ListParagraph"/>
        <w:numPr>
          <w:ilvl w:val="0"/>
          <w:numId w:val="5"/>
        </w:numPr>
        <w:spacing w:before="100" w:beforeAutospacing="1" w:line="0" w:lineRule="atLeast"/>
        <w:rPr>
          <w:rFonts w:eastAsia="Times New Roman" w:cs="Calibri"/>
          <w:color w:val="333333"/>
          <w:sz w:val="20"/>
          <w:szCs w:val="20"/>
        </w:rPr>
      </w:pPr>
      <w:r w:rsidRPr="004D74F4">
        <w:rPr>
          <w:rFonts w:eastAsia="Times New Roman" w:cs="Calibri"/>
          <w:color w:val="333333"/>
          <w:sz w:val="20"/>
          <w:szCs w:val="20"/>
        </w:rPr>
        <w:t>This program has g</w:t>
      </w:r>
      <w:r w:rsidR="009409B1" w:rsidRPr="004D74F4">
        <w:rPr>
          <w:rFonts w:eastAsia="Times New Roman" w:cs="Calibri"/>
          <w:color w:val="333333"/>
          <w:sz w:val="20"/>
          <w:szCs w:val="20"/>
        </w:rPr>
        <w:t xml:space="preserve">raduated </w:t>
      </w:r>
      <w:r w:rsidR="009409B1" w:rsidRPr="004D74F4">
        <w:rPr>
          <w:rFonts w:eastAsia="Times New Roman" w:cs="Calibri"/>
          <w:b/>
          <w:bCs/>
          <w:i/>
          <w:iCs/>
          <w:color w:val="333333"/>
          <w:sz w:val="20"/>
          <w:szCs w:val="20"/>
        </w:rPr>
        <w:t>17 PGY2 IM residents over 14 years of existence</w:t>
      </w:r>
      <w:r w:rsidRPr="004D74F4">
        <w:rPr>
          <w:rFonts w:eastAsia="Times New Roman" w:cs="Calibri"/>
          <w:color w:val="333333"/>
          <w:sz w:val="20"/>
          <w:szCs w:val="20"/>
        </w:rPr>
        <w:t>.  A</w:t>
      </w:r>
      <w:r w:rsidR="009409B1" w:rsidRPr="004D74F4">
        <w:rPr>
          <w:rFonts w:eastAsia="Times New Roman" w:cs="Calibri"/>
          <w:color w:val="333333"/>
          <w:sz w:val="20"/>
          <w:szCs w:val="20"/>
        </w:rPr>
        <w:t>ll are board certified and practicing in variety of acute care, ambulatory care, and pharmacy leadership positions</w:t>
      </w:r>
      <w:r w:rsidRPr="004D74F4">
        <w:rPr>
          <w:rFonts w:eastAsia="Times New Roman" w:cs="Calibri"/>
          <w:color w:val="333333"/>
          <w:sz w:val="20"/>
          <w:szCs w:val="20"/>
        </w:rPr>
        <w:t xml:space="preserve"> across the country.</w:t>
      </w:r>
    </w:p>
    <w:p w14:paraId="2D8502D2" w14:textId="77777777" w:rsidR="00296B00" w:rsidRDefault="00296B00" w:rsidP="00F70379">
      <w:pPr>
        <w:rPr>
          <w:rFonts w:ascii="Calibri" w:hAnsi="Calibri" w:cs="Calibri"/>
          <w:b/>
          <w:i/>
          <w:sz w:val="20"/>
          <w:szCs w:val="20"/>
        </w:rPr>
      </w:pPr>
      <w:r>
        <w:rPr>
          <w:noProof/>
        </w:rPr>
        <w:drawing>
          <wp:anchor distT="0" distB="0" distL="114300" distR="114300" simplePos="0" relativeHeight="251659776" behindDoc="1" locked="0" layoutInCell="1" allowOverlap="1" wp14:anchorId="6D41F272" wp14:editId="2441F3B0">
            <wp:simplePos x="0" y="0"/>
            <wp:positionH relativeFrom="margin">
              <wp:posOffset>237656</wp:posOffset>
            </wp:positionH>
            <wp:positionV relativeFrom="paragraph">
              <wp:posOffset>175454</wp:posOffset>
            </wp:positionV>
            <wp:extent cx="5943600" cy="1384935"/>
            <wp:effectExtent l="0" t="0" r="0" b="0"/>
            <wp:wrapTight wrapText="bothSides">
              <wp:wrapPolygon edited="0">
                <wp:start x="0" y="0"/>
                <wp:lineTo x="0" y="21392"/>
                <wp:lineTo x="21531" y="21392"/>
                <wp:lineTo x="21531" y="0"/>
                <wp:lineTo x="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8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7FD9A" w14:textId="49D28D56" w:rsidR="0050322C" w:rsidRPr="00296B00" w:rsidRDefault="0050322C" w:rsidP="00F70379">
      <w:pPr>
        <w:rPr>
          <w:rFonts w:ascii="Calibri" w:hAnsi="Calibri" w:cs="Calibri"/>
          <w:b/>
          <w:i/>
          <w:sz w:val="20"/>
          <w:szCs w:val="20"/>
        </w:rPr>
      </w:pPr>
      <w:r w:rsidRPr="00F64310">
        <w:rPr>
          <w:rFonts w:ascii="Calibri" w:hAnsi="Calibri" w:cs="Calibri"/>
          <w:b/>
          <w:i/>
          <w:sz w:val="22"/>
          <w:szCs w:val="22"/>
        </w:rPr>
        <w:lastRenderedPageBreak/>
        <w:t>The resident experiences shall include, but are not limited to, the follo</w:t>
      </w:r>
      <w:r w:rsidR="009031FF" w:rsidRPr="00F64310">
        <w:rPr>
          <w:rFonts w:ascii="Calibri" w:hAnsi="Calibri" w:cs="Calibri"/>
          <w:b/>
          <w:i/>
          <w:sz w:val="22"/>
          <w:szCs w:val="22"/>
        </w:rPr>
        <w:t>wing:</w:t>
      </w:r>
    </w:p>
    <w:p w14:paraId="5648DB81" w14:textId="2A1E01EB" w:rsidR="008F5F98" w:rsidRPr="004D74F4" w:rsidRDefault="007C450C" w:rsidP="00296B00">
      <w:pPr>
        <w:numPr>
          <w:ilvl w:val="0"/>
          <w:numId w:val="7"/>
        </w:numPr>
        <w:rPr>
          <w:rFonts w:ascii="Calibri" w:hAnsi="Calibri" w:cs="Calibri"/>
          <w:sz w:val="20"/>
          <w:szCs w:val="20"/>
        </w:rPr>
      </w:pPr>
      <w:r>
        <w:rPr>
          <w:noProof/>
        </w:rPr>
        <w:drawing>
          <wp:anchor distT="0" distB="0" distL="114300" distR="114300" simplePos="0" relativeHeight="251658752" behindDoc="1" locked="0" layoutInCell="1" allowOverlap="1" wp14:anchorId="15FEF641" wp14:editId="22A0E9ED">
            <wp:simplePos x="0" y="0"/>
            <wp:positionH relativeFrom="margin">
              <wp:posOffset>3924478</wp:posOffset>
            </wp:positionH>
            <wp:positionV relativeFrom="paragraph">
              <wp:posOffset>74422</wp:posOffset>
            </wp:positionV>
            <wp:extent cx="2750185" cy="1903730"/>
            <wp:effectExtent l="0" t="0" r="0" b="1270"/>
            <wp:wrapTight wrapText="bothSides">
              <wp:wrapPolygon edited="0">
                <wp:start x="0" y="0"/>
                <wp:lineTo x="0" y="21398"/>
                <wp:lineTo x="21396" y="21398"/>
                <wp:lineTo x="21396" y="0"/>
                <wp:lineTo x="0"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0185" cy="190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F98" w:rsidRPr="004D74F4">
        <w:rPr>
          <w:rFonts w:ascii="Calibri" w:hAnsi="Calibri" w:cs="Calibri"/>
          <w:sz w:val="20"/>
          <w:szCs w:val="20"/>
        </w:rPr>
        <w:t>Comprehensive care model includes clinical rounding, medication reconciliation, discharge education, and order entry</w:t>
      </w:r>
      <w:r>
        <w:rPr>
          <w:rFonts w:ascii="Calibri" w:hAnsi="Calibri" w:cs="Calibri"/>
          <w:sz w:val="20"/>
          <w:szCs w:val="20"/>
        </w:rPr>
        <w:t xml:space="preserve"> activities </w:t>
      </w:r>
    </w:p>
    <w:p w14:paraId="4419C68B" w14:textId="65FCA92F" w:rsidR="0083223F" w:rsidRPr="005A5CD2" w:rsidRDefault="005A5CD2" w:rsidP="005A5CD2">
      <w:pPr>
        <w:numPr>
          <w:ilvl w:val="0"/>
          <w:numId w:val="7"/>
        </w:numPr>
        <w:rPr>
          <w:rFonts w:ascii="Calibri" w:hAnsi="Calibri" w:cs="Calibri"/>
          <w:sz w:val="20"/>
          <w:szCs w:val="20"/>
        </w:rPr>
      </w:pPr>
      <w:r>
        <w:rPr>
          <w:rFonts w:ascii="Calibri" w:hAnsi="Calibri" w:cs="Calibri"/>
          <w:sz w:val="20"/>
          <w:szCs w:val="20"/>
        </w:rPr>
        <w:t>Pharmacist</w:t>
      </w:r>
      <w:r w:rsidR="0083223F" w:rsidRPr="004D74F4">
        <w:rPr>
          <w:rFonts w:ascii="Calibri" w:hAnsi="Calibri" w:cs="Calibri"/>
          <w:sz w:val="20"/>
          <w:szCs w:val="20"/>
        </w:rPr>
        <w:t xml:space="preserve"> to patient staffing ratios t</w:t>
      </w:r>
      <w:r>
        <w:rPr>
          <w:rFonts w:ascii="Calibri" w:hAnsi="Calibri" w:cs="Calibri"/>
          <w:sz w:val="20"/>
          <w:szCs w:val="20"/>
        </w:rPr>
        <w:t>hat</w:t>
      </w:r>
      <w:r w:rsidR="0083223F" w:rsidRPr="004D74F4">
        <w:rPr>
          <w:rFonts w:ascii="Calibri" w:hAnsi="Calibri" w:cs="Calibri"/>
          <w:sz w:val="20"/>
          <w:szCs w:val="20"/>
        </w:rPr>
        <w:t xml:space="preserve"> allow pharmacist and pharmacy residents abilities to manage comprehensive care of their patients from admission to discharge</w:t>
      </w:r>
      <w:r w:rsidR="0083223F" w:rsidRPr="005A5CD2">
        <w:rPr>
          <w:rFonts w:ascii="Calibri" w:hAnsi="Calibri" w:cs="Calibri"/>
          <w:sz w:val="20"/>
          <w:szCs w:val="20"/>
        </w:rPr>
        <w:t xml:space="preserve">  </w:t>
      </w:r>
    </w:p>
    <w:p w14:paraId="2BE2A4CE" w14:textId="47CA2ECD" w:rsidR="001769DE" w:rsidRPr="004D74F4" w:rsidRDefault="008F5F98" w:rsidP="00296B00">
      <w:pPr>
        <w:numPr>
          <w:ilvl w:val="0"/>
          <w:numId w:val="7"/>
        </w:numPr>
        <w:rPr>
          <w:rFonts w:ascii="Calibri" w:hAnsi="Calibri" w:cs="Calibri"/>
          <w:sz w:val="20"/>
          <w:szCs w:val="20"/>
        </w:rPr>
      </w:pPr>
      <w:r w:rsidRPr="004D74F4">
        <w:rPr>
          <w:rFonts w:ascii="Calibri" w:hAnsi="Calibri" w:cs="Calibri"/>
          <w:sz w:val="20"/>
          <w:szCs w:val="20"/>
        </w:rPr>
        <w:t xml:space="preserve">Dedicated pharmacist computer space within the medicine team rooms enhancing collaboration and communication </w:t>
      </w:r>
    </w:p>
    <w:p w14:paraId="176B880C" w14:textId="572FA725" w:rsidR="001843C8" w:rsidRPr="004D74F4" w:rsidRDefault="001843C8" w:rsidP="00296B00">
      <w:pPr>
        <w:numPr>
          <w:ilvl w:val="0"/>
          <w:numId w:val="7"/>
        </w:numPr>
        <w:rPr>
          <w:rFonts w:ascii="Calibri" w:hAnsi="Calibri" w:cs="Calibri"/>
          <w:sz w:val="20"/>
          <w:szCs w:val="20"/>
        </w:rPr>
      </w:pPr>
      <w:r w:rsidRPr="004D74F4">
        <w:rPr>
          <w:rFonts w:ascii="Calibri" w:hAnsi="Calibri" w:cs="Calibri"/>
          <w:sz w:val="20"/>
          <w:szCs w:val="20"/>
        </w:rPr>
        <w:t xml:space="preserve">Teaching and precepting experiences for both APPE students and </w:t>
      </w:r>
      <w:r w:rsidR="0090532B" w:rsidRPr="004D74F4">
        <w:rPr>
          <w:rFonts w:ascii="Calibri" w:hAnsi="Calibri" w:cs="Calibri"/>
          <w:sz w:val="20"/>
          <w:szCs w:val="20"/>
        </w:rPr>
        <w:t xml:space="preserve">layered learning with </w:t>
      </w:r>
      <w:r w:rsidRPr="004D74F4">
        <w:rPr>
          <w:rFonts w:ascii="Calibri" w:hAnsi="Calibri" w:cs="Calibri"/>
          <w:sz w:val="20"/>
          <w:szCs w:val="20"/>
        </w:rPr>
        <w:t>PGY1 level residents</w:t>
      </w:r>
    </w:p>
    <w:p w14:paraId="134EE032" w14:textId="196DB52A" w:rsidR="0050322C" w:rsidRPr="004D74F4" w:rsidRDefault="0050322C" w:rsidP="00296B00">
      <w:pPr>
        <w:numPr>
          <w:ilvl w:val="0"/>
          <w:numId w:val="7"/>
        </w:numPr>
        <w:rPr>
          <w:rFonts w:ascii="Calibri" w:hAnsi="Calibri" w:cs="Calibri"/>
          <w:sz w:val="20"/>
          <w:szCs w:val="20"/>
        </w:rPr>
      </w:pPr>
      <w:r w:rsidRPr="004D74F4">
        <w:rPr>
          <w:rFonts w:ascii="Calibri" w:hAnsi="Calibri" w:cs="Calibri"/>
          <w:sz w:val="20"/>
          <w:szCs w:val="20"/>
        </w:rPr>
        <w:t>Development and co</w:t>
      </w:r>
      <w:r w:rsidR="001843C8" w:rsidRPr="004D74F4">
        <w:rPr>
          <w:rFonts w:ascii="Calibri" w:hAnsi="Calibri" w:cs="Calibri"/>
          <w:sz w:val="20"/>
          <w:szCs w:val="20"/>
        </w:rPr>
        <w:t xml:space="preserve">mpletion of a longitudinal </w:t>
      </w:r>
      <w:r w:rsidRPr="004D74F4">
        <w:rPr>
          <w:rFonts w:ascii="Calibri" w:hAnsi="Calibri" w:cs="Calibri"/>
          <w:sz w:val="20"/>
          <w:szCs w:val="20"/>
        </w:rPr>
        <w:t>project</w:t>
      </w:r>
      <w:r w:rsidR="003F2F6A" w:rsidRPr="004D74F4">
        <w:rPr>
          <w:rFonts w:ascii="Calibri" w:hAnsi="Calibri" w:cs="Calibri"/>
          <w:sz w:val="20"/>
          <w:szCs w:val="20"/>
        </w:rPr>
        <w:t xml:space="preserve"> and presentation at a regional conference</w:t>
      </w:r>
    </w:p>
    <w:p w14:paraId="53FB9B9B" w14:textId="77777777" w:rsidR="0050322C" w:rsidRPr="004D74F4" w:rsidRDefault="0050322C" w:rsidP="00296B00">
      <w:pPr>
        <w:numPr>
          <w:ilvl w:val="0"/>
          <w:numId w:val="7"/>
        </w:numPr>
        <w:rPr>
          <w:rFonts w:ascii="Calibri" w:hAnsi="Calibri" w:cs="Calibri"/>
          <w:sz w:val="20"/>
          <w:szCs w:val="20"/>
        </w:rPr>
      </w:pPr>
      <w:r w:rsidRPr="004D74F4">
        <w:rPr>
          <w:rFonts w:ascii="Calibri" w:hAnsi="Calibri" w:cs="Calibri"/>
          <w:sz w:val="20"/>
          <w:szCs w:val="20"/>
        </w:rPr>
        <w:t xml:space="preserve">Certification in Basic Life Support (BLS) and Advanced Cardiac Life Support (ACLS)  </w:t>
      </w:r>
    </w:p>
    <w:p w14:paraId="768D610C" w14:textId="77777777" w:rsidR="0050322C" w:rsidRPr="004D74F4" w:rsidRDefault="001843C8" w:rsidP="00296B00">
      <w:pPr>
        <w:numPr>
          <w:ilvl w:val="0"/>
          <w:numId w:val="7"/>
        </w:numPr>
        <w:rPr>
          <w:rFonts w:ascii="Calibri" w:hAnsi="Calibri" w:cs="Calibri"/>
          <w:sz w:val="20"/>
          <w:szCs w:val="20"/>
        </w:rPr>
      </w:pPr>
      <w:r w:rsidRPr="004D74F4">
        <w:rPr>
          <w:rFonts w:ascii="Calibri" w:hAnsi="Calibri" w:cs="Calibri"/>
          <w:sz w:val="20"/>
          <w:szCs w:val="20"/>
        </w:rPr>
        <w:t>Co-chair</w:t>
      </w:r>
      <w:r w:rsidR="0090532B" w:rsidRPr="004D74F4">
        <w:rPr>
          <w:rFonts w:ascii="Calibri" w:hAnsi="Calibri" w:cs="Calibri"/>
          <w:sz w:val="20"/>
          <w:szCs w:val="20"/>
        </w:rPr>
        <w:t xml:space="preserve"> of</w:t>
      </w:r>
      <w:r w:rsidRPr="004D74F4">
        <w:rPr>
          <w:rFonts w:ascii="Calibri" w:hAnsi="Calibri" w:cs="Calibri"/>
          <w:sz w:val="20"/>
          <w:szCs w:val="20"/>
        </w:rPr>
        <w:t xml:space="preserve"> </w:t>
      </w:r>
      <w:r w:rsidR="0083223F" w:rsidRPr="004D74F4">
        <w:rPr>
          <w:rFonts w:ascii="Calibri" w:hAnsi="Calibri" w:cs="Calibri"/>
          <w:sz w:val="20"/>
          <w:szCs w:val="20"/>
        </w:rPr>
        <w:t xml:space="preserve">both local facility and VA national </w:t>
      </w:r>
      <w:r w:rsidRPr="004D74F4">
        <w:rPr>
          <w:rFonts w:ascii="Calibri" w:hAnsi="Calibri" w:cs="Calibri"/>
          <w:sz w:val="20"/>
          <w:szCs w:val="20"/>
        </w:rPr>
        <w:t xml:space="preserve">longitudinal committees and/or </w:t>
      </w:r>
      <w:r w:rsidR="0050322C" w:rsidRPr="004D74F4">
        <w:rPr>
          <w:rFonts w:ascii="Calibri" w:hAnsi="Calibri" w:cs="Calibri"/>
          <w:sz w:val="20"/>
          <w:szCs w:val="20"/>
        </w:rPr>
        <w:t>workgroups</w:t>
      </w:r>
      <w:r w:rsidR="007F70FD" w:rsidRPr="004D74F4">
        <w:rPr>
          <w:rFonts w:ascii="Calibri" w:hAnsi="Calibri" w:cs="Calibri"/>
          <w:sz w:val="20"/>
          <w:szCs w:val="20"/>
        </w:rPr>
        <w:t>, along with Yellow and Green Belt certifications</w:t>
      </w:r>
    </w:p>
    <w:p w14:paraId="28D0FE19" w14:textId="03806BBB" w:rsidR="0050322C" w:rsidRPr="004D74F4" w:rsidRDefault="005A5CD2" w:rsidP="00296B00">
      <w:pPr>
        <w:numPr>
          <w:ilvl w:val="0"/>
          <w:numId w:val="7"/>
        </w:numPr>
        <w:rPr>
          <w:rFonts w:ascii="Calibri" w:hAnsi="Calibri" w:cs="Calibri"/>
          <w:sz w:val="20"/>
          <w:szCs w:val="20"/>
        </w:rPr>
      </w:pPr>
      <w:r>
        <w:rPr>
          <w:rFonts w:ascii="Calibri" w:hAnsi="Calibri" w:cs="Calibri"/>
          <w:sz w:val="20"/>
          <w:szCs w:val="20"/>
        </w:rPr>
        <w:t xml:space="preserve">Elective opportunities for </w:t>
      </w:r>
      <w:r w:rsidR="0050322C" w:rsidRPr="004D74F4">
        <w:rPr>
          <w:rFonts w:ascii="Calibri" w:hAnsi="Calibri" w:cs="Calibri"/>
          <w:sz w:val="20"/>
          <w:szCs w:val="20"/>
        </w:rPr>
        <w:t>teaching certification program including development of a teaching portfolio</w:t>
      </w:r>
    </w:p>
    <w:p w14:paraId="74B0DEEB" w14:textId="4250C947" w:rsidR="001769DE" w:rsidRDefault="00841893" w:rsidP="00296B00">
      <w:pPr>
        <w:numPr>
          <w:ilvl w:val="0"/>
          <w:numId w:val="7"/>
        </w:numPr>
        <w:rPr>
          <w:rFonts w:ascii="Calibri" w:hAnsi="Calibri" w:cs="Calibri"/>
          <w:sz w:val="20"/>
          <w:szCs w:val="20"/>
        </w:rPr>
      </w:pPr>
      <w:r w:rsidRPr="004D74F4">
        <w:rPr>
          <w:rFonts w:ascii="Calibri" w:hAnsi="Calibri" w:cs="Calibri"/>
          <w:sz w:val="20"/>
          <w:szCs w:val="20"/>
        </w:rPr>
        <w:t>Additional administrative responsibilities</w:t>
      </w:r>
      <w:r w:rsidR="0090532B" w:rsidRPr="004D74F4">
        <w:rPr>
          <w:rFonts w:ascii="Calibri" w:hAnsi="Calibri" w:cs="Calibri"/>
          <w:sz w:val="20"/>
          <w:szCs w:val="20"/>
        </w:rPr>
        <w:t xml:space="preserve"> including</w:t>
      </w:r>
      <w:r w:rsidRPr="004D74F4">
        <w:rPr>
          <w:rFonts w:ascii="Calibri" w:hAnsi="Calibri" w:cs="Calibri"/>
          <w:sz w:val="20"/>
          <w:szCs w:val="20"/>
        </w:rPr>
        <w:t xml:space="preserve"> formal presentations, drug information activities, </w:t>
      </w:r>
      <w:r w:rsidR="009031FF" w:rsidRPr="004D74F4">
        <w:rPr>
          <w:rFonts w:ascii="Calibri" w:hAnsi="Calibri" w:cs="Calibri"/>
          <w:sz w:val="20"/>
          <w:szCs w:val="20"/>
        </w:rPr>
        <w:t xml:space="preserve">peer review of medical literature, </w:t>
      </w:r>
      <w:r w:rsidRPr="004D74F4">
        <w:rPr>
          <w:rFonts w:ascii="Calibri" w:hAnsi="Calibri" w:cs="Calibri"/>
          <w:sz w:val="20"/>
          <w:szCs w:val="20"/>
        </w:rPr>
        <w:t xml:space="preserve">and </w:t>
      </w:r>
      <w:r w:rsidR="0083223F" w:rsidRPr="004D74F4">
        <w:rPr>
          <w:rFonts w:ascii="Calibri" w:hAnsi="Calibri" w:cs="Calibri"/>
          <w:sz w:val="20"/>
          <w:szCs w:val="20"/>
        </w:rPr>
        <w:t xml:space="preserve">regional/national </w:t>
      </w:r>
      <w:r w:rsidRPr="004D74F4">
        <w:rPr>
          <w:rFonts w:ascii="Calibri" w:hAnsi="Calibri" w:cs="Calibri"/>
          <w:sz w:val="20"/>
          <w:szCs w:val="20"/>
        </w:rPr>
        <w:t>journal clubs</w:t>
      </w:r>
    </w:p>
    <w:p w14:paraId="30467512" w14:textId="2DDEFDEF" w:rsidR="00C1175B" w:rsidRDefault="00C1175B" w:rsidP="00296B00">
      <w:pPr>
        <w:numPr>
          <w:ilvl w:val="0"/>
          <w:numId w:val="7"/>
        </w:numPr>
        <w:rPr>
          <w:rFonts w:ascii="Calibri" w:hAnsi="Calibri" w:cs="Calibri"/>
          <w:sz w:val="20"/>
          <w:szCs w:val="20"/>
        </w:rPr>
      </w:pPr>
      <w:r>
        <w:rPr>
          <w:rFonts w:ascii="Calibri" w:hAnsi="Calibri" w:cs="Calibri"/>
          <w:sz w:val="20"/>
          <w:szCs w:val="20"/>
        </w:rPr>
        <w:t xml:space="preserve">Opportunities to participate on national Clinical Pharmacy Practice Office (CPPO) national subject matter expert workgroup in acute care focused on enterprise level practice advancement </w:t>
      </w:r>
    </w:p>
    <w:p w14:paraId="41EA9771" w14:textId="2E2FD7CD" w:rsidR="007C450C" w:rsidRPr="004D74F4" w:rsidRDefault="007C450C" w:rsidP="00296B00">
      <w:pPr>
        <w:numPr>
          <w:ilvl w:val="0"/>
          <w:numId w:val="7"/>
        </w:numPr>
        <w:rPr>
          <w:rFonts w:ascii="Calibri" w:hAnsi="Calibri" w:cs="Calibri"/>
          <w:sz w:val="20"/>
          <w:szCs w:val="20"/>
        </w:rPr>
      </w:pPr>
      <w:r>
        <w:rPr>
          <w:rFonts w:ascii="Calibri" w:hAnsi="Calibri" w:cs="Calibri"/>
          <w:sz w:val="20"/>
          <w:szCs w:val="20"/>
        </w:rPr>
        <w:t xml:space="preserve">Clinical Staffing Requirements </w:t>
      </w:r>
      <w:r w:rsidR="00F64310">
        <w:rPr>
          <w:rFonts w:ascii="Calibri" w:hAnsi="Calibri" w:cs="Calibri"/>
          <w:sz w:val="20"/>
          <w:szCs w:val="20"/>
        </w:rPr>
        <w:t xml:space="preserve">include one every sixth weekend </w:t>
      </w:r>
      <w:r w:rsidR="00202599">
        <w:rPr>
          <w:rFonts w:ascii="Calibri" w:hAnsi="Calibri" w:cs="Calibri"/>
          <w:sz w:val="20"/>
          <w:szCs w:val="20"/>
        </w:rPr>
        <w:t xml:space="preserve">providing clinical coverage for core pharmacy functions </w:t>
      </w:r>
    </w:p>
    <w:p w14:paraId="4064D568" w14:textId="28773B37" w:rsidR="001769DE" w:rsidRPr="004D74F4" w:rsidRDefault="001769DE" w:rsidP="00761966">
      <w:pPr>
        <w:rPr>
          <w:rFonts w:ascii="Calibri" w:hAnsi="Calibri" w:cs="Calibri"/>
          <w:b/>
          <w:i/>
          <w:sz w:val="20"/>
          <w:szCs w:val="20"/>
        </w:rPr>
      </w:pPr>
    </w:p>
    <w:p w14:paraId="775BD051" w14:textId="77777777" w:rsidR="006E01E2" w:rsidRPr="004D74F4" w:rsidRDefault="006E01E2" w:rsidP="00761966">
      <w:pPr>
        <w:rPr>
          <w:rFonts w:ascii="Calibri" w:hAnsi="Calibri" w:cs="Calibri"/>
          <w:b/>
          <w:i/>
          <w:sz w:val="20"/>
          <w:szCs w:val="20"/>
        </w:rPr>
        <w:sectPr w:rsidR="006E01E2" w:rsidRPr="004D74F4" w:rsidSect="00841893">
          <w:headerReference w:type="default" r:id="rId14"/>
          <w:type w:val="continuous"/>
          <w:pgSz w:w="12240" w:h="15840"/>
          <w:pgMar w:top="1440" w:right="1440" w:bottom="1440" w:left="1440" w:header="720" w:footer="720" w:gutter="0"/>
          <w:cols w:space="720"/>
          <w:docGrid w:linePitch="360"/>
        </w:sectPr>
      </w:pPr>
    </w:p>
    <w:p w14:paraId="7028A4A1" w14:textId="77777777" w:rsidR="00202599" w:rsidRDefault="00202599" w:rsidP="00761966">
      <w:pPr>
        <w:rPr>
          <w:rFonts w:asciiTheme="minorHAnsi" w:hAnsiTheme="minorHAnsi" w:cstheme="minorHAnsi"/>
          <w:b/>
          <w:bCs/>
          <w:i/>
          <w:iCs/>
          <w:noProof/>
          <w:sz w:val="22"/>
          <w:szCs w:val="22"/>
        </w:rPr>
      </w:pPr>
    </w:p>
    <w:p w14:paraId="1853B5F4" w14:textId="7B38D099" w:rsidR="0050322C" w:rsidRDefault="00F64310" w:rsidP="00761966">
      <w:pPr>
        <w:rPr>
          <w:rFonts w:asciiTheme="minorHAnsi" w:hAnsiTheme="minorHAnsi" w:cstheme="minorHAnsi"/>
          <w:b/>
          <w:bCs/>
          <w:i/>
          <w:iCs/>
          <w:noProof/>
          <w:sz w:val="22"/>
          <w:szCs w:val="22"/>
        </w:rPr>
      </w:pPr>
      <w:r w:rsidRPr="00F64310">
        <w:rPr>
          <w:rFonts w:asciiTheme="minorHAnsi" w:hAnsiTheme="minorHAnsi" w:cstheme="minorHAnsi"/>
          <w:b/>
          <w:bCs/>
          <w:i/>
          <w:iCs/>
          <w:noProof/>
          <w:sz w:val="22"/>
          <w:szCs w:val="22"/>
        </w:rPr>
        <w:t>Recruitment Information:</w:t>
      </w:r>
    </w:p>
    <w:p w14:paraId="03EE94EA" w14:textId="0E404FEA" w:rsidR="00F64310" w:rsidRDefault="005A5CD2" w:rsidP="002F309B">
      <w:pPr>
        <w:rPr>
          <w:rFonts w:asciiTheme="minorHAnsi" w:hAnsiTheme="minorHAnsi" w:cstheme="minorHAnsi"/>
          <w:bCs/>
          <w:sz w:val="20"/>
          <w:szCs w:val="20"/>
        </w:rPr>
      </w:pPr>
      <w:r w:rsidRPr="002F309B">
        <w:rPr>
          <w:rFonts w:asciiTheme="minorHAnsi" w:hAnsiTheme="minorHAnsi" w:cstheme="minorHAnsi"/>
          <w:bCs/>
          <w:sz w:val="20"/>
          <w:szCs w:val="20"/>
        </w:rPr>
        <w:t>Veteran Health Indiana residency programs ha</w:t>
      </w:r>
      <w:r>
        <w:rPr>
          <w:rFonts w:asciiTheme="minorHAnsi" w:hAnsiTheme="minorHAnsi" w:cstheme="minorHAnsi"/>
          <w:bCs/>
          <w:sz w:val="20"/>
          <w:szCs w:val="20"/>
        </w:rPr>
        <w:t>ve</w:t>
      </w:r>
      <w:r w:rsidRPr="002F309B">
        <w:rPr>
          <w:rFonts w:asciiTheme="minorHAnsi" w:hAnsiTheme="minorHAnsi" w:cstheme="minorHAnsi"/>
          <w:bCs/>
          <w:sz w:val="20"/>
          <w:szCs w:val="20"/>
        </w:rPr>
        <w:t xml:space="preserve"> made changes in their recruitment practices to assure that we have increased our accessibility for all individuals who are interested in pursuing post-graduate training at our facility.  This includes participating in nationally run, free for everyone, recruitment forums that link interested candidates from any background</w:t>
      </w:r>
      <w:r>
        <w:rPr>
          <w:rFonts w:asciiTheme="minorHAnsi" w:hAnsiTheme="minorHAnsi" w:cstheme="minorHAnsi"/>
          <w:bCs/>
          <w:sz w:val="20"/>
          <w:szCs w:val="20"/>
        </w:rPr>
        <w:t xml:space="preserve"> to</w:t>
      </w:r>
      <w:r w:rsidR="005520E6">
        <w:rPr>
          <w:rFonts w:asciiTheme="minorHAnsi" w:hAnsiTheme="minorHAnsi" w:cstheme="minorHAnsi"/>
          <w:bCs/>
          <w:sz w:val="20"/>
          <w:szCs w:val="20"/>
        </w:rPr>
        <w:t xml:space="preserve"> </w:t>
      </w:r>
      <w:r w:rsidRPr="002F309B">
        <w:rPr>
          <w:rFonts w:asciiTheme="minorHAnsi" w:hAnsiTheme="minorHAnsi" w:cstheme="minorHAnsi"/>
          <w:bCs/>
          <w:sz w:val="20"/>
          <w:szCs w:val="20"/>
        </w:rPr>
        <w:t>face</w:t>
      </w:r>
      <w:r>
        <w:rPr>
          <w:rFonts w:asciiTheme="minorHAnsi" w:hAnsiTheme="minorHAnsi" w:cstheme="minorHAnsi"/>
          <w:bCs/>
          <w:sz w:val="20"/>
          <w:szCs w:val="20"/>
        </w:rPr>
        <w:t>-</w:t>
      </w:r>
      <w:r w:rsidRPr="002F309B">
        <w:rPr>
          <w:rFonts w:asciiTheme="minorHAnsi" w:hAnsiTheme="minorHAnsi" w:cstheme="minorHAnsi"/>
          <w:bCs/>
          <w:sz w:val="20"/>
          <w:szCs w:val="20"/>
        </w:rPr>
        <w:t>to</w:t>
      </w:r>
      <w:r>
        <w:rPr>
          <w:rFonts w:asciiTheme="minorHAnsi" w:hAnsiTheme="minorHAnsi" w:cstheme="minorHAnsi"/>
          <w:bCs/>
          <w:sz w:val="20"/>
          <w:szCs w:val="20"/>
        </w:rPr>
        <w:t>-</w:t>
      </w:r>
      <w:r w:rsidRPr="002F309B">
        <w:rPr>
          <w:rFonts w:asciiTheme="minorHAnsi" w:hAnsiTheme="minorHAnsi" w:cstheme="minorHAnsi"/>
          <w:bCs/>
          <w:sz w:val="20"/>
          <w:szCs w:val="20"/>
        </w:rPr>
        <w:t xml:space="preserve">face interviews with </w:t>
      </w:r>
      <w:r>
        <w:rPr>
          <w:rFonts w:asciiTheme="minorHAnsi" w:hAnsiTheme="minorHAnsi" w:cstheme="minorHAnsi"/>
          <w:bCs/>
          <w:sz w:val="20"/>
          <w:szCs w:val="20"/>
        </w:rPr>
        <w:t>residency program director</w:t>
      </w:r>
      <w:r w:rsidRPr="002F309B">
        <w:rPr>
          <w:rFonts w:asciiTheme="minorHAnsi" w:hAnsiTheme="minorHAnsi" w:cstheme="minorHAnsi"/>
          <w:bCs/>
          <w:sz w:val="20"/>
          <w:szCs w:val="20"/>
        </w:rPr>
        <w:t xml:space="preserve">s and preceptors.  Additionally virtual platforms for interviews are available for any interested candidate who meet the pre-determined, objective criteria for initiation to interview.  All preceptors complete implicit bias training and follow objective criteria for evaluation of candidates.  </w:t>
      </w:r>
      <w:r w:rsidR="00202599" w:rsidRPr="00F64310">
        <w:rPr>
          <w:b/>
          <w:bCs/>
          <w:i/>
          <w:iCs/>
          <w:noProof/>
          <w:sz w:val="22"/>
          <w:szCs w:val="22"/>
        </w:rPr>
        <w:drawing>
          <wp:anchor distT="0" distB="0" distL="114300" distR="114300" simplePos="0" relativeHeight="251660800" behindDoc="0" locked="0" layoutInCell="1" allowOverlap="1" wp14:anchorId="6B4ABBC0" wp14:editId="17AECA72">
            <wp:simplePos x="0" y="0"/>
            <wp:positionH relativeFrom="margin">
              <wp:posOffset>3861613</wp:posOffset>
            </wp:positionH>
            <wp:positionV relativeFrom="paragraph">
              <wp:posOffset>579349</wp:posOffset>
            </wp:positionV>
            <wp:extent cx="2764790" cy="276479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4790" cy="276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8D808" w14:textId="77777777" w:rsidR="00F64310" w:rsidRDefault="00F64310" w:rsidP="002F309B">
      <w:pPr>
        <w:rPr>
          <w:rFonts w:asciiTheme="minorHAnsi" w:hAnsiTheme="minorHAnsi" w:cstheme="minorHAnsi"/>
          <w:bCs/>
          <w:sz w:val="20"/>
          <w:szCs w:val="20"/>
        </w:rPr>
      </w:pPr>
    </w:p>
    <w:p w14:paraId="154D1AE3" w14:textId="66647A41" w:rsidR="006E01E2" w:rsidRPr="00F64310" w:rsidRDefault="002F309B" w:rsidP="002F309B">
      <w:pPr>
        <w:rPr>
          <w:rFonts w:asciiTheme="minorHAnsi" w:hAnsiTheme="minorHAnsi" w:cstheme="minorHAnsi"/>
          <w:bCs/>
          <w:sz w:val="20"/>
          <w:szCs w:val="20"/>
        </w:rPr>
      </w:pPr>
      <w:r w:rsidRPr="002F309B">
        <w:rPr>
          <w:rFonts w:asciiTheme="minorHAnsi" w:hAnsiTheme="minorHAnsi" w:cstheme="minorHAnsi"/>
          <w:bCs/>
          <w:sz w:val="20"/>
          <w:szCs w:val="20"/>
        </w:rPr>
        <w:t xml:space="preserve">The following are mandatory requirements for all VA residents who are interested in PGY2 level training programs at Veteran Health Indiana.    </w:t>
      </w:r>
    </w:p>
    <w:p w14:paraId="65666404" w14:textId="61F1F2D2" w:rsidR="002F309B" w:rsidRDefault="002F309B" w:rsidP="002F309B">
      <w:pPr>
        <w:rPr>
          <w:rFonts w:ascii="Calibri" w:hAnsi="Calibri" w:cs="Calibri"/>
          <w:sz w:val="20"/>
          <w:szCs w:val="20"/>
        </w:rPr>
      </w:pPr>
    </w:p>
    <w:p w14:paraId="5E78154D" w14:textId="45338AF3" w:rsidR="002F309B" w:rsidRPr="004D74F4" w:rsidRDefault="002F309B" w:rsidP="002F309B">
      <w:pPr>
        <w:rPr>
          <w:rFonts w:ascii="Calibri" w:hAnsi="Calibri" w:cs="Calibri"/>
          <w:sz w:val="20"/>
          <w:szCs w:val="20"/>
        </w:rPr>
        <w:sectPr w:rsidR="002F309B" w:rsidRPr="004D74F4" w:rsidSect="00841893">
          <w:type w:val="continuous"/>
          <w:pgSz w:w="12240" w:h="15840"/>
          <w:pgMar w:top="1440" w:right="1440" w:bottom="1440" w:left="1440" w:header="720" w:footer="720" w:gutter="0"/>
          <w:cols w:space="720"/>
          <w:docGrid w:linePitch="360"/>
        </w:sectPr>
      </w:pPr>
    </w:p>
    <w:p w14:paraId="143CE865" w14:textId="1B87A031" w:rsidR="000A77A3" w:rsidRPr="000A77A3" w:rsidRDefault="00C1175B" w:rsidP="00296B00">
      <w:pPr>
        <w:numPr>
          <w:ilvl w:val="0"/>
          <w:numId w:val="8"/>
        </w:numPr>
        <w:rPr>
          <w:rFonts w:ascii="Calibri" w:hAnsi="Calibri" w:cs="Calibri"/>
          <w:sz w:val="20"/>
          <w:szCs w:val="20"/>
        </w:rPr>
      </w:pPr>
      <w:hyperlink r:id="rId16" w:history="1">
        <w:r w:rsidR="000A77A3" w:rsidRPr="00CE75C2">
          <w:rPr>
            <w:rStyle w:val="Hyperlink"/>
            <w:rFonts w:ascii="Calibri" w:hAnsi="Calibri" w:cs="Calibri"/>
            <w:sz w:val="20"/>
            <w:szCs w:val="20"/>
          </w:rPr>
          <w:t>Am I Eligible? Checklist for VA HPTs</w:t>
        </w:r>
      </w:hyperlink>
    </w:p>
    <w:p w14:paraId="3FD605A3" w14:textId="09B33173" w:rsidR="0050322C" w:rsidRPr="003C7EFE" w:rsidRDefault="0050322C" w:rsidP="00296B00">
      <w:pPr>
        <w:numPr>
          <w:ilvl w:val="0"/>
          <w:numId w:val="8"/>
        </w:numPr>
        <w:rPr>
          <w:rFonts w:ascii="Calibri" w:hAnsi="Calibri" w:cs="Calibri"/>
          <w:sz w:val="20"/>
          <w:szCs w:val="20"/>
        </w:rPr>
      </w:pPr>
      <w:r w:rsidRPr="003C7EFE">
        <w:rPr>
          <w:rFonts w:ascii="Calibri" w:hAnsi="Calibri" w:cs="Calibri"/>
          <w:sz w:val="20"/>
          <w:szCs w:val="20"/>
        </w:rPr>
        <w:t>Citizen of the United States</w:t>
      </w:r>
      <w:r w:rsidR="00623C70" w:rsidRPr="003C7EFE">
        <w:rPr>
          <w:rFonts w:ascii="Calibri" w:hAnsi="Calibri" w:cs="Calibri"/>
          <w:sz w:val="20"/>
          <w:szCs w:val="20"/>
        </w:rPr>
        <w:t xml:space="preserve"> of America</w:t>
      </w:r>
      <w:r w:rsidRPr="003C7EFE">
        <w:rPr>
          <w:rFonts w:ascii="Calibri" w:hAnsi="Calibri" w:cs="Calibri"/>
          <w:sz w:val="20"/>
          <w:szCs w:val="20"/>
        </w:rPr>
        <w:t xml:space="preserve"> </w:t>
      </w:r>
    </w:p>
    <w:p w14:paraId="10A30FD1" w14:textId="632142A2" w:rsidR="0050322C" w:rsidRPr="003C7EFE" w:rsidRDefault="0050322C" w:rsidP="00296B00">
      <w:pPr>
        <w:numPr>
          <w:ilvl w:val="0"/>
          <w:numId w:val="8"/>
        </w:numPr>
        <w:rPr>
          <w:rFonts w:ascii="Calibri" w:hAnsi="Calibri" w:cs="Calibri"/>
          <w:sz w:val="20"/>
          <w:szCs w:val="20"/>
        </w:rPr>
      </w:pPr>
      <w:r w:rsidRPr="003C7EFE">
        <w:rPr>
          <w:rFonts w:ascii="Calibri" w:hAnsi="Calibri" w:cs="Calibri"/>
          <w:sz w:val="20"/>
          <w:szCs w:val="20"/>
        </w:rPr>
        <w:t>Doctor of Pharmacy degree from an accredited college of pharmacy</w:t>
      </w:r>
    </w:p>
    <w:p w14:paraId="5AA270FB" w14:textId="77777777" w:rsidR="00623C70" w:rsidRPr="003C7EFE" w:rsidRDefault="0050322C" w:rsidP="00296B00">
      <w:pPr>
        <w:numPr>
          <w:ilvl w:val="0"/>
          <w:numId w:val="8"/>
        </w:numPr>
        <w:rPr>
          <w:rFonts w:ascii="Calibri" w:hAnsi="Calibri" w:cs="Calibri"/>
          <w:sz w:val="20"/>
          <w:szCs w:val="20"/>
        </w:rPr>
      </w:pPr>
      <w:r w:rsidRPr="003C7EFE">
        <w:rPr>
          <w:rFonts w:ascii="Calibri" w:hAnsi="Calibri" w:cs="Calibri"/>
          <w:sz w:val="20"/>
          <w:szCs w:val="20"/>
        </w:rPr>
        <w:t>Active p</w:t>
      </w:r>
      <w:r w:rsidR="00623C70" w:rsidRPr="003C7EFE">
        <w:rPr>
          <w:rFonts w:ascii="Calibri" w:hAnsi="Calibri" w:cs="Calibri"/>
          <w:sz w:val="20"/>
          <w:szCs w:val="20"/>
        </w:rPr>
        <w:t>harmacy licensure in any state</w:t>
      </w:r>
    </w:p>
    <w:p w14:paraId="1CBFB940" w14:textId="3DE30EC0" w:rsidR="00202599" w:rsidRPr="005520E6" w:rsidRDefault="0050322C" w:rsidP="00F64310">
      <w:pPr>
        <w:numPr>
          <w:ilvl w:val="0"/>
          <w:numId w:val="8"/>
        </w:numPr>
        <w:rPr>
          <w:rFonts w:ascii="Calibri" w:hAnsi="Calibri" w:cs="Calibri"/>
          <w:sz w:val="20"/>
          <w:szCs w:val="20"/>
        </w:rPr>
      </w:pPr>
      <w:r w:rsidRPr="003C7EFE">
        <w:rPr>
          <w:rFonts w:ascii="Calibri" w:hAnsi="Calibri" w:cs="Calibri"/>
          <w:sz w:val="20"/>
          <w:szCs w:val="20"/>
        </w:rPr>
        <w:t>Completion of a</w:t>
      </w:r>
      <w:r w:rsidR="001843C8" w:rsidRPr="003C7EFE">
        <w:rPr>
          <w:rFonts w:ascii="Calibri" w:hAnsi="Calibri" w:cs="Calibri"/>
          <w:sz w:val="20"/>
          <w:szCs w:val="20"/>
        </w:rPr>
        <w:t>n ASHP-accredited</w:t>
      </w:r>
      <w:r w:rsidRPr="003C7EFE">
        <w:rPr>
          <w:rFonts w:ascii="Calibri" w:hAnsi="Calibri" w:cs="Calibri"/>
          <w:sz w:val="20"/>
          <w:szCs w:val="20"/>
        </w:rPr>
        <w:t xml:space="preserve"> PGY1 Ph</w:t>
      </w:r>
      <w:r w:rsidRPr="00CE75C2">
        <w:rPr>
          <w:rFonts w:ascii="Calibri" w:hAnsi="Calibri" w:cs="Calibri"/>
          <w:sz w:val="20"/>
          <w:szCs w:val="20"/>
        </w:rPr>
        <w:t xml:space="preserve">armacy Residency </w:t>
      </w:r>
    </w:p>
    <w:p w14:paraId="00533D1F" w14:textId="77777777" w:rsidR="00202599" w:rsidRDefault="00202599" w:rsidP="00202599">
      <w:pPr>
        <w:rPr>
          <w:rFonts w:ascii="Calibri" w:hAnsi="Calibri" w:cs="Calibri"/>
          <w:sz w:val="20"/>
          <w:szCs w:val="20"/>
        </w:rPr>
      </w:pPr>
    </w:p>
    <w:p w14:paraId="4E6D3693" w14:textId="77777777" w:rsidR="005520E6" w:rsidRDefault="005520E6" w:rsidP="00202599">
      <w:pPr>
        <w:rPr>
          <w:rFonts w:ascii="Calibri" w:hAnsi="Calibri" w:cs="Calibri"/>
          <w:b/>
          <w:bCs/>
          <w:i/>
          <w:iCs/>
          <w:sz w:val="22"/>
          <w:szCs w:val="22"/>
        </w:rPr>
      </w:pPr>
    </w:p>
    <w:p w14:paraId="2357D89A" w14:textId="77777777" w:rsidR="005520E6" w:rsidRDefault="005520E6" w:rsidP="00202599">
      <w:pPr>
        <w:rPr>
          <w:rFonts w:ascii="Calibri" w:hAnsi="Calibri" w:cs="Calibri"/>
          <w:b/>
          <w:bCs/>
          <w:i/>
          <w:iCs/>
          <w:sz w:val="22"/>
          <w:szCs w:val="22"/>
        </w:rPr>
      </w:pPr>
    </w:p>
    <w:p w14:paraId="0C052228" w14:textId="77777777" w:rsidR="005520E6" w:rsidRDefault="005520E6" w:rsidP="00202599">
      <w:pPr>
        <w:rPr>
          <w:rFonts w:ascii="Calibri" w:hAnsi="Calibri" w:cs="Calibri"/>
          <w:b/>
          <w:bCs/>
          <w:i/>
          <w:iCs/>
          <w:sz w:val="22"/>
          <w:szCs w:val="22"/>
        </w:rPr>
      </w:pPr>
    </w:p>
    <w:p w14:paraId="4F207D80" w14:textId="77777777" w:rsidR="005520E6" w:rsidRDefault="005520E6" w:rsidP="00202599">
      <w:pPr>
        <w:rPr>
          <w:rFonts w:ascii="Calibri" w:hAnsi="Calibri" w:cs="Calibri"/>
          <w:b/>
          <w:bCs/>
          <w:i/>
          <w:iCs/>
          <w:sz w:val="22"/>
          <w:szCs w:val="22"/>
        </w:rPr>
      </w:pPr>
    </w:p>
    <w:p w14:paraId="19D17641" w14:textId="77777777" w:rsidR="00C1175B" w:rsidRDefault="00C1175B" w:rsidP="00202599">
      <w:pPr>
        <w:rPr>
          <w:rFonts w:ascii="Calibri" w:hAnsi="Calibri" w:cs="Calibri"/>
          <w:b/>
          <w:bCs/>
          <w:i/>
          <w:iCs/>
          <w:sz w:val="22"/>
          <w:szCs w:val="22"/>
        </w:rPr>
      </w:pPr>
    </w:p>
    <w:p w14:paraId="53CC0989" w14:textId="5EC07EE8" w:rsidR="0050322C" w:rsidRPr="00202599" w:rsidRDefault="0050322C" w:rsidP="00202599">
      <w:pPr>
        <w:rPr>
          <w:rFonts w:ascii="Calibri" w:hAnsi="Calibri" w:cs="Calibri"/>
          <w:b/>
          <w:bCs/>
          <w:i/>
          <w:iCs/>
          <w:sz w:val="22"/>
          <w:szCs w:val="22"/>
        </w:rPr>
      </w:pPr>
      <w:r w:rsidRPr="00202599">
        <w:rPr>
          <w:rFonts w:ascii="Calibri" w:hAnsi="Calibri" w:cs="Calibri"/>
          <w:b/>
          <w:bCs/>
          <w:i/>
          <w:iCs/>
          <w:sz w:val="22"/>
          <w:szCs w:val="22"/>
        </w:rPr>
        <w:lastRenderedPageBreak/>
        <w:t>Requirements for Application:</w:t>
      </w:r>
      <w:r w:rsidR="00F64310" w:rsidRPr="00202599">
        <w:rPr>
          <w:rFonts w:ascii="Calibri" w:hAnsi="Calibri" w:cs="Calibri"/>
          <w:b/>
          <w:bCs/>
          <w:i/>
          <w:iCs/>
          <w:sz w:val="22"/>
          <w:szCs w:val="22"/>
        </w:rPr>
        <w:t xml:space="preserve"> Deadline for application = January 15</w:t>
      </w:r>
      <w:r w:rsidR="00F64310" w:rsidRPr="00202599">
        <w:rPr>
          <w:rFonts w:ascii="Calibri" w:hAnsi="Calibri" w:cs="Calibri"/>
          <w:b/>
          <w:bCs/>
          <w:i/>
          <w:iCs/>
          <w:sz w:val="22"/>
          <w:szCs w:val="22"/>
          <w:vertAlign w:val="superscript"/>
        </w:rPr>
        <w:t>th</w:t>
      </w:r>
      <w:r w:rsidR="00F64310" w:rsidRPr="00202599">
        <w:rPr>
          <w:rFonts w:ascii="Calibri" w:hAnsi="Calibri" w:cs="Calibri"/>
          <w:b/>
          <w:bCs/>
          <w:i/>
          <w:iCs/>
          <w:sz w:val="22"/>
          <w:szCs w:val="22"/>
        </w:rPr>
        <w:t xml:space="preserve"> </w:t>
      </w:r>
    </w:p>
    <w:p w14:paraId="5596C242" w14:textId="77777777" w:rsidR="0050322C" w:rsidRPr="00CE75C2" w:rsidRDefault="0050322C" w:rsidP="005520E6">
      <w:pPr>
        <w:numPr>
          <w:ilvl w:val="0"/>
          <w:numId w:val="9"/>
        </w:numPr>
        <w:rPr>
          <w:rFonts w:ascii="Calibri" w:hAnsi="Calibri" w:cs="Calibri"/>
          <w:sz w:val="20"/>
          <w:szCs w:val="20"/>
        </w:rPr>
      </w:pPr>
      <w:r w:rsidRPr="00CE75C2">
        <w:rPr>
          <w:rFonts w:ascii="Calibri" w:hAnsi="Calibri" w:cs="Calibri"/>
          <w:sz w:val="20"/>
          <w:szCs w:val="20"/>
        </w:rPr>
        <w:t>Letter of Intent</w:t>
      </w:r>
    </w:p>
    <w:p w14:paraId="13A730A0" w14:textId="77777777" w:rsidR="0050322C" w:rsidRPr="00CE75C2" w:rsidRDefault="0050322C" w:rsidP="005520E6">
      <w:pPr>
        <w:numPr>
          <w:ilvl w:val="0"/>
          <w:numId w:val="9"/>
        </w:numPr>
        <w:rPr>
          <w:rFonts w:ascii="Calibri" w:hAnsi="Calibri" w:cs="Calibri"/>
          <w:sz w:val="20"/>
          <w:szCs w:val="20"/>
        </w:rPr>
      </w:pPr>
      <w:r w:rsidRPr="00CE75C2">
        <w:rPr>
          <w:rFonts w:ascii="Calibri" w:hAnsi="Calibri" w:cs="Calibri"/>
          <w:sz w:val="20"/>
          <w:szCs w:val="20"/>
        </w:rPr>
        <w:t xml:space="preserve">Current curriculum vitae </w:t>
      </w:r>
    </w:p>
    <w:p w14:paraId="10012B04" w14:textId="07E42E23" w:rsidR="00841893" w:rsidRPr="00CE75C2" w:rsidRDefault="00D57D74" w:rsidP="005520E6">
      <w:pPr>
        <w:numPr>
          <w:ilvl w:val="0"/>
          <w:numId w:val="9"/>
        </w:numPr>
        <w:rPr>
          <w:rFonts w:ascii="Calibri" w:hAnsi="Calibri" w:cs="Calibri"/>
          <w:sz w:val="20"/>
          <w:szCs w:val="20"/>
        </w:rPr>
      </w:pPr>
      <w:r w:rsidRPr="00CE75C2">
        <w:rPr>
          <w:rFonts w:ascii="Calibri" w:hAnsi="Calibri" w:cs="Calibri"/>
          <w:sz w:val="20"/>
          <w:szCs w:val="20"/>
        </w:rPr>
        <w:t>Three letters of recommendation using PhORCAS</w:t>
      </w:r>
    </w:p>
    <w:p w14:paraId="1FD5FCE0" w14:textId="1EA4E1F8" w:rsidR="000A77A3" w:rsidRPr="00F64310" w:rsidRDefault="000A77A3" w:rsidP="005520E6">
      <w:pPr>
        <w:pStyle w:val="ListParagraph"/>
        <w:numPr>
          <w:ilvl w:val="0"/>
          <w:numId w:val="9"/>
        </w:numPr>
        <w:rPr>
          <w:b/>
          <w:sz w:val="20"/>
          <w:szCs w:val="20"/>
        </w:rPr>
      </w:pPr>
      <w:r w:rsidRPr="00F64310">
        <w:rPr>
          <w:sz w:val="20"/>
          <w:szCs w:val="20"/>
        </w:rPr>
        <w:t xml:space="preserve">Personal interview </w:t>
      </w:r>
    </w:p>
    <w:p w14:paraId="6F52E2FB" w14:textId="0D155E48" w:rsidR="000A77A3" w:rsidRPr="00F64310" w:rsidRDefault="000A77A3" w:rsidP="00202599">
      <w:pPr>
        <w:pStyle w:val="ListParagraph"/>
        <w:numPr>
          <w:ilvl w:val="1"/>
          <w:numId w:val="2"/>
        </w:numPr>
        <w:rPr>
          <w:b/>
          <w:sz w:val="20"/>
          <w:szCs w:val="20"/>
        </w:rPr>
      </w:pPr>
      <w:r w:rsidRPr="00F64310">
        <w:rPr>
          <w:sz w:val="20"/>
          <w:szCs w:val="20"/>
        </w:rPr>
        <w:t>Candidates will be screened to offer interviews.  Considerations will include the following:</w:t>
      </w:r>
    </w:p>
    <w:p w14:paraId="59DAAD92" w14:textId="0C9DDC9C" w:rsidR="000A77A3" w:rsidRPr="00F64310" w:rsidRDefault="000A77A3" w:rsidP="00202599">
      <w:pPr>
        <w:pStyle w:val="ListParagraph"/>
        <w:numPr>
          <w:ilvl w:val="2"/>
          <w:numId w:val="2"/>
        </w:numPr>
        <w:rPr>
          <w:b/>
          <w:sz w:val="20"/>
          <w:szCs w:val="20"/>
        </w:rPr>
      </w:pPr>
      <w:r w:rsidRPr="00F64310">
        <w:rPr>
          <w:sz w:val="20"/>
          <w:szCs w:val="20"/>
        </w:rPr>
        <w:t>Writing skills</w:t>
      </w:r>
    </w:p>
    <w:p w14:paraId="35419394" w14:textId="33AE71AF" w:rsidR="000A77A3" w:rsidRPr="00F64310" w:rsidRDefault="000A77A3" w:rsidP="00202599">
      <w:pPr>
        <w:pStyle w:val="ListParagraph"/>
        <w:numPr>
          <w:ilvl w:val="2"/>
          <w:numId w:val="2"/>
        </w:numPr>
        <w:rPr>
          <w:b/>
          <w:sz w:val="20"/>
          <w:szCs w:val="20"/>
        </w:rPr>
      </w:pPr>
      <w:r w:rsidRPr="00F64310">
        <w:rPr>
          <w:sz w:val="20"/>
          <w:szCs w:val="20"/>
        </w:rPr>
        <w:t xml:space="preserve">Letters of recommendation </w:t>
      </w:r>
    </w:p>
    <w:p w14:paraId="2FC770EE" w14:textId="65D092F6" w:rsidR="000A77A3" w:rsidRPr="00F64310" w:rsidRDefault="000A77A3" w:rsidP="00202599">
      <w:pPr>
        <w:pStyle w:val="ListParagraph"/>
        <w:numPr>
          <w:ilvl w:val="2"/>
          <w:numId w:val="2"/>
        </w:numPr>
        <w:rPr>
          <w:b/>
          <w:sz w:val="20"/>
          <w:szCs w:val="20"/>
        </w:rPr>
      </w:pPr>
      <w:r w:rsidRPr="00F64310">
        <w:rPr>
          <w:sz w:val="20"/>
          <w:szCs w:val="20"/>
        </w:rPr>
        <w:t xml:space="preserve">Leadership activities </w:t>
      </w:r>
    </w:p>
    <w:p w14:paraId="11441DF9" w14:textId="1F7540B6" w:rsidR="000A77A3" w:rsidRPr="00F64310" w:rsidRDefault="000A77A3" w:rsidP="00202599">
      <w:pPr>
        <w:pStyle w:val="ListParagraph"/>
        <w:numPr>
          <w:ilvl w:val="2"/>
          <w:numId w:val="2"/>
        </w:numPr>
        <w:rPr>
          <w:b/>
          <w:sz w:val="20"/>
          <w:szCs w:val="20"/>
        </w:rPr>
      </w:pPr>
      <w:r w:rsidRPr="00F64310">
        <w:rPr>
          <w:sz w:val="20"/>
          <w:szCs w:val="20"/>
        </w:rPr>
        <w:t>Pharmacy experience</w:t>
      </w:r>
    </w:p>
    <w:p w14:paraId="7D3EA62E" w14:textId="022714CF" w:rsidR="000A77A3" w:rsidRPr="00F64310" w:rsidRDefault="000A77A3" w:rsidP="00202599">
      <w:pPr>
        <w:pStyle w:val="ListParagraph"/>
        <w:numPr>
          <w:ilvl w:val="2"/>
          <w:numId w:val="2"/>
        </w:numPr>
        <w:rPr>
          <w:b/>
          <w:sz w:val="20"/>
          <w:szCs w:val="20"/>
        </w:rPr>
      </w:pPr>
      <w:r w:rsidRPr="00F64310">
        <w:rPr>
          <w:sz w:val="20"/>
          <w:szCs w:val="20"/>
        </w:rPr>
        <w:t>VA experience</w:t>
      </w:r>
    </w:p>
    <w:p w14:paraId="677A32E9" w14:textId="4EC0F052" w:rsidR="000A77A3" w:rsidRPr="00F64310" w:rsidRDefault="000A77A3" w:rsidP="00202599">
      <w:pPr>
        <w:pStyle w:val="ListParagraph"/>
        <w:numPr>
          <w:ilvl w:val="2"/>
          <w:numId w:val="2"/>
        </w:numPr>
        <w:rPr>
          <w:b/>
          <w:sz w:val="20"/>
          <w:szCs w:val="20"/>
        </w:rPr>
      </w:pPr>
      <w:r w:rsidRPr="00F64310">
        <w:rPr>
          <w:sz w:val="20"/>
          <w:szCs w:val="20"/>
        </w:rPr>
        <w:t>Phone interview performance</w:t>
      </w:r>
    </w:p>
    <w:p w14:paraId="56000CC1" w14:textId="39B25FD5" w:rsidR="000A77A3" w:rsidRPr="00F64310" w:rsidRDefault="000A77A3" w:rsidP="00202599">
      <w:pPr>
        <w:pStyle w:val="ListParagraph"/>
        <w:numPr>
          <w:ilvl w:val="1"/>
          <w:numId w:val="2"/>
        </w:numPr>
        <w:rPr>
          <w:b/>
          <w:sz w:val="20"/>
          <w:szCs w:val="20"/>
        </w:rPr>
      </w:pPr>
      <w:r w:rsidRPr="00F64310">
        <w:rPr>
          <w:sz w:val="20"/>
          <w:szCs w:val="20"/>
        </w:rPr>
        <w:t>Candidates will receive prior to interview the following:</w:t>
      </w:r>
    </w:p>
    <w:p w14:paraId="5AF62878" w14:textId="4A2BE326" w:rsidR="000A77A3" w:rsidRPr="00F64310" w:rsidRDefault="000A77A3" w:rsidP="00202599">
      <w:pPr>
        <w:pStyle w:val="ListParagraph"/>
        <w:numPr>
          <w:ilvl w:val="2"/>
          <w:numId w:val="2"/>
        </w:numPr>
        <w:rPr>
          <w:b/>
          <w:sz w:val="20"/>
          <w:szCs w:val="20"/>
        </w:rPr>
      </w:pPr>
      <w:r w:rsidRPr="00F64310">
        <w:rPr>
          <w:sz w:val="20"/>
          <w:szCs w:val="20"/>
        </w:rPr>
        <w:t>Leave policy</w:t>
      </w:r>
    </w:p>
    <w:p w14:paraId="307B7410" w14:textId="1CBECBAD" w:rsidR="000A77A3" w:rsidRPr="00F64310" w:rsidRDefault="000A77A3" w:rsidP="00202599">
      <w:pPr>
        <w:pStyle w:val="ListParagraph"/>
        <w:numPr>
          <w:ilvl w:val="2"/>
          <w:numId w:val="2"/>
        </w:numPr>
        <w:rPr>
          <w:b/>
          <w:sz w:val="20"/>
          <w:szCs w:val="20"/>
        </w:rPr>
      </w:pPr>
      <w:r w:rsidRPr="00F64310">
        <w:rPr>
          <w:sz w:val="20"/>
          <w:szCs w:val="20"/>
        </w:rPr>
        <w:t>Duty-hour policy</w:t>
      </w:r>
    </w:p>
    <w:p w14:paraId="0B2055F1" w14:textId="648B929E" w:rsidR="000A77A3" w:rsidRPr="00F64310" w:rsidRDefault="000A77A3" w:rsidP="00202599">
      <w:pPr>
        <w:pStyle w:val="ListParagraph"/>
        <w:numPr>
          <w:ilvl w:val="2"/>
          <w:numId w:val="2"/>
        </w:numPr>
        <w:rPr>
          <w:b/>
          <w:sz w:val="20"/>
          <w:szCs w:val="20"/>
        </w:rPr>
      </w:pPr>
      <w:r w:rsidRPr="00F64310">
        <w:rPr>
          <w:sz w:val="20"/>
          <w:szCs w:val="20"/>
        </w:rPr>
        <w:t>Licensure policy</w:t>
      </w:r>
    </w:p>
    <w:p w14:paraId="728DC701" w14:textId="64DDAFF6" w:rsidR="000A77A3" w:rsidRPr="00F64310" w:rsidRDefault="000A77A3" w:rsidP="00202599">
      <w:pPr>
        <w:pStyle w:val="ListParagraph"/>
        <w:numPr>
          <w:ilvl w:val="2"/>
          <w:numId w:val="2"/>
        </w:numPr>
        <w:rPr>
          <w:b/>
          <w:sz w:val="20"/>
          <w:szCs w:val="20"/>
        </w:rPr>
      </w:pPr>
      <w:r w:rsidRPr="00F64310">
        <w:rPr>
          <w:sz w:val="20"/>
          <w:szCs w:val="20"/>
        </w:rPr>
        <w:t>Requirements for successful completion of the program</w:t>
      </w:r>
    </w:p>
    <w:p w14:paraId="44186401" w14:textId="51E7FAAB" w:rsidR="000A77A3" w:rsidRPr="00F64310" w:rsidRDefault="000A77A3" w:rsidP="00202599">
      <w:pPr>
        <w:pStyle w:val="ListParagraph"/>
        <w:numPr>
          <w:ilvl w:val="2"/>
          <w:numId w:val="2"/>
        </w:numPr>
        <w:rPr>
          <w:b/>
          <w:sz w:val="20"/>
          <w:szCs w:val="20"/>
        </w:rPr>
      </w:pPr>
      <w:r w:rsidRPr="00F64310">
        <w:rPr>
          <w:sz w:val="20"/>
          <w:szCs w:val="20"/>
        </w:rPr>
        <w:t>Residency specific remediation/disciplinary policy</w:t>
      </w:r>
    </w:p>
    <w:p w14:paraId="76C150E7" w14:textId="0622EEE5" w:rsidR="000A77A3" w:rsidRPr="00F64310" w:rsidRDefault="000A77A3" w:rsidP="00202599">
      <w:pPr>
        <w:pStyle w:val="ListParagraph"/>
        <w:numPr>
          <w:ilvl w:val="2"/>
          <w:numId w:val="2"/>
        </w:numPr>
        <w:rPr>
          <w:b/>
          <w:sz w:val="20"/>
          <w:szCs w:val="20"/>
        </w:rPr>
      </w:pPr>
      <w:r w:rsidRPr="00F64310">
        <w:rPr>
          <w:sz w:val="20"/>
          <w:szCs w:val="20"/>
        </w:rPr>
        <w:t>Program start date and term of appointment</w:t>
      </w:r>
    </w:p>
    <w:p w14:paraId="7149A640" w14:textId="350E9169" w:rsidR="000A77A3" w:rsidRPr="00F64310" w:rsidRDefault="000A77A3" w:rsidP="00202599">
      <w:pPr>
        <w:pStyle w:val="ListParagraph"/>
        <w:numPr>
          <w:ilvl w:val="2"/>
          <w:numId w:val="2"/>
        </w:numPr>
        <w:rPr>
          <w:b/>
          <w:sz w:val="20"/>
          <w:szCs w:val="20"/>
        </w:rPr>
      </w:pPr>
      <w:r w:rsidRPr="00F64310">
        <w:rPr>
          <w:sz w:val="20"/>
          <w:szCs w:val="20"/>
        </w:rPr>
        <w:t>Stipend and benefit information</w:t>
      </w:r>
    </w:p>
    <w:p w14:paraId="317BDAAA" w14:textId="77777777" w:rsidR="000A77A3" w:rsidRPr="00F64310" w:rsidRDefault="000A77A3" w:rsidP="00202599">
      <w:pPr>
        <w:pStyle w:val="ListParagraph"/>
        <w:numPr>
          <w:ilvl w:val="2"/>
          <w:numId w:val="2"/>
        </w:numPr>
        <w:rPr>
          <w:b/>
          <w:sz w:val="20"/>
          <w:szCs w:val="20"/>
        </w:rPr>
      </w:pPr>
      <w:r w:rsidRPr="00F64310">
        <w:rPr>
          <w:sz w:val="20"/>
          <w:szCs w:val="20"/>
        </w:rPr>
        <w:t xml:space="preserve">Financial support for required professional meeting attendance </w:t>
      </w:r>
    </w:p>
    <w:p w14:paraId="5045C651" w14:textId="2529F742" w:rsidR="000A77A3" w:rsidRPr="00CE75C2" w:rsidRDefault="000A77A3" w:rsidP="00915904">
      <w:pPr>
        <w:ind w:left="1440"/>
        <w:rPr>
          <w:rFonts w:ascii="Calibri" w:hAnsi="Calibri" w:cs="Calibri"/>
          <w:sz w:val="20"/>
          <w:szCs w:val="20"/>
        </w:rPr>
      </w:pPr>
    </w:p>
    <w:p w14:paraId="36DD068D" w14:textId="4AB1DD25" w:rsidR="00295B57" w:rsidRPr="004D74F4" w:rsidRDefault="00295B57" w:rsidP="00761966">
      <w:pPr>
        <w:rPr>
          <w:rFonts w:ascii="Calibri" w:hAnsi="Calibri" w:cs="Calibri"/>
          <w:b/>
          <w:i/>
          <w:sz w:val="20"/>
          <w:szCs w:val="20"/>
        </w:rPr>
      </w:pPr>
    </w:p>
    <w:p w14:paraId="58511CC6" w14:textId="2BF90727" w:rsidR="00F5265F" w:rsidRPr="00915904" w:rsidRDefault="001769DE" w:rsidP="00761966">
      <w:pPr>
        <w:rPr>
          <w:rFonts w:ascii="Calibri" w:hAnsi="Calibri" w:cs="Calibri"/>
          <w:b/>
          <w:sz w:val="22"/>
          <w:szCs w:val="22"/>
        </w:rPr>
      </w:pPr>
      <w:r w:rsidRPr="00915904">
        <w:rPr>
          <w:rFonts w:ascii="Calibri" w:hAnsi="Calibri" w:cs="Calibri"/>
          <w:b/>
          <w:i/>
          <w:sz w:val="22"/>
          <w:szCs w:val="22"/>
        </w:rPr>
        <w:t>B</w:t>
      </w:r>
      <w:r w:rsidR="00F5265F" w:rsidRPr="00915904">
        <w:rPr>
          <w:rFonts w:ascii="Calibri" w:hAnsi="Calibri" w:cs="Calibri"/>
          <w:b/>
          <w:i/>
          <w:sz w:val="22"/>
          <w:szCs w:val="22"/>
        </w:rPr>
        <w:t>enefits</w:t>
      </w:r>
      <w:r w:rsidR="00F5265F" w:rsidRPr="00915904">
        <w:rPr>
          <w:rFonts w:ascii="Calibri" w:hAnsi="Calibri" w:cs="Calibri"/>
          <w:b/>
          <w:sz w:val="22"/>
          <w:szCs w:val="22"/>
        </w:rPr>
        <w:t>:</w:t>
      </w:r>
    </w:p>
    <w:p w14:paraId="3AC9B1B2" w14:textId="7501159A" w:rsidR="00F5265F" w:rsidRPr="004D74F4" w:rsidRDefault="00F5265F" w:rsidP="005520E6">
      <w:pPr>
        <w:numPr>
          <w:ilvl w:val="0"/>
          <w:numId w:val="10"/>
        </w:numPr>
        <w:rPr>
          <w:rFonts w:ascii="Calibri" w:hAnsi="Calibri" w:cs="Calibri"/>
          <w:sz w:val="20"/>
          <w:szCs w:val="20"/>
        </w:rPr>
      </w:pPr>
      <w:r w:rsidRPr="004D74F4">
        <w:rPr>
          <w:rFonts w:ascii="Calibri" w:hAnsi="Calibri" w:cs="Calibri"/>
          <w:sz w:val="20"/>
          <w:szCs w:val="20"/>
        </w:rPr>
        <w:t xml:space="preserve">Competitive stipend per annual VA standards </w:t>
      </w:r>
    </w:p>
    <w:p w14:paraId="66B2C45E" w14:textId="197491C7" w:rsidR="007F70FD" w:rsidRPr="004D74F4" w:rsidRDefault="007F70FD" w:rsidP="005520E6">
      <w:pPr>
        <w:numPr>
          <w:ilvl w:val="0"/>
          <w:numId w:val="10"/>
        </w:numPr>
        <w:rPr>
          <w:rFonts w:ascii="Calibri" w:hAnsi="Calibri" w:cs="Calibri"/>
          <w:sz w:val="20"/>
          <w:szCs w:val="20"/>
        </w:rPr>
      </w:pPr>
      <w:r w:rsidRPr="004D74F4">
        <w:rPr>
          <w:rFonts w:ascii="Calibri" w:hAnsi="Calibri" w:cs="Calibri"/>
          <w:sz w:val="20"/>
          <w:szCs w:val="20"/>
        </w:rPr>
        <w:t>Medical and life insurance</w:t>
      </w:r>
    </w:p>
    <w:p w14:paraId="732427A8" w14:textId="38EC4933" w:rsidR="00F5265F" w:rsidRPr="004D74F4" w:rsidRDefault="00F5265F" w:rsidP="005520E6">
      <w:pPr>
        <w:numPr>
          <w:ilvl w:val="0"/>
          <w:numId w:val="10"/>
        </w:numPr>
        <w:rPr>
          <w:rFonts w:ascii="Calibri" w:hAnsi="Calibri" w:cs="Calibri"/>
          <w:sz w:val="20"/>
          <w:szCs w:val="20"/>
        </w:rPr>
      </w:pPr>
      <w:r w:rsidRPr="004D74F4">
        <w:rPr>
          <w:rFonts w:ascii="Calibri" w:hAnsi="Calibri" w:cs="Calibri"/>
          <w:sz w:val="20"/>
          <w:szCs w:val="20"/>
        </w:rPr>
        <w:t xml:space="preserve">Thirteen vacation days and </w:t>
      </w:r>
      <w:r w:rsidR="00237B75" w:rsidRPr="004D74F4">
        <w:rPr>
          <w:rFonts w:ascii="Calibri" w:hAnsi="Calibri" w:cs="Calibri"/>
          <w:sz w:val="20"/>
          <w:szCs w:val="20"/>
        </w:rPr>
        <w:t>eleven federal</w:t>
      </w:r>
      <w:r w:rsidRPr="004D74F4">
        <w:rPr>
          <w:rFonts w:ascii="Calibri" w:hAnsi="Calibri" w:cs="Calibri"/>
          <w:sz w:val="20"/>
          <w:szCs w:val="20"/>
        </w:rPr>
        <w:t xml:space="preserve"> holidays</w:t>
      </w:r>
    </w:p>
    <w:p w14:paraId="4D124C3F" w14:textId="77777777" w:rsidR="00F5265F" w:rsidRPr="004D74F4" w:rsidRDefault="00F5265F" w:rsidP="005520E6">
      <w:pPr>
        <w:numPr>
          <w:ilvl w:val="0"/>
          <w:numId w:val="10"/>
        </w:numPr>
        <w:rPr>
          <w:rFonts w:ascii="Calibri" w:hAnsi="Calibri" w:cs="Calibri"/>
          <w:sz w:val="20"/>
          <w:szCs w:val="20"/>
        </w:rPr>
      </w:pPr>
      <w:r w:rsidRPr="004D74F4">
        <w:rPr>
          <w:rFonts w:ascii="Calibri" w:hAnsi="Calibri" w:cs="Calibri"/>
          <w:sz w:val="20"/>
          <w:szCs w:val="20"/>
        </w:rPr>
        <w:t>Professional days for attendance of national meetings and interviews</w:t>
      </w:r>
    </w:p>
    <w:p w14:paraId="5203DC3C" w14:textId="2DD7C98D" w:rsidR="00F5265F" w:rsidRPr="004D74F4" w:rsidRDefault="00EB110F" w:rsidP="005520E6">
      <w:pPr>
        <w:numPr>
          <w:ilvl w:val="0"/>
          <w:numId w:val="10"/>
        </w:numPr>
        <w:rPr>
          <w:rFonts w:ascii="Calibri" w:hAnsi="Calibri" w:cs="Calibri"/>
          <w:sz w:val="20"/>
          <w:szCs w:val="20"/>
        </w:rPr>
      </w:pPr>
      <w:r w:rsidRPr="004D74F4">
        <w:rPr>
          <w:rFonts w:ascii="Calibri" w:hAnsi="Calibri" w:cs="Calibri"/>
          <w:sz w:val="20"/>
          <w:szCs w:val="20"/>
        </w:rPr>
        <w:t>Shared o</w:t>
      </w:r>
      <w:r w:rsidR="00F5265F" w:rsidRPr="004D74F4">
        <w:rPr>
          <w:rFonts w:ascii="Calibri" w:hAnsi="Calibri" w:cs="Calibri"/>
          <w:sz w:val="20"/>
          <w:szCs w:val="20"/>
        </w:rPr>
        <w:t xml:space="preserve">ffice </w:t>
      </w:r>
      <w:r w:rsidRPr="004D74F4">
        <w:rPr>
          <w:rFonts w:ascii="Calibri" w:hAnsi="Calibri" w:cs="Calibri"/>
          <w:sz w:val="20"/>
          <w:szCs w:val="20"/>
        </w:rPr>
        <w:t xml:space="preserve">space with other PGY2 residents along </w:t>
      </w:r>
      <w:r w:rsidR="00F5265F" w:rsidRPr="004D74F4">
        <w:rPr>
          <w:rFonts w:ascii="Calibri" w:hAnsi="Calibri" w:cs="Calibri"/>
          <w:sz w:val="20"/>
          <w:szCs w:val="20"/>
        </w:rPr>
        <w:t xml:space="preserve">with </w:t>
      </w:r>
      <w:r w:rsidRPr="004D74F4">
        <w:rPr>
          <w:rFonts w:ascii="Calibri" w:hAnsi="Calibri" w:cs="Calibri"/>
          <w:sz w:val="20"/>
          <w:szCs w:val="20"/>
        </w:rPr>
        <w:t>dedicated computer</w:t>
      </w:r>
      <w:r w:rsidR="00F5265F" w:rsidRPr="004D74F4">
        <w:rPr>
          <w:rFonts w:ascii="Calibri" w:hAnsi="Calibri" w:cs="Calibri"/>
          <w:sz w:val="20"/>
          <w:szCs w:val="20"/>
        </w:rPr>
        <w:t xml:space="preserve"> </w:t>
      </w:r>
      <w:r w:rsidR="00883F2A" w:rsidRPr="004D74F4">
        <w:rPr>
          <w:rFonts w:ascii="Calibri" w:hAnsi="Calibri" w:cs="Calibri"/>
          <w:sz w:val="20"/>
          <w:szCs w:val="20"/>
        </w:rPr>
        <w:t>space</w:t>
      </w:r>
    </w:p>
    <w:p w14:paraId="7924D158" w14:textId="77777777" w:rsidR="006E01E2" w:rsidRPr="004D74F4" w:rsidRDefault="00F5265F" w:rsidP="005520E6">
      <w:pPr>
        <w:numPr>
          <w:ilvl w:val="0"/>
          <w:numId w:val="10"/>
        </w:numPr>
        <w:rPr>
          <w:rFonts w:ascii="Calibri" w:hAnsi="Calibri" w:cs="Calibri"/>
          <w:sz w:val="20"/>
          <w:szCs w:val="20"/>
        </w:rPr>
        <w:sectPr w:rsidR="006E01E2" w:rsidRPr="004D74F4" w:rsidSect="00841893">
          <w:type w:val="continuous"/>
          <w:pgSz w:w="12240" w:h="15840"/>
          <w:pgMar w:top="1440" w:right="1440" w:bottom="1440" w:left="1440" w:header="720" w:footer="720" w:gutter="0"/>
          <w:cols w:space="720"/>
          <w:docGrid w:linePitch="360"/>
        </w:sectPr>
      </w:pPr>
      <w:r w:rsidRPr="004D74F4">
        <w:rPr>
          <w:rFonts w:ascii="Calibri" w:hAnsi="Calibri" w:cs="Calibri"/>
          <w:sz w:val="20"/>
          <w:szCs w:val="20"/>
        </w:rPr>
        <w:t>Lab coat</w:t>
      </w:r>
      <w:r w:rsidR="007F70FD" w:rsidRPr="004D74F4">
        <w:rPr>
          <w:rFonts w:ascii="Calibri" w:hAnsi="Calibri" w:cs="Calibri"/>
          <w:sz w:val="20"/>
          <w:szCs w:val="20"/>
        </w:rPr>
        <w:t xml:space="preserve"> and m</w:t>
      </w:r>
      <w:r w:rsidRPr="004D74F4">
        <w:rPr>
          <w:rFonts w:ascii="Calibri" w:hAnsi="Calibri" w:cs="Calibri"/>
          <w:sz w:val="20"/>
          <w:szCs w:val="20"/>
        </w:rPr>
        <w:t>edical media acce</w:t>
      </w:r>
      <w:r w:rsidR="00841893" w:rsidRPr="004D74F4">
        <w:rPr>
          <w:rFonts w:ascii="Calibri" w:hAnsi="Calibri" w:cs="Calibri"/>
          <w:sz w:val="20"/>
          <w:szCs w:val="20"/>
        </w:rPr>
        <w:t>s</w:t>
      </w:r>
      <w:r w:rsidR="0083223F" w:rsidRPr="004D74F4">
        <w:rPr>
          <w:rFonts w:ascii="Calibri" w:hAnsi="Calibri" w:cs="Calibri"/>
          <w:sz w:val="20"/>
          <w:szCs w:val="20"/>
        </w:rPr>
        <w:t>s</w:t>
      </w:r>
    </w:p>
    <w:p w14:paraId="14801E39" w14:textId="77777777" w:rsidR="00295B57" w:rsidRPr="004D74F4" w:rsidRDefault="00295B57" w:rsidP="00761966">
      <w:pPr>
        <w:rPr>
          <w:rFonts w:ascii="Calibri" w:hAnsi="Calibri" w:cs="Calibri"/>
          <w:b/>
          <w:i/>
          <w:sz w:val="20"/>
          <w:szCs w:val="20"/>
        </w:rPr>
      </w:pPr>
    </w:p>
    <w:p w14:paraId="4B6027A1" w14:textId="2D729C0D" w:rsidR="00F64310" w:rsidRDefault="00F12CCC" w:rsidP="00761966">
      <w:pPr>
        <w:rPr>
          <w:rFonts w:ascii="Calibri" w:hAnsi="Calibri" w:cs="Calibri"/>
          <w:b/>
          <w:i/>
          <w:sz w:val="20"/>
          <w:szCs w:val="20"/>
        </w:rPr>
      </w:pPr>
      <w:r w:rsidRPr="00F64310">
        <w:rPr>
          <w:noProof/>
          <w:sz w:val="20"/>
          <w:szCs w:val="20"/>
        </w:rPr>
        <w:drawing>
          <wp:anchor distT="0" distB="0" distL="114300" distR="114300" simplePos="0" relativeHeight="251661824" behindDoc="0" locked="0" layoutInCell="1" allowOverlap="1" wp14:anchorId="40065385" wp14:editId="0BE78F49">
            <wp:simplePos x="0" y="0"/>
            <wp:positionH relativeFrom="page">
              <wp:posOffset>3872782</wp:posOffset>
            </wp:positionH>
            <wp:positionV relativeFrom="paragraph">
              <wp:posOffset>130064</wp:posOffset>
            </wp:positionV>
            <wp:extent cx="3597910" cy="2075815"/>
            <wp:effectExtent l="0" t="0" r="2540" b="63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7910" cy="207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B6B4B" w14:textId="683AA902" w:rsidR="00F64310" w:rsidRDefault="00F64310" w:rsidP="00761966">
      <w:pPr>
        <w:rPr>
          <w:rFonts w:ascii="Calibri" w:hAnsi="Calibri" w:cs="Calibri"/>
          <w:b/>
          <w:i/>
          <w:sz w:val="20"/>
          <w:szCs w:val="20"/>
        </w:rPr>
      </w:pPr>
    </w:p>
    <w:p w14:paraId="5028B9DA" w14:textId="4F23D605" w:rsidR="00F64310" w:rsidRDefault="00F64310" w:rsidP="00761966">
      <w:pPr>
        <w:rPr>
          <w:rFonts w:ascii="Calibri" w:hAnsi="Calibri" w:cs="Calibri"/>
          <w:b/>
          <w:i/>
          <w:sz w:val="20"/>
          <w:szCs w:val="20"/>
        </w:rPr>
      </w:pPr>
    </w:p>
    <w:p w14:paraId="121430EC" w14:textId="119AA572" w:rsidR="00841893" w:rsidRPr="00915904" w:rsidRDefault="00841893" w:rsidP="00761966">
      <w:pPr>
        <w:rPr>
          <w:rFonts w:ascii="Calibri" w:hAnsi="Calibri" w:cs="Calibri"/>
          <w:b/>
          <w:i/>
          <w:sz w:val="22"/>
          <w:szCs w:val="22"/>
        </w:rPr>
      </w:pPr>
      <w:r w:rsidRPr="00915904">
        <w:rPr>
          <w:rFonts w:ascii="Calibri" w:hAnsi="Calibri" w:cs="Calibri"/>
          <w:b/>
          <w:i/>
          <w:sz w:val="22"/>
          <w:szCs w:val="22"/>
        </w:rPr>
        <w:t>For more information please contact:</w:t>
      </w:r>
    </w:p>
    <w:p w14:paraId="2BA59AC3" w14:textId="023FACB8" w:rsidR="001843C8" w:rsidRPr="00915904" w:rsidRDefault="001843C8" w:rsidP="00761966">
      <w:pPr>
        <w:rPr>
          <w:rFonts w:asciiTheme="minorHAnsi" w:hAnsiTheme="minorHAnsi" w:cstheme="minorHAnsi"/>
          <w:sz w:val="20"/>
          <w:szCs w:val="20"/>
        </w:rPr>
      </w:pPr>
      <w:r w:rsidRPr="00915904">
        <w:rPr>
          <w:rFonts w:asciiTheme="minorHAnsi" w:hAnsiTheme="minorHAnsi" w:cstheme="minorHAnsi"/>
          <w:sz w:val="20"/>
          <w:szCs w:val="20"/>
        </w:rPr>
        <w:t>Christopher M. Degenkolb, Pharm.D., BCPS</w:t>
      </w:r>
    </w:p>
    <w:p w14:paraId="0B2EFA31" w14:textId="0F3C4698" w:rsidR="00841893" w:rsidRPr="00915904" w:rsidRDefault="00841893" w:rsidP="00761966">
      <w:pPr>
        <w:rPr>
          <w:rFonts w:asciiTheme="minorHAnsi" w:hAnsiTheme="minorHAnsi" w:cstheme="minorHAnsi"/>
          <w:sz w:val="20"/>
          <w:szCs w:val="20"/>
        </w:rPr>
      </w:pPr>
      <w:r w:rsidRPr="00915904">
        <w:rPr>
          <w:rFonts w:asciiTheme="minorHAnsi" w:hAnsiTheme="minorHAnsi" w:cstheme="minorHAnsi"/>
          <w:sz w:val="20"/>
          <w:szCs w:val="20"/>
        </w:rPr>
        <w:t>Residency Program Director, PGY2 IM Residency</w:t>
      </w:r>
    </w:p>
    <w:p w14:paraId="2440EAFE" w14:textId="7609CF40" w:rsidR="00841893" w:rsidRPr="00915904" w:rsidRDefault="001843C8" w:rsidP="00761966">
      <w:pPr>
        <w:rPr>
          <w:rFonts w:asciiTheme="minorHAnsi" w:hAnsiTheme="minorHAnsi" w:cstheme="minorHAnsi"/>
          <w:sz w:val="20"/>
          <w:szCs w:val="20"/>
        </w:rPr>
      </w:pPr>
      <w:r w:rsidRPr="00915904">
        <w:rPr>
          <w:rFonts w:asciiTheme="minorHAnsi" w:hAnsiTheme="minorHAnsi" w:cstheme="minorHAnsi"/>
          <w:sz w:val="20"/>
          <w:szCs w:val="20"/>
        </w:rPr>
        <w:t>Clinical Pharmacy Specialist – Internal Medicine</w:t>
      </w:r>
    </w:p>
    <w:p w14:paraId="6983C6CC" w14:textId="3467FE7F" w:rsidR="001843C8" w:rsidRPr="00915904" w:rsidRDefault="001843C8" w:rsidP="00761966">
      <w:pPr>
        <w:rPr>
          <w:rFonts w:asciiTheme="minorHAnsi" w:hAnsiTheme="minorHAnsi" w:cstheme="minorHAnsi"/>
          <w:sz w:val="20"/>
          <w:szCs w:val="20"/>
        </w:rPr>
      </w:pPr>
      <w:r w:rsidRPr="00915904">
        <w:rPr>
          <w:rFonts w:asciiTheme="minorHAnsi" w:hAnsiTheme="minorHAnsi" w:cstheme="minorHAnsi"/>
          <w:sz w:val="20"/>
          <w:szCs w:val="20"/>
        </w:rPr>
        <w:t>Richard L. Roudebush Veterans Affairs Medical Center</w:t>
      </w:r>
    </w:p>
    <w:p w14:paraId="7F6E669C" w14:textId="647F5B4E" w:rsidR="001843C8" w:rsidRPr="00915904" w:rsidRDefault="001843C8" w:rsidP="00761966">
      <w:pPr>
        <w:rPr>
          <w:rFonts w:asciiTheme="minorHAnsi" w:hAnsiTheme="minorHAnsi" w:cstheme="minorHAnsi"/>
          <w:sz w:val="20"/>
          <w:szCs w:val="20"/>
        </w:rPr>
      </w:pPr>
      <w:r w:rsidRPr="00915904">
        <w:rPr>
          <w:rFonts w:asciiTheme="minorHAnsi" w:hAnsiTheme="minorHAnsi" w:cstheme="minorHAnsi"/>
          <w:sz w:val="20"/>
          <w:szCs w:val="20"/>
        </w:rPr>
        <w:t xml:space="preserve">1481 West Tenth Street </w:t>
      </w:r>
    </w:p>
    <w:p w14:paraId="49635B18" w14:textId="63D7379E" w:rsidR="00F07047" w:rsidRPr="00915904" w:rsidRDefault="001843C8" w:rsidP="00761966">
      <w:pPr>
        <w:rPr>
          <w:rFonts w:asciiTheme="minorHAnsi" w:hAnsiTheme="minorHAnsi" w:cstheme="minorHAnsi"/>
          <w:sz w:val="20"/>
          <w:szCs w:val="20"/>
        </w:rPr>
      </w:pPr>
      <w:r w:rsidRPr="00915904">
        <w:rPr>
          <w:rFonts w:asciiTheme="minorHAnsi" w:hAnsiTheme="minorHAnsi" w:cstheme="minorHAnsi"/>
          <w:sz w:val="20"/>
          <w:szCs w:val="20"/>
        </w:rPr>
        <w:t>Indianapolis, Indiana 46202</w:t>
      </w:r>
    </w:p>
    <w:p w14:paraId="239ED278" w14:textId="00119939" w:rsidR="00403558" w:rsidRDefault="001843C8" w:rsidP="00604CB5">
      <w:pPr>
        <w:rPr>
          <w:rFonts w:asciiTheme="minorHAnsi" w:hAnsiTheme="minorHAnsi" w:cstheme="minorHAnsi"/>
          <w:sz w:val="20"/>
          <w:szCs w:val="20"/>
        </w:rPr>
      </w:pPr>
      <w:r w:rsidRPr="00915904">
        <w:rPr>
          <w:rFonts w:asciiTheme="minorHAnsi" w:hAnsiTheme="minorHAnsi" w:cstheme="minorHAnsi"/>
          <w:sz w:val="20"/>
          <w:szCs w:val="20"/>
        </w:rPr>
        <w:t>Office:  (317) 988-4565</w:t>
      </w:r>
      <w:r w:rsidR="00841893" w:rsidRPr="00915904">
        <w:rPr>
          <w:rFonts w:asciiTheme="minorHAnsi" w:hAnsiTheme="minorHAnsi" w:cstheme="minorHAnsi"/>
          <w:sz w:val="20"/>
          <w:szCs w:val="20"/>
        </w:rPr>
        <w:t xml:space="preserve">     </w:t>
      </w:r>
    </w:p>
    <w:p w14:paraId="03AA7B45" w14:textId="15CEBFC8" w:rsidR="00F0137B" w:rsidRPr="00915904" w:rsidRDefault="001843C8" w:rsidP="00604CB5">
      <w:pPr>
        <w:rPr>
          <w:rFonts w:asciiTheme="minorHAnsi" w:hAnsiTheme="minorHAnsi" w:cstheme="minorHAnsi"/>
          <w:sz w:val="20"/>
          <w:szCs w:val="20"/>
        </w:rPr>
      </w:pPr>
      <w:r w:rsidRPr="00915904">
        <w:rPr>
          <w:rFonts w:asciiTheme="minorHAnsi" w:hAnsiTheme="minorHAnsi" w:cstheme="minorHAnsi"/>
          <w:sz w:val="20"/>
          <w:szCs w:val="20"/>
        </w:rPr>
        <w:t xml:space="preserve">Email:  </w:t>
      </w:r>
      <w:hyperlink r:id="rId18" w:history="1">
        <w:r w:rsidRPr="00915904">
          <w:rPr>
            <w:rStyle w:val="Hyperlink"/>
            <w:rFonts w:asciiTheme="minorHAnsi" w:hAnsiTheme="minorHAnsi" w:cstheme="minorHAnsi"/>
            <w:sz w:val="20"/>
            <w:szCs w:val="20"/>
          </w:rPr>
          <w:t>Chris.Degenkolb2@va.gov</w:t>
        </w:r>
      </w:hyperlink>
      <w:r w:rsidRPr="00915904">
        <w:rPr>
          <w:rFonts w:asciiTheme="minorHAnsi" w:hAnsiTheme="minorHAnsi" w:cstheme="minorHAnsi"/>
          <w:sz w:val="20"/>
          <w:szCs w:val="20"/>
        </w:rPr>
        <w:t xml:space="preserve"> </w:t>
      </w:r>
      <w:r w:rsidR="00841893" w:rsidRPr="00915904">
        <w:rPr>
          <w:rFonts w:asciiTheme="minorHAnsi" w:hAnsiTheme="minorHAnsi" w:cstheme="minorHAnsi"/>
          <w:sz w:val="20"/>
          <w:szCs w:val="20"/>
        </w:rPr>
        <w:tab/>
      </w:r>
    </w:p>
    <w:sectPr w:rsidR="00F0137B" w:rsidRPr="00915904" w:rsidSect="0084189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797D" w14:textId="77777777" w:rsidR="00235D84" w:rsidRDefault="00235D84">
      <w:r>
        <w:separator/>
      </w:r>
    </w:p>
  </w:endnote>
  <w:endnote w:type="continuationSeparator" w:id="0">
    <w:p w14:paraId="5280A706" w14:textId="77777777" w:rsidR="00235D84" w:rsidRDefault="0023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D262" w14:textId="77777777" w:rsidR="00235D84" w:rsidRDefault="00235D84">
      <w:r>
        <w:separator/>
      </w:r>
    </w:p>
  </w:footnote>
  <w:footnote w:type="continuationSeparator" w:id="0">
    <w:p w14:paraId="535F5445" w14:textId="77777777" w:rsidR="00235D84" w:rsidRDefault="0023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694D" w14:textId="77777777" w:rsidR="006D508D" w:rsidRDefault="006D508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281"/>
    <w:multiLevelType w:val="hybridMultilevel"/>
    <w:tmpl w:val="23FAAFE0"/>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D160D6"/>
    <w:multiLevelType w:val="hybridMultilevel"/>
    <w:tmpl w:val="81A06BB2"/>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11175"/>
    <w:multiLevelType w:val="hybridMultilevel"/>
    <w:tmpl w:val="B57A8F8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4C601C"/>
    <w:multiLevelType w:val="hybridMultilevel"/>
    <w:tmpl w:val="988800DC"/>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721D1"/>
    <w:multiLevelType w:val="hybridMultilevel"/>
    <w:tmpl w:val="18DAC64C"/>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A6436"/>
    <w:multiLevelType w:val="hybridMultilevel"/>
    <w:tmpl w:val="63EA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6199A"/>
    <w:multiLevelType w:val="hybridMultilevel"/>
    <w:tmpl w:val="B378B4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321142"/>
    <w:multiLevelType w:val="hybridMultilevel"/>
    <w:tmpl w:val="8154FA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68627B"/>
    <w:multiLevelType w:val="hybridMultilevel"/>
    <w:tmpl w:val="65BE99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F1547"/>
    <w:multiLevelType w:val="hybridMultilevel"/>
    <w:tmpl w:val="D0A6F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8"/>
  </w:num>
  <w:num w:numId="6">
    <w:abstractNumId w:val="5"/>
  </w:num>
  <w:num w:numId="7">
    <w:abstractNumId w:val="1"/>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2C"/>
    <w:rsid w:val="00000B66"/>
    <w:rsid w:val="00014BED"/>
    <w:rsid w:val="000636B0"/>
    <w:rsid w:val="00082272"/>
    <w:rsid w:val="00090A70"/>
    <w:rsid w:val="000A32FD"/>
    <w:rsid w:val="000A77A3"/>
    <w:rsid w:val="000B0671"/>
    <w:rsid w:val="000D6126"/>
    <w:rsid w:val="001222CB"/>
    <w:rsid w:val="00130BA6"/>
    <w:rsid w:val="00143902"/>
    <w:rsid w:val="0014487E"/>
    <w:rsid w:val="00155929"/>
    <w:rsid w:val="001769DE"/>
    <w:rsid w:val="001843C8"/>
    <w:rsid w:val="00185D95"/>
    <w:rsid w:val="001B6608"/>
    <w:rsid w:val="00202599"/>
    <w:rsid w:val="0020488B"/>
    <w:rsid w:val="0023034F"/>
    <w:rsid w:val="00235D84"/>
    <w:rsid w:val="00236E30"/>
    <w:rsid w:val="00237B75"/>
    <w:rsid w:val="0024003B"/>
    <w:rsid w:val="00264E38"/>
    <w:rsid w:val="00271478"/>
    <w:rsid w:val="00295B57"/>
    <w:rsid w:val="00296B00"/>
    <w:rsid w:val="002A6FFA"/>
    <w:rsid w:val="002F309B"/>
    <w:rsid w:val="002F6F5B"/>
    <w:rsid w:val="00303F53"/>
    <w:rsid w:val="00312B4E"/>
    <w:rsid w:val="00321232"/>
    <w:rsid w:val="0037208E"/>
    <w:rsid w:val="003B06AC"/>
    <w:rsid w:val="003C7EFE"/>
    <w:rsid w:val="003E2EAE"/>
    <w:rsid w:val="003F2F6A"/>
    <w:rsid w:val="00403558"/>
    <w:rsid w:val="00416A0A"/>
    <w:rsid w:val="00423D8E"/>
    <w:rsid w:val="004302F0"/>
    <w:rsid w:val="004B408A"/>
    <w:rsid w:val="004B528F"/>
    <w:rsid w:val="004D0A13"/>
    <w:rsid w:val="004D74F4"/>
    <w:rsid w:val="004E2188"/>
    <w:rsid w:val="004F6F7B"/>
    <w:rsid w:val="0050322C"/>
    <w:rsid w:val="00524E53"/>
    <w:rsid w:val="005520E6"/>
    <w:rsid w:val="00593EDA"/>
    <w:rsid w:val="005A5CD2"/>
    <w:rsid w:val="005B736A"/>
    <w:rsid w:val="005C1581"/>
    <w:rsid w:val="005D301D"/>
    <w:rsid w:val="005E1718"/>
    <w:rsid w:val="005E4B09"/>
    <w:rsid w:val="005E78A1"/>
    <w:rsid w:val="00604CB5"/>
    <w:rsid w:val="006161BB"/>
    <w:rsid w:val="00623C70"/>
    <w:rsid w:val="00681DEF"/>
    <w:rsid w:val="006D282E"/>
    <w:rsid w:val="006D508D"/>
    <w:rsid w:val="006E01E2"/>
    <w:rsid w:val="00705ECC"/>
    <w:rsid w:val="00707898"/>
    <w:rsid w:val="00711A36"/>
    <w:rsid w:val="007272C4"/>
    <w:rsid w:val="00761966"/>
    <w:rsid w:val="00783B27"/>
    <w:rsid w:val="007C450C"/>
    <w:rsid w:val="007F70FD"/>
    <w:rsid w:val="007F7249"/>
    <w:rsid w:val="008002A3"/>
    <w:rsid w:val="00817652"/>
    <w:rsid w:val="0083223F"/>
    <w:rsid w:val="00837924"/>
    <w:rsid w:val="00841596"/>
    <w:rsid w:val="00841893"/>
    <w:rsid w:val="00860D1E"/>
    <w:rsid w:val="00883F2A"/>
    <w:rsid w:val="008A2040"/>
    <w:rsid w:val="008D4CE8"/>
    <w:rsid w:val="008D57B4"/>
    <w:rsid w:val="008E1B0F"/>
    <w:rsid w:val="008F2304"/>
    <w:rsid w:val="008F5F98"/>
    <w:rsid w:val="00901F3F"/>
    <w:rsid w:val="009031FF"/>
    <w:rsid w:val="0090532B"/>
    <w:rsid w:val="00915904"/>
    <w:rsid w:val="009409B1"/>
    <w:rsid w:val="009B0A12"/>
    <w:rsid w:val="009C3D8E"/>
    <w:rsid w:val="009D28F8"/>
    <w:rsid w:val="009E083C"/>
    <w:rsid w:val="00A021E3"/>
    <w:rsid w:val="00A203C8"/>
    <w:rsid w:val="00A24202"/>
    <w:rsid w:val="00A5159A"/>
    <w:rsid w:val="00A92905"/>
    <w:rsid w:val="00AA07F7"/>
    <w:rsid w:val="00AD268C"/>
    <w:rsid w:val="00B32256"/>
    <w:rsid w:val="00BA1D15"/>
    <w:rsid w:val="00C1175B"/>
    <w:rsid w:val="00C332F6"/>
    <w:rsid w:val="00C85399"/>
    <w:rsid w:val="00CA6535"/>
    <w:rsid w:val="00CB4508"/>
    <w:rsid w:val="00CE75C2"/>
    <w:rsid w:val="00D0491B"/>
    <w:rsid w:val="00D10533"/>
    <w:rsid w:val="00D46340"/>
    <w:rsid w:val="00D57D74"/>
    <w:rsid w:val="00DA5DA9"/>
    <w:rsid w:val="00DF7547"/>
    <w:rsid w:val="00E42D2F"/>
    <w:rsid w:val="00E44DD1"/>
    <w:rsid w:val="00E45659"/>
    <w:rsid w:val="00E8625C"/>
    <w:rsid w:val="00EB110F"/>
    <w:rsid w:val="00F0137B"/>
    <w:rsid w:val="00F07047"/>
    <w:rsid w:val="00F12CCC"/>
    <w:rsid w:val="00F45941"/>
    <w:rsid w:val="00F5265F"/>
    <w:rsid w:val="00F64310"/>
    <w:rsid w:val="00F70379"/>
    <w:rsid w:val="00F81743"/>
    <w:rsid w:val="00FC02A3"/>
    <w:rsid w:val="00FE1230"/>
    <w:rsid w:val="00FE7EE6"/>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9E549"/>
  <w15:chartTrackingRefBased/>
  <w15:docId w15:val="{7ACBB379-CDED-4781-8F78-15C703B7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22C"/>
    <w:rPr>
      <w:color w:val="0000FF"/>
      <w:u w:val="single"/>
    </w:rPr>
  </w:style>
  <w:style w:type="paragraph" w:styleId="Header">
    <w:name w:val="header"/>
    <w:basedOn w:val="Normal"/>
    <w:rsid w:val="0050322C"/>
    <w:pPr>
      <w:tabs>
        <w:tab w:val="center" w:pos="4320"/>
        <w:tab w:val="right" w:pos="8640"/>
      </w:tabs>
    </w:pPr>
  </w:style>
  <w:style w:type="character" w:styleId="CommentReference">
    <w:name w:val="annotation reference"/>
    <w:semiHidden/>
    <w:rsid w:val="00A203C8"/>
    <w:rPr>
      <w:sz w:val="16"/>
      <w:szCs w:val="16"/>
    </w:rPr>
  </w:style>
  <w:style w:type="paragraph" w:styleId="CommentText">
    <w:name w:val="annotation text"/>
    <w:basedOn w:val="Normal"/>
    <w:semiHidden/>
    <w:rsid w:val="00A203C8"/>
    <w:rPr>
      <w:sz w:val="20"/>
      <w:szCs w:val="20"/>
    </w:rPr>
  </w:style>
  <w:style w:type="paragraph" w:styleId="CommentSubject">
    <w:name w:val="annotation subject"/>
    <w:basedOn w:val="CommentText"/>
    <w:next w:val="CommentText"/>
    <w:semiHidden/>
    <w:rsid w:val="00A203C8"/>
    <w:rPr>
      <w:b/>
      <w:bCs/>
    </w:rPr>
  </w:style>
  <w:style w:type="paragraph" w:styleId="BalloonText">
    <w:name w:val="Balloon Text"/>
    <w:basedOn w:val="Normal"/>
    <w:semiHidden/>
    <w:rsid w:val="00A203C8"/>
    <w:rPr>
      <w:rFonts w:ascii="Tahoma" w:hAnsi="Tahoma" w:cs="Tahoma"/>
      <w:sz w:val="16"/>
      <w:szCs w:val="16"/>
    </w:rPr>
  </w:style>
  <w:style w:type="paragraph" w:styleId="NormalWeb">
    <w:name w:val="Normal (Web)"/>
    <w:basedOn w:val="Normal"/>
    <w:uiPriority w:val="99"/>
    <w:unhideWhenUsed/>
    <w:rsid w:val="00A021E3"/>
    <w:pPr>
      <w:spacing w:before="100" w:beforeAutospacing="1" w:after="105" w:line="240" w:lineRule="atLeast"/>
    </w:pPr>
  </w:style>
  <w:style w:type="character" w:styleId="FollowedHyperlink">
    <w:name w:val="FollowedHyperlink"/>
    <w:rsid w:val="00841893"/>
    <w:rPr>
      <w:color w:val="954F72"/>
      <w:u w:val="single"/>
    </w:rPr>
  </w:style>
  <w:style w:type="paragraph" w:styleId="ListParagraph">
    <w:name w:val="List Paragraph"/>
    <w:basedOn w:val="Normal"/>
    <w:uiPriority w:val="34"/>
    <w:qFormat/>
    <w:rsid w:val="009409B1"/>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Chris.Degenkolb2@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va.gov/OAA/TQCVL/2021HPTInstructionsFINALv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va.gov/indiana-health-care/work-with-us/internships-and-fellowships/indianapolis-vamc-pharmacy-residency-progr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90CF-E709-4D4F-BA66-2BF5B312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864</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PGY 2 Internal Medicine Specialty Residency</vt:lpstr>
    </vt:vector>
  </TitlesOfParts>
  <Company>V.A. Medical Center Indianapolis</Company>
  <LinksUpToDate>false</LinksUpToDate>
  <CharactersWithSpaces>6536</CharactersWithSpaces>
  <SharedDoc>false</SharedDoc>
  <HLinks>
    <vt:vector size="18" baseType="variant">
      <vt:variant>
        <vt:i4>5242983</vt:i4>
      </vt:variant>
      <vt:variant>
        <vt:i4>6</vt:i4>
      </vt:variant>
      <vt:variant>
        <vt:i4>0</vt:i4>
      </vt:variant>
      <vt:variant>
        <vt:i4>5</vt:i4>
      </vt:variant>
      <vt:variant>
        <vt:lpwstr>mailto:Chris.Degenkolb2@va.gov</vt:lpwstr>
      </vt:variant>
      <vt:variant>
        <vt:lpwstr/>
      </vt:variant>
      <vt:variant>
        <vt:i4>6422629</vt:i4>
      </vt:variant>
      <vt:variant>
        <vt:i4>3</vt:i4>
      </vt:variant>
      <vt:variant>
        <vt:i4>0</vt:i4>
      </vt:variant>
      <vt:variant>
        <vt:i4>5</vt:i4>
      </vt:variant>
      <vt:variant>
        <vt:lpwstr>https://www.va.gov/OAA/TQCVL/2021HPTInstructionsFINALv2.pdf</vt:lpwstr>
      </vt:variant>
      <vt:variant>
        <vt:lpwstr/>
      </vt:variant>
      <vt:variant>
        <vt:i4>524368</vt:i4>
      </vt:variant>
      <vt:variant>
        <vt:i4>0</vt:i4>
      </vt:variant>
      <vt:variant>
        <vt:i4>0</vt:i4>
      </vt:variant>
      <vt:variant>
        <vt:i4>5</vt:i4>
      </vt:variant>
      <vt:variant>
        <vt:lpwstr>https://www.va.gov/indiana-health-care/work-with-us/internships-and-fellowships/indianapolis-vamc-pharmacy-residency-program/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PGY 2 Internal Medicine Specialty Residency</dc:title>
  <dc:subject/>
  <dc:creator>vhainddegenc1</dc:creator>
  <cp:keywords/>
  <cp:lastModifiedBy>Degenkolb, Chris</cp:lastModifiedBy>
  <cp:revision>14</cp:revision>
  <cp:lastPrinted>2012-10-25T17:25:00Z</cp:lastPrinted>
  <dcterms:created xsi:type="dcterms:W3CDTF">2022-09-26T15:38:00Z</dcterms:created>
  <dcterms:modified xsi:type="dcterms:W3CDTF">2022-10-13T18:32:00Z</dcterms:modified>
</cp:coreProperties>
</file>