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92096" w14:textId="77777777" w:rsidR="00541207" w:rsidRDefault="00541207">
      <w:pPr>
        <w:pStyle w:val="BodyText"/>
        <w:spacing w:before="7"/>
        <w:rPr>
          <w:sz w:val="15"/>
        </w:rPr>
      </w:pPr>
      <w:bookmarkStart w:id="0" w:name="_GoBack"/>
      <w:bookmarkEnd w:id="0"/>
    </w:p>
    <w:p w14:paraId="7933CDAA" w14:textId="77777777" w:rsidR="00541207" w:rsidRDefault="00BA7E88">
      <w:pPr>
        <w:pStyle w:val="BodyText"/>
        <w:ind w:left="2740"/>
        <w:rPr>
          <w:sz w:val="20"/>
        </w:rPr>
      </w:pPr>
      <w:r>
        <w:rPr>
          <w:noProof/>
          <w:sz w:val="20"/>
        </w:rPr>
        <w:drawing>
          <wp:inline distT="0" distB="0" distL="0" distR="0" wp14:anchorId="6FA40CDE" wp14:editId="038E9730">
            <wp:extent cx="2764655" cy="1718309"/>
            <wp:effectExtent l="0" t="0" r="0" b="0"/>
            <wp:docPr id="1" name="image1.jpeg"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64655" cy="1718309"/>
                    </a:xfrm>
                    <a:prstGeom prst="rect">
                      <a:avLst/>
                    </a:prstGeom>
                  </pic:spPr>
                </pic:pic>
              </a:graphicData>
            </a:graphic>
          </wp:inline>
        </w:drawing>
      </w:r>
    </w:p>
    <w:p w14:paraId="5365F549" w14:textId="77777777" w:rsidR="00541207" w:rsidRDefault="00541207">
      <w:pPr>
        <w:pStyle w:val="BodyText"/>
        <w:rPr>
          <w:sz w:val="20"/>
        </w:rPr>
      </w:pPr>
    </w:p>
    <w:p w14:paraId="097FC2D2" w14:textId="77777777" w:rsidR="00541207" w:rsidRDefault="00541207">
      <w:pPr>
        <w:pStyle w:val="BodyText"/>
        <w:rPr>
          <w:sz w:val="20"/>
        </w:rPr>
      </w:pPr>
    </w:p>
    <w:p w14:paraId="0561A8D7" w14:textId="77777777" w:rsidR="00541207" w:rsidRDefault="00541207">
      <w:pPr>
        <w:pStyle w:val="BodyText"/>
        <w:rPr>
          <w:sz w:val="20"/>
        </w:rPr>
      </w:pPr>
    </w:p>
    <w:p w14:paraId="0E96FC93" w14:textId="77777777" w:rsidR="00541207" w:rsidRDefault="00541207">
      <w:pPr>
        <w:pStyle w:val="BodyText"/>
        <w:rPr>
          <w:sz w:val="20"/>
        </w:rPr>
      </w:pPr>
    </w:p>
    <w:p w14:paraId="51645D48" w14:textId="77777777" w:rsidR="00541207" w:rsidRDefault="00541207">
      <w:pPr>
        <w:pStyle w:val="BodyText"/>
        <w:spacing w:before="2"/>
        <w:rPr>
          <w:sz w:val="28"/>
        </w:rPr>
      </w:pPr>
    </w:p>
    <w:p w14:paraId="125B70BF" w14:textId="77777777" w:rsidR="00541207" w:rsidRDefault="00BA7E88">
      <w:pPr>
        <w:spacing w:before="85"/>
        <w:ind w:left="902" w:right="774"/>
        <w:jc w:val="center"/>
        <w:rPr>
          <w:rFonts w:ascii="Arial"/>
          <w:b/>
          <w:sz w:val="48"/>
        </w:rPr>
      </w:pPr>
      <w:r>
        <w:rPr>
          <w:rFonts w:ascii="Arial"/>
          <w:b/>
          <w:sz w:val="48"/>
        </w:rPr>
        <w:t>CLINICAL PROCEDURES (CP) V1.0 FLOWSHEETS MODULE</w:t>
      </w:r>
    </w:p>
    <w:p w14:paraId="5900FDD7" w14:textId="77777777" w:rsidR="00541207" w:rsidRDefault="00BA7E88">
      <w:pPr>
        <w:ind w:left="897" w:right="774"/>
        <w:jc w:val="center"/>
        <w:rPr>
          <w:rFonts w:ascii="Arial"/>
          <w:b/>
          <w:sz w:val="48"/>
        </w:rPr>
      </w:pPr>
      <w:r>
        <w:rPr>
          <w:rFonts w:ascii="Arial"/>
          <w:b/>
          <w:sz w:val="48"/>
        </w:rPr>
        <w:t>RELEASE NOTES</w:t>
      </w:r>
    </w:p>
    <w:p w14:paraId="161712A0" w14:textId="77777777" w:rsidR="00541207" w:rsidRDefault="00541207">
      <w:pPr>
        <w:pStyle w:val="BodyText"/>
        <w:rPr>
          <w:rFonts w:ascii="Arial"/>
          <w:b/>
          <w:sz w:val="54"/>
        </w:rPr>
      </w:pPr>
    </w:p>
    <w:p w14:paraId="0E323EB9" w14:textId="77777777" w:rsidR="00541207" w:rsidRDefault="00541207">
      <w:pPr>
        <w:pStyle w:val="BodyText"/>
        <w:rPr>
          <w:rFonts w:ascii="Arial"/>
          <w:b/>
          <w:sz w:val="54"/>
        </w:rPr>
      </w:pPr>
    </w:p>
    <w:p w14:paraId="389CF455" w14:textId="77777777" w:rsidR="00541207" w:rsidRDefault="00BA7E88">
      <w:pPr>
        <w:spacing w:before="350" w:line="413" w:lineRule="exact"/>
        <w:ind w:left="893" w:right="774"/>
        <w:jc w:val="center"/>
        <w:rPr>
          <w:rFonts w:ascii="Arial"/>
          <w:sz w:val="36"/>
        </w:rPr>
      </w:pPr>
      <w:r>
        <w:rPr>
          <w:rFonts w:ascii="Arial"/>
          <w:sz w:val="36"/>
        </w:rPr>
        <w:t>(MD*1.0*12)</w:t>
      </w:r>
    </w:p>
    <w:p w14:paraId="78563266" w14:textId="77777777" w:rsidR="00541207" w:rsidRDefault="00BA7E88">
      <w:pPr>
        <w:spacing w:line="413" w:lineRule="exact"/>
        <w:ind w:left="902" w:right="774"/>
        <w:jc w:val="center"/>
        <w:rPr>
          <w:rFonts w:ascii="Arial"/>
          <w:sz w:val="36"/>
        </w:rPr>
      </w:pPr>
      <w:r>
        <w:rPr>
          <w:rFonts w:ascii="Arial"/>
          <w:sz w:val="36"/>
        </w:rPr>
        <w:t>February 2012</w:t>
      </w:r>
    </w:p>
    <w:p w14:paraId="1DD864E0" w14:textId="77777777" w:rsidR="00541207" w:rsidRDefault="00541207">
      <w:pPr>
        <w:pStyle w:val="BodyText"/>
        <w:rPr>
          <w:rFonts w:ascii="Arial"/>
          <w:sz w:val="40"/>
        </w:rPr>
      </w:pPr>
    </w:p>
    <w:p w14:paraId="11A2958F" w14:textId="77777777" w:rsidR="00541207" w:rsidRDefault="00541207">
      <w:pPr>
        <w:pStyle w:val="BodyText"/>
        <w:rPr>
          <w:rFonts w:ascii="Arial"/>
          <w:sz w:val="40"/>
        </w:rPr>
      </w:pPr>
    </w:p>
    <w:p w14:paraId="25503A8F" w14:textId="77777777" w:rsidR="00541207" w:rsidRDefault="00541207">
      <w:pPr>
        <w:pStyle w:val="BodyText"/>
        <w:rPr>
          <w:rFonts w:ascii="Arial"/>
          <w:sz w:val="40"/>
        </w:rPr>
      </w:pPr>
    </w:p>
    <w:p w14:paraId="11E34EDA" w14:textId="77777777" w:rsidR="00541207" w:rsidRDefault="00BA7E88">
      <w:pPr>
        <w:pStyle w:val="BodyText"/>
        <w:spacing w:before="335" w:line="242" w:lineRule="auto"/>
        <w:ind w:left="2659" w:right="2519" w:firstLine="595"/>
        <w:rPr>
          <w:rFonts w:ascii="Arial"/>
        </w:rPr>
      </w:pPr>
      <w:r>
        <w:rPr>
          <w:rFonts w:ascii="Arial"/>
        </w:rPr>
        <w:t>Department of Veterans Affairs Office of Information &amp; Technology (OI&amp;T)</w:t>
      </w:r>
    </w:p>
    <w:p w14:paraId="5854BEEF" w14:textId="77777777" w:rsidR="00541207" w:rsidRDefault="00BA7E88">
      <w:pPr>
        <w:pStyle w:val="BodyText"/>
        <w:spacing w:line="266" w:lineRule="exact"/>
        <w:ind w:left="3466"/>
        <w:rPr>
          <w:rFonts w:ascii="Arial"/>
        </w:rPr>
      </w:pPr>
      <w:r>
        <w:rPr>
          <w:rFonts w:ascii="Arial"/>
        </w:rPr>
        <w:t>Product Development (PD)</w:t>
      </w:r>
    </w:p>
    <w:p w14:paraId="462DCA70" w14:textId="77777777" w:rsidR="00541207" w:rsidRDefault="00541207">
      <w:pPr>
        <w:spacing w:line="266" w:lineRule="exact"/>
        <w:rPr>
          <w:rFonts w:ascii="Arial"/>
        </w:rPr>
        <w:sectPr w:rsidR="00541207">
          <w:type w:val="continuous"/>
          <w:pgSz w:w="12240" w:h="15840"/>
          <w:pgMar w:top="1500" w:right="1340" w:bottom="280" w:left="1220" w:header="720" w:footer="720" w:gutter="0"/>
          <w:cols w:space="720"/>
        </w:sectPr>
      </w:pPr>
    </w:p>
    <w:p w14:paraId="65BC0EF1" w14:textId="77777777" w:rsidR="00541207" w:rsidRDefault="00BA7E88">
      <w:pPr>
        <w:spacing w:before="106"/>
        <w:ind w:left="220"/>
        <w:rPr>
          <w:rFonts w:ascii="Arial"/>
          <w:b/>
          <w:sz w:val="36"/>
        </w:rPr>
      </w:pPr>
      <w:r>
        <w:rPr>
          <w:rFonts w:ascii="Arial"/>
          <w:b/>
          <w:sz w:val="36"/>
        </w:rPr>
        <w:lastRenderedPageBreak/>
        <w:t>Revision History</w:t>
      </w:r>
    </w:p>
    <w:p w14:paraId="7A960EBC" w14:textId="77777777" w:rsidR="00541207" w:rsidRDefault="00541207">
      <w:pPr>
        <w:pStyle w:val="BodyText"/>
        <w:rPr>
          <w:rFonts w:ascii="Arial"/>
          <w:b/>
          <w:sz w:val="20"/>
        </w:rPr>
      </w:pPr>
    </w:p>
    <w:p w14:paraId="69C044AB" w14:textId="77777777" w:rsidR="00541207" w:rsidRDefault="00541207">
      <w:pPr>
        <w:pStyle w:val="BodyText"/>
        <w:spacing w:after="1"/>
        <w:rPr>
          <w:rFonts w:ascii="Arial"/>
          <w:b/>
          <w:sz w:val="2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18"/>
        <w:gridCol w:w="2142"/>
        <w:gridCol w:w="2665"/>
      </w:tblGrid>
      <w:tr w:rsidR="00541207" w14:paraId="21447EE7" w14:textId="77777777">
        <w:trPr>
          <w:trHeight w:val="316"/>
        </w:trPr>
        <w:tc>
          <w:tcPr>
            <w:tcW w:w="3818" w:type="dxa"/>
            <w:shd w:val="clear" w:color="auto" w:fill="F1F1F1"/>
          </w:tcPr>
          <w:p w14:paraId="1017566D" w14:textId="77777777" w:rsidR="00541207" w:rsidRDefault="00BA7E88">
            <w:pPr>
              <w:pStyle w:val="TableParagraph"/>
              <w:spacing w:before="35" w:line="261" w:lineRule="exact"/>
              <w:ind w:left="112"/>
              <w:rPr>
                <w:b/>
                <w:sz w:val="24"/>
              </w:rPr>
            </w:pPr>
            <w:r>
              <w:rPr>
                <w:b/>
                <w:sz w:val="24"/>
              </w:rPr>
              <w:t>Description</w:t>
            </w:r>
          </w:p>
        </w:tc>
        <w:tc>
          <w:tcPr>
            <w:tcW w:w="2142" w:type="dxa"/>
            <w:shd w:val="clear" w:color="auto" w:fill="F1F1F1"/>
          </w:tcPr>
          <w:p w14:paraId="6A5B4233" w14:textId="77777777" w:rsidR="00541207" w:rsidRDefault="00BA7E88">
            <w:pPr>
              <w:pStyle w:val="TableParagraph"/>
              <w:spacing w:before="35" w:line="261" w:lineRule="exact"/>
              <w:ind w:left="112"/>
              <w:rPr>
                <w:b/>
                <w:sz w:val="24"/>
              </w:rPr>
            </w:pPr>
            <w:r>
              <w:rPr>
                <w:b/>
                <w:sz w:val="24"/>
              </w:rPr>
              <w:t>Date</w:t>
            </w:r>
          </w:p>
        </w:tc>
        <w:tc>
          <w:tcPr>
            <w:tcW w:w="2665" w:type="dxa"/>
            <w:shd w:val="clear" w:color="auto" w:fill="F1F1F1"/>
          </w:tcPr>
          <w:p w14:paraId="4A079DFB" w14:textId="77777777" w:rsidR="00541207" w:rsidRDefault="00BA7E88">
            <w:pPr>
              <w:pStyle w:val="TableParagraph"/>
              <w:spacing w:before="35" w:line="261" w:lineRule="exact"/>
              <w:ind w:left="111"/>
              <w:rPr>
                <w:b/>
                <w:sz w:val="24"/>
              </w:rPr>
            </w:pPr>
            <w:r>
              <w:rPr>
                <w:b/>
                <w:sz w:val="24"/>
              </w:rPr>
              <w:t>Author</w:t>
            </w:r>
          </w:p>
        </w:tc>
      </w:tr>
      <w:tr w:rsidR="00BA7E88" w14:paraId="09169F11" w14:textId="77777777">
        <w:trPr>
          <w:trHeight w:val="632"/>
        </w:trPr>
        <w:tc>
          <w:tcPr>
            <w:tcW w:w="3818" w:type="dxa"/>
          </w:tcPr>
          <w:p w14:paraId="5BC519CA" w14:textId="77777777" w:rsidR="00BA7E88" w:rsidRDefault="00BA7E88" w:rsidP="00BA7E88">
            <w:pPr>
              <w:pStyle w:val="TableParagraph"/>
              <w:spacing w:before="30"/>
              <w:ind w:left="112"/>
              <w:rPr>
                <w:sz w:val="24"/>
              </w:rPr>
            </w:pPr>
            <w:r>
              <w:rPr>
                <w:sz w:val="24"/>
              </w:rPr>
              <w:t>Patch MD*1.0*12 release.</w:t>
            </w:r>
          </w:p>
        </w:tc>
        <w:tc>
          <w:tcPr>
            <w:tcW w:w="2142" w:type="dxa"/>
          </w:tcPr>
          <w:p w14:paraId="337B4B3A" w14:textId="77777777" w:rsidR="00BA7E88" w:rsidRDefault="00BA7E88" w:rsidP="00BA7E88">
            <w:pPr>
              <w:pStyle w:val="TableParagraph"/>
              <w:spacing w:before="30"/>
              <w:ind w:left="112"/>
              <w:rPr>
                <w:sz w:val="24"/>
              </w:rPr>
            </w:pPr>
            <w:r>
              <w:rPr>
                <w:sz w:val="24"/>
              </w:rPr>
              <w:t>November 2011</w:t>
            </w:r>
          </w:p>
        </w:tc>
        <w:tc>
          <w:tcPr>
            <w:tcW w:w="2665" w:type="dxa"/>
          </w:tcPr>
          <w:p w14:paraId="1C01B8AE" w14:textId="6270354C" w:rsidR="00BA7E88" w:rsidRDefault="00BA7E88" w:rsidP="00BA7E88">
            <w:pPr>
              <w:pStyle w:val="TableParagraph"/>
              <w:spacing w:before="1" w:line="316" w:lineRule="exact"/>
              <w:ind w:left="111" w:right="1192"/>
              <w:rPr>
                <w:sz w:val="24"/>
              </w:rPr>
            </w:pPr>
            <w:r w:rsidRPr="00565761">
              <w:rPr>
                <w:highlight w:val="yellow"/>
              </w:rPr>
              <w:t>REDACTED</w:t>
            </w:r>
          </w:p>
        </w:tc>
      </w:tr>
      <w:tr w:rsidR="00BA7E88" w14:paraId="74C8E13A" w14:textId="77777777">
        <w:trPr>
          <w:trHeight w:val="316"/>
        </w:trPr>
        <w:tc>
          <w:tcPr>
            <w:tcW w:w="3818" w:type="dxa"/>
          </w:tcPr>
          <w:p w14:paraId="43E0F6F6" w14:textId="77777777" w:rsidR="00BA7E88" w:rsidRDefault="00BA7E88" w:rsidP="00BA7E88">
            <w:pPr>
              <w:pStyle w:val="TableParagraph"/>
              <w:spacing w:before="34"/>
              <w:ind w:left="112"/>
            </w:pPr>
            <w:r>
              <w:t>Editorial Review</w:t>
            </w:r>
          </w:p>
        </w:tc>
        <w:tc>
          <w:tcPr>
            <w:tcW w:w="2142" w:type="dxa"/>
          </w:tcPr>
          <w:p w14:paraId="286F2684" w14:textId="77777777" w:rsidR="00BA7E88" w:rsidRDefault="00BA7E88" w:rsidP="00BA7E88">
            <w:pPr>
              <w:pStyle w:val="TableParagraph"/>
              <w:spacing w:before="30" w:line="267" w:lineRule="exact"/>
              <w:ind w:left="112"/>
              <w:rPr>
                <w:sz w:val="24"/>
              </w:rPr>
            </w:pPr>
            <w:r>
              <w:rPr>
                <w:sz w:val="24"/>
              </w:rPr>
              <w:t>January 2012</w:t>
            </w:r>
          </w:p>
        </w:tc>
        <w:tc>
          <w:tcPr>
            <w:tcW w:w="2665" w:type="dxa"/>
          </w:tcPr>
          <w:p w14:paraId="4B25660D" w14:textId="38067982" w:rsidR="00BA7E88" w:rsidRDefault="00BA7E88" w:rsidP="00BA7E88">
            <w:pPr>
              <w:pStyle w:val="TableParagraph"/>
              <w:spacing w:before="30" w:line="267" w:lineRule="exact"/>
              <w:ind w:left="111"/>
              <w:rPr>
                <w:sz w:val="24"/>
              </w:rPr>
            </w:pPr>
            <w:r w:rsidRPr="00565761">
              <w:rPr>
                <w:highlight w:val="yellow"/>
              </w:rPr>
              <w:t>REDACTED</w:t>
            </w:r>
          </w:p>
        </w:tc>
      </w:tr>
      <w:tr w:rsidR="00541207" w14:paraId="1E6FF7FE" w14:textId="77777777">
        <w:trPr>
          <w:trHeight w:val="316"/>
        </w:trPr>
        <w:tc>
          <w:tcPr>
            <w:tcW w:w="3818" w:type="dxa"/>
          </w:tcPr>
          <w:p w14:paraId="59756C79" w14:textId="77777777" w:rsidR="00541207" w:rsidRDefault="00541207">
            <w:pPr>
              <w:pStyle w:val="TableParagraph"/>
            </w:pPr>
          </w:p>
        </w:tc>
        <w:tc>
          <w:tcPr>
            <w:tcW w:w="2142" w:type="dxa"/>
          </w:tcPr>
          <w:p w14:paraId="08CF4849" w14:textId="77777777" w:rsidR="00541207" w:rsidRDefault="00541207">
            <w:pPr>
              <w:pStyle w:val="TableParagraph"/>
            </w:pPr>
          </w:p>
        </w:tc>
        <w:tc>
          <w:tcPr>
            <w:tcW w:w="2665" w:type="dxa"/>
          </w:tcPr>
          <w:p w14:paraId="1314C255" w14:textId="77777777" w:rsidR="00541207" w:rsidRDefault="00541207">
            <w:pPr>
              <w:pStyle w:val="TableParagraph"/>
            </w:pPr>
          </w:p>
        </w:tc>
      </w:tr>
      <w:tr w:rsidR="00541207" w14:paraId="38365D26" w14:textId="77777777">
        <w:trPr>
          <w:trHeight w:val="316"/>
        </w:trPr>
        <w:tc>
          <w:tcPr>
            <w:tcW w:w="3818" w:type="dxa"/>
          </w:tcPr>
          <w:p w14:paraId="48899F31" w14:textId="77777777" w:rsidR="00541207" w:rsidRDefault="00541207">
            <w:pPr>
              <w:pStyle w:val="TableParagraph"/>
            </w:pPr>
          </w:p>
        </w:tc>
        <w:tc>
          <w:tcPr>
            <w:tcW w:w="2142" w:type="dxa"/>
          </w:tcPr>
          <w:p w14:paraId="62AD056C" w14:textId="77777777" w:rsidR="00541207" w:rsidRDefault="00541207">
            <w:pPr>
              <w:pStyle w:val="TableParagraph"/>
            </w:pPr>
          </w:p>
        </w:tc>
        <w:tc>
          <w:tcPr>
            <w:tcW w:w="2665" w:type="dxa"/>
          </w:tcPr>
          <w:p w14:paraId="22B5EC48" w14:textId="77777777" w:rsidR="00541207" w:rsidRDefault="00541207">
            <w:pPr>
              <w:pStyle w:val="TableParagraph"/>
            </w:pPr>
          </w:p>
        </w:tc>
      </w:tr>
    </w:tbl>
    <w:p w14:paraId="18A0503A" w14:textId="77777777" w:rsidR="00541207" w:rsidRDefault="00541207">
      <w:pPr>
        <w:sectPr w:rsidR="00541207">
          <w:footerReference w:type="default" r:id="rId8"/>
          <w:pgSz w:w="12240" w:h="15840"/>
          <w:pgMar w:top="1500" w:right="1340" w:bottom="1160" w:left="1220" w:header="0" w:footer="978" w:gutter="0"/>
          <w:cols w:space="720"/>
        </w:sectPr>
      </w:pPr>
    </w:p>
    <w:p w14:paraId="5932773E" w14:textId="77777777" w:rsidR="00541207" w:rsidRDefault="00541207">
      <w:pPr>
        <w:pStyle w:val="BodyText"/>
        <w:spacing w:before="1"/>
        <w:rPr>
          <w:rFonts w:ascii="Arial"/>
          <w:b/>
          <w:sz w:val="10"/>
        </w:rPr>
      </w:pPr>
    </w:p>
    <w:p w14:paraId="00156BE1" w14:textId="77777777" w:rsidR="00541207" w:rsidRDefault="00BA7E88">
      <w:pPr>
        <w:spacing w:before="90"/>
        <w:ind w:left="890" w:right="774"/>
        <w:jc w:val="center"/>
        <w:rPr>
          <w:i/>
          <w:sz w:val="24"/>
        </w:rPr>
      </w:pPr>
      <w:r>
        <w:rPr>
          <w:i/>
          <w:sz w:val="24"/>
        </w:rPr>
        <w:t>This page intentionally left blank for double-sided printing.</w:t>
      </w:r>
    </w:p>
    <w:p w14:paraId="50D84EDC" w14:textId="77777777" w:rsidR="00541207" w:rsidRDefault="00541207">
      <w:pPr>
        <w:pStyle w:val="BodyText"/>
        <w:rPr>
          <w:i/>
          <w:sz w:val="20"/>
        </w:rPr>
      </w:pPr>
    </w:p>
    <w:p w14:paraId="155629A3" w14:textId="77777777" w:rsidR="00541207" w:rsidRDefault="00541207">
      <w:pPr>
        <w:pStyle w:val="BodyText"/>
        <w:rPr>
          <w:i/>
          <w:sz w:val="20"/>
        </w:rPr>
      </w:pPr>
    </w:p>
    <w:p w14:paraId="25881FEB" w14:textId="77777777" w:rsidR="00541207" w:rsidRDefault="00541207">
      <w:pPr>
        <w:pStyle w:val="BodyText"/>
        <w:rPr>
          <w:i/>
          <w:sz w:val="20"/>
        </w:rPr>
      </w:pPr>
    </w:p>
    <w:p w14:paraId="723D3BB5" w14:textId="77777777" w:rsidR="00541207" w:rsidRDefault="00541207">
      <w:pPr>
        <w:pStyle w:val="BodyText"/>
        <w:rPr>
          <w:i/>
          <w:sz w:val="20"/>
        </w:rPr>
      </w:pPr>
    </w:p>
    <w:p w14:paraId="32287794" w14:textId="77777777" w:rsidR="00541207" w:rsidRDefault="00541207">
      <w:pPr>
        <w:pStyle w:val="BodyText"/>
        <w:rPr>
          <w:i/>
          <w:sz w:val="20"/>
        </w:rPr>
      </w:pPr>
    </w:p>
    <w:p w14:paraId="55804719" w14:textId="77777777" w:rsidR="00541207" w:rsidRDefault="00541207">
      <w:pPr>
        <w:pStyle w:val="BodyText"/>
        <w:rPr>
          <w:i/>
          <w:sz w:val="20"/>
        </w:rPr>
      </w:pPr>
    </w:p>
    <w:p w14:paraId="35347E39" w14:textId="77777777" w:rsidR="00541207" w:rsidRDefault="00541207">
      <w:pPr>
        <w:pStyle w:val="BodyText"/>
        <w:rPr>
          <w:i/>
          <w:sz w:val="20"/>
        </w:rPr>
      </w:pPr>
    </w:p>
    <w:p w14:paraId="39DB1903" w14:textId="77777777" w:rsidR="00541207" w:rsidRDefault="00541207">
      <w:pPr>
        <w:pStyle w:val="BodyText"/>
        <w:rPr>
          <w:i/>
          <w:sz w:val="20"/>
        </w:rPr>
      </w:pPr>
    </w:p>
    <w:p w14:paraId="255B6CCC" w14:textId="77777777" w:rsidR="00541207" w:rsidRDefault="00541207">
      <w:pPr>
        <w:pStyle w:val="BodyText"/>
        <w:rPr>
          <w:i/>
          <w:sz w:val="20"/>
        </w:rPr>
      </w:pPr>
    </w:p>
    <w:p w14:paraId="3F698662" w14:textId="77777777" w:rsidR="00541207" w:rsidRDefault="00541207">
      <w:pPr>
        <w:pStyle w:val="BodyText"/>
        <w:rPr>
          <w:i/>
          <w:sz w:val="20"/>
        </w:rPr>
      </w:pPr>
    </w:p>
    <w:p w14:paraId="4E5520E3" w14:textId="77777777" w:rsidR="00541207" w:rsidRDefault="00541207">
      <w:pPr>
        <w:pStyle w:val="BodyText"/>
        <w:rPr>
          <w:i/>
          <w:sz w:val="20"/>
        </w:rPr>
      </w:pPr>
    </w:p>
    <w:p w14:paraId="32DB82A7" w14:textId="77777777" w:rsidR="00541207" w:rsidRDefault="00541207">
      <w:pPr>
        <w:pStyle w:val="BodyText"/>
        <w:rPr>
          <w:i/>
          <w:sz w:val="20"/>
        </w:rPr>
      </w:pPr>
    </w:p>
    <w:p w14:paraId="2A300082" w14:textId="77777777" w:rsidR="00541207" w:rsidRDefault="00541207">
      <w:pPr>
        <w:pStyle w:val="BodyText"/>
        <w:rPr>
          <w:i/>
          <w:sz w:val="20"/>
        </w:rPr>
      </w:pPr>
    </w:p>
    <w:p w14:paraId="0E904BC7" w14:textId="77777777" w:rsidR="00541207" w:rsidRDefault="00541207">
      <w:pPr>
        <w:pStyle w:val="BodyText"/>
        <w:rPr>
          <w:i/>
          <w:sz w:val="20"/>
        </w:rPr>
      </w:pPr>
    </w:p>
    <w:p w14:paraId="50B7CEE2" w14:textId="77777777" w:rsidR="00541207" w:rsidRDefault="00541207">
      <w:pPr>
        <w:pStyle w:val="BodyText"/>
        <w:rPr>
          <w:i/>
          <w:sz w:val="20"/>
        </w:rPr>
      </w:pPr>
    </w:p>
    <w:p w14:paraId="368899C8" w14:textId="77777777" w:rsidR="00541207" w:rsidRDefault="00541207">
      <w:pPr>
        <w:pStyle w:val="BodyText"/>
        <w:rPr>
          <w:i/>
          <w:sz w:val="20"/>
        </w:rPr>
      </w:pPr>
    </w:p>
    <w:p w14:paraId="318053CA" w14:textId="77777777" w:rsidR="00541207" w:rsidRDefault="00541207">
      <w:pPr>
        <w:pStyle w:val="BodyText"/>
        <w:rPr>
          <w:i/>
          <w:sz w:val="20"/>
        </w:rPr>
      </w:pPr>
    </w:p>
    <w:p w14:paraId="231B46D3" w14:textId="77777777" w:rsidR="00541207" w:rsidRDefault="00541207">
      <w:pPr>
        <w:pStyle w:val="BodyText"/>
        <w:rPr>
          <w:i/>
          <w:sz w:val="20"/>
        </w:rPr>
      </w:pPr>
    </w:p>
    <w:p w14:paraId="6878C958" w14:textId="77777777" w:rsidR="00541207" w:rsidRDefault="00541207">
      <w:pPr>
        <w:pStyle w:val="BodyText"/>
        <w:rPr>
          <w:i/>
          <w:sz w:val="20"/>
        </w:rPr>
      </w:pPr>
    </w:p>
    <w:p w14:paraId="7CD113C0" w14:textId="77777777" w:rsidR="00541207" w:rsidRDefault="00541207">
      <w:pPr>
        <w:pStyle w:val="BodyText"/>
        <w:rPr>
          <w:i/>
          <w:sz w:val="20"/>
        </w:rPr>
      </w:pPr>
    </w:p>
    <w:p w14:paraId="7BEFA455" w14:textId="77777777" w:rsidR="00541207" w:rsidRDefault="00541207">
      <w:pPr>
        <w:pStyle w:val="BodyText"/>
        <w:rPr>
          <w:i/>
          <w:sz w:val="20"/>
        </w:rPr>
      </w:pPr>
    </w:p>
    <w:p w14:paraId="33804D30" w14:textId="77777777" w:rsidR="00541207" w:rsidRDefault="00541207">
      <w:pPr>
        <w:pStyle w:val="BodyText"/>
        <w:rPr>
          <w:i/>
          <w:sz w:val="20"/>
        </w:rPr>
      </w:pPr>
    </w:p>
    <w:p w14:paraId="5C1DEB19" w14:textId="77777777" w:rsidR="00541207" w:rsidRDefault="00541207">
      <w:pPr>
        <w:pStyle w:val="BodyText"/>
        <w:rPr>
          <w:i/>
          <w:sz w:val="20"/>
        </w:rPr>
      </w:pPr>
    </w:p>
    <w:p w14:paraId="02D114EC" w14:textId="77777777" w:rsidR="00541207" w:rsidRDefault="00541207">
      <w:pPr>
        <w:pStyle w:val="BodyText"/>
        <w:rPr>
          <w:i/>
          <w:sz w:val="20"/>
        </w:rPr>
      </w:pPr>
    </w:p>
    <w:p w14:paraId="2A1C585C" w14:textId="77777777" w:rsidR="00541207" w:rsidRDefault="00541207">
      <w:pPr>
        <w:pStyle w:val="BodyText"/>
        <w:rPr>
          <w:i/>
          <w:sz w:val="20"/>
        </w:rPr>
      </w:pPr>
    </w:p>
    <w:p w14:paraId="1C7684DD" w14:textId="77777777" w:rsidR="00541207" w:rsidRDefault="00541207">
      <w:pPr>
        <w:pStyle w:val="BodyText"/>
        <w:rPr>
          <w:i/>
          <w:sz w:val="20"/>
        </w:rPr>
      </w:pPr>
    </w:p>
    <w:p w14:paraId="09D3C8B0" w14:textId="77777777" w:rsidR="00541207" w:rsidRDefault="00541207">
      <w:pPr>
        <w:pStyle w:val="BodyText"/>
        <w:rPr>
          <w:i/>
          <w:sz w:val="20"/>
        </w:rPr>
      </w:pPr>
    </w:p>
    <w:p w14:paraId="1CC6B678" w14:textId="77777777" w:rsidR="00541207" w:rsidRDefault="00541207">
      <w:pPr>
        <w:pStyle w:val="BodyText"/>
        <w:rPr>
          <w:i/>
          <w:sz w:val="20"/>
        </w:rPr>
      </w:pPr>
    </w:p>
    <w:p w14:paraId="0E52EBB8" w14:textId="77777777" w:rsidR="00541207" w:rsidRDefault="00541207">
      <w:pPr>
        <w:pStyle w:val="BodyText"/>
        <w:rPr>
          <w:i/>
          <w:sz w:val="20"/>
        </w:rPr>
      </w:pPr>
    </w:p>
    <w:p w14:paraId="1E29A852" w14:textId="77777777" w:rsidR="00541207" w:rsidRDefault="00541207">
      <w:pPr>
        <w:pStyle w:val="BodyText"/>
        <w:rPr>
          <w:i/>
          <w:sz w:val="20"/>
        </w:rPr>
      </w:pPr>
    </w:p>
    <w:p w14:paraId="3F2B074A" w14:textId="77777777" w:rsidR="00541207" w:rsidRDefault="00541207">
      <w:pPr>
        <w:pStyle w:val="BodyText"/>
        <w:rPr>
          <w:i/>
          <w:sz w:val="20"/>
        </w:rPr>
      </w:pPr>
    </w:p>
    <w:p w14:paraId="70C36FE1" w14:textId="77777777" w:rsidR="00541207" w:rsidRDefault="00541207">
      <w:pPr>
        <w:pStyle w:val="BodyText"/>
        <w:rPr>
          <w:i/>
          <w:sz w:val="20"/>
        </w:rPr>
      </w:pPr>
    </w:p>
    <w:p w14:paraId="14A80E51" w14:textId="77777777" w:rsidR="00541207" w:rsidRDefault="00541207">
      <w:pPr>
        <w:pStyle w:val="BodyText"/>
        <w:rPr>
          <w:i/>
          <w:sz w:val="20"/>
        </w:rPr>
      </w:pPr>
    </w:p>
    <w:p w14:paraId="0E39EB68" w14:textId="77777777" w:rsidR="00541207" w:rsidRDefault="00541207">
      <w:pPr>
        <w:pStyle w:val="BodyText"/>
        <w:rPr>
          <w:i/>
          <w:sz w:val="20"/>
        </w:rPr>
      </w:pPr>
    </w:p>
    <w:p w14:paraId="5F08AE2D" w14:textId="77777777" w:rsidR="00541207" w:rsidRDefault="00541207">
      <w:pPr>
        <w:pStyle w:val="BodyText"/>
        <w:rPr>
          <w:i/>
          <w:sz w:val="20"/>
        </w:rPr>
      </w:pPr>
    </w:p>
    <w:p w14:paraId="6B0ED36E" w14:textId="77777777" w:rsidR="00541207" w:rsidRDefault="00541207">
      <w:pPr>
        <w:pStyle w:val="BodyText"/>
        <w:rPr>
          <w:i/>
          <w:sz w:val="20"/>
        </w:rPr>
      </w:pPr>
    </w:p>
    <w:p w14:paraId="32D2100F" w14:textId="77777777" w:rsidR="00541207" w:rsidRDefault="00541207">
      <w:pPr>
        <w:pStyle w:val="BodyText"/>
        <w:rPr>
          <w:i/>
          <w:sz w:val="20"/>
        </w:rPr>
      </w:pPr>
    </w:p>
    <w:p w14:paraId="3FBED4E8" w14:textId="77777777" w:rsidR="00541207" w:rsidRDefault="00541207">
      <w:pPr>
        <w:pStyle w:val="BodyText"/>
        <w:rPr>
          <w:i/>
          <w:sz w:val="20"/>
        </w:rPr>
      </w:pPr>
    </w:p>
    <w:p w14:paraId="16FAB0BC" w14:textId="77777777" w:rsidR="00541207" w:rsidRDefault="00541207">
      <w:pPr>
        <w:pStyle w:val="BodyText"/>
        <w:rPr>
          <w:i/>
          <w:sz w:val="20"/>
        </w:rPr>
      </w:pPr>
    </w:p>
    <w:p w14:paraId="2A5AD7B7" w14:textId="77777777" w:rsidR="00541207" w:rsidRDefault="00541207">
      <w:pPr>
        <w:pStyle w:val="BodyText"/>
        <w:rPr>
          <w:i/>
          <w:sz w:val="20"/>
        </w:rPr>
      </w:pPr>
    </w:p>
    <w:p w14:paraId="7A1262E4" w14:textId="77777777" w:rsidR="00541207" w:rsidRDefault="00541207">
      <w:pPr>
        <w:pStyle w:val="BodyText"/>
        <w:rPr>
          <w:i/>
          <w:sz w:val="20"/>
        </w:rPr>
      </w:pPr>
    </w:p>
    <w:p w14:paraId="2E68B5BF" w14:textId="77777777" w:rsidR="00541207" w:rsidRDefault="00541207">
      <w:pPr>
        <w:pStyle w:val="BodyText"/>
        <w:rPr>
          <w:i/>
          <w:sz w:val="20"/>
        </w:rPr>
      </w:pPr>
    </w:p>
    <w:p w14:paraId="0211300A" w14:textId="77777777" w:rsidR="00541207" w:rsidRDefault="00541207">
      <w:pPr>
        <w:pStyle w:val="BodyText"/>
        <w:rPr>
          <w:i/>
          <w:sz w:val="20"/>
        </w:rPr>
      </w:pPr>
    </w:p>
    <w:p w14:paraId="686CA654" w14:textId="77777777" w:rsidR="00541207" w:rsidRDefault="00541207">
      <w:pPr>
        <w:pStyle w:val="BodyText"/>
        <w:rPr>
          <w:i/>
          <w:sz w:val="20"/>
        </w:rPr>
      </w:pPr>
    </w:p>
    <w:p w14:paraId="2B35D549" w14:textId="77777777" w:rsidR="00541207" w:rsidRDefault="00541207">
      <w:pPr>
        <w:pStyle w:val="BodyText"/>
        <w:rPr>
          <w:i/>
          <w:sz w:val="20"/>
        </w:rPr>
      </w:pPr>
    </w:p>
    <w:p w14:paraId="4B442A29" w14:textId="77777777" w:rsidR="00541207" w:rsidRDefault="00541207">
      <w:pPr>
        <w:pStyle w:val="BodyText"/>
        <w:rPr>
          <w:i/>
          <w:sz w:val="20"/>
        </w:rPr>
      </w:pPr>
    </w:p>
    <w:p w14:paraId="11123C2B" w14:textId="77777777" w:rsidR="00541207" w:rsidRDefault="00541207">
      <w:pPr>
        <w:pStyle w:val="BodyText"/>
        <w:rPr>
          <w:i/>
          <w:sz w:val="20"/>
        </w:rPr>
      </w:pPr>
    </w:p>
    <w:p w14:paraId="039AE5DD" w14:textId="77777777" w:rsidR="00541207" w:rsidRDefault="00541207">
      <w:pPr>
        <w:pStyle w:val="BodyText"/>
        <w:rPr>
          <w:i/>
          <w:sz w:val="20"/>
        </w:rPr>
      </w:pPr>
    </w:p>
    <w:p w14:paraId="6870F127" w14:textId="77777777" w:rsidR="00541207" w:rsidRDefault="00541207">
      <w:pPr>
        <w:pStyle w:val="BodyText"/>
        <w:rPr>
          <w:i/>
          <w:sz w:val="20"/>
        </w:rPr>
      </w:pPr>
    </w:p>
    <w:p w14:paraId="4FE042E7" w14:textId="77777777" w:rsidR="00541207" w:rsidRDefault="00541207">
      <w:pPr>
        <w:pStyle w:val="BodyText"/>
        <w:rPr>
          <w:i/>
          <w:sz w:val="20"/>
        </w:rPr>
      </w:pPr>
    </w:p>
    <w:p w14:paraId="69737AAC" w14:textId="77777777" w:rsidR="00541207" w:rsidRDefault="00541207">
      <w:pPr>
        <w:pStyle w:val="BodyText"/>
        <w:rPr>
          <w:i/>
          <w:sz w:val="20"/>
        </w:rPr>
      </w:pPr>
    </w:p>
    <w:p w14:paraId="0E3601C3" w14:textId="77777777" w:rsidR="00541207" w:rsidRDefault="00541207">
      <w:pPr>
        <w:pStyle w:val="BodyText"/>
        <w:rPr>
          <w:i/>
          <w:sz w:val="20"/>
        </w:rPr>
      </w:pPr>
    </w:p>
    <w:p w14:paraId="48EE512F" w14:textId="77777777" w:rsidR="00541207" w:rsidRDefault="00541207">
      <w:pPr>
        <w:pStyle w:val="BodyText"/>
        <w:rPr>
          <w:i/>
          <w:sz w:val="20"/>
        </w:rPr>
      </w:pPr>
    </w:p>
    <w:p w14:paraId="79AD4C84" w14:textId="77777777" w:rsidR="00541207" w:rsidRDefault="00541207">
      <w:pPr>
        <w:pStyle w:val="BodyText"/>
        <w:rPr>
          <w:i/>
          <w:sz w:val="20"/>
        </w:rPr>
      </w:pPr>
    </w:p>
    <w:p w14:paraId="085D58FF" w14:textId="77777777" w:rsidR="00541207" w:rsidRDefault="00541207">
      <w:pPr>
        <w:pStyle w:val="BodyText"/>
        <w:spacing w:before="1"/>
        <w:rPr>
          <w:i/>
          <w:sz w:val="22"/>
        </w:rPr>
      </w:pPr>
    </w:p>
    <w:p w14:paraId="002BD7A0" w14:textId="77777777" w:rsidR="00541207" w:rsidRDefault="00BA7E88">
      <w:pPr>
        <w:tabs>
          <w:tab w:val="left" w:pos="2621"/>
          <w:tab w:val="left" w:pos="8383"/>
        </w:tabs>
        <w:ind w:left="3975" w:right="119" w:hanging="3756"/>
        <w:rPr>
          <w:sz w:val="20"/>
        </w:rPr>
      </w:pPr>
      <w:r>
        <w:rPr>
          <w:sz w:val="20"/>
        </w:rPr>
        <w:t>ii</w:t>
      </w:r>
      <w:r>
        <w:rPr>
          <w:sz w:val="20"/>
        </w:rPr>
        <w:tab/>
        <w:t>Clinical Procedures (CP) V1.0</w:t>
      </w:r>
      <w:r>
        <w:rPr>
          <w:spacing w:val="9"/>
          <w:sz w:val="20"/>
        </w:rPr>
        <w:t xml:space="preserve"> </w:t>
      </w:r>
      <w:r>
        <w:rPr>
          <w:spacing w:val="-3"/>
          <w:sz w:val="20"/>
        </w:rPr>
        <w:t>Flowsheets</w:t>
      </w:r>
      <w:r>
        <w:rPr>
          <w:spacing w:val="2"/>
          <w:sz w:val="20"/>
        </w:rPr>
        <w:t xml:space="preserve"> </w:t>
      </w:r>
      <w:r>
        <w:rPr>
          <w:sz w:val="20"/>
        </w:rPr>
        <w:t>Module</w:t>
      </w:r>
      <w:r>
        <w:rPr>
          <w:sz w:val="20"/>
        </w:rPr>
        <w:tab/>
        <w:t xml:space="preserve">February </w:t>
      </w:r>
      <w:r>
        <w:rPr>
          <w:spacing w:val="-4"/>
          <w:sz w:val="20"/>
        </w:rPr>
        <w:t xml:space="preserve">2012 </w:t>
      </w:r>
      <w:r>
        <w:rPr>
          <w:sz w:val="20"/>
        </w:rPr>
        <w:t>(MD*1.0*12) Release</w:t>
      </w:r>
      <w:r>
        <w:rPr>
          <w:spacing w:val="-2"/>
          <w:sz w:val="20"/>
        </w:rPr>
        <w:t xml:space="preserve"> </w:t>
      </w:r>
      <w:r>
        <w:rPr>
          <w:sz w:val="20"/>
        </w:rPr>
        <w:t>Notes</w:t>
      </w:r>
    </w:p>
    <w:p w14:paraId="2CFBD650" w14:textId="77777777" w:rsidR="00541207" w:rsidRDefault="00541207">
      <w:pPr>
        <w:rPr>
          <w:sz w:val="20"/>
        </w:rPr>
        <w:sectPr w:rsidR="00541207">
          <w:footerReference w:type="default" r:id="rId9"/>
          <w:pgSz w:w="12240" w:h="15840"/>
          <w:pgMar w:top="1500" w:right="1340" w:bottom="280" w:left="1220" w:header="0" w:footer="0" w:gutter="0"/>
          <w:cols w:space="720"/>
        </w:sectPr>
      </w:pPr>
    </w:p>
    <w:p w14:paraId="545995F3" w14:textId="77777777" w:rsidR="00541207" w:rsidRDefault="00BA7E88">
      <w:pPr>
        <w:spacing w:before="69"/>
        <w:ind w:left="220"/>
        <w:rPr>
          <w:rFonts w:ascii="Arial"/>
          <w:b/>
          <w:sz w:val="36"/>
        </w:rPr>
      </w:pPr>
      <w:r>
        <w:rPr>
          <w:rFonts w:ascii="Arial"/>
          <w:b/>
          <w:sz w:val="36"/>
        </w:rPr>
        <w:lastRenderedPageBreak/>
        <w:t>Table of Contents</w:t>
      </w:r>
    </w:p>
    <w:sdt>
      <w:sdtPr>
        <w:rPr>
          <w:sz w:val="22"/>
          <w:szCs w:val="22"/>
        </w:rPr>
        <w:id w:val="10806083"/>
        <w:docPartObj>
          <w:docPartGallery w:val="Table of Contents"/>
          <w:docPartUnique/>
        </w:docPartObj>
      </w:sdtPr>
      <w:sdtEndPr/>
      <w:sdtContent>
        <w:p w14:paraId="0BDA802B" w14:textId="77777777" w:rsidR="00541207" w:rsidRDefault="00BA7E88">
          <w:pPr>
            <w:pStyle w:val="TOC1"/>
            <w:tabs>
              <w:tab w:val="right" w:leader="dot" w:pos="9574"/>
            </w:tabs>
            <w:spacing w:before="242" w:line="240" w:lineRule="auto"/>
          </w:pPr>
          <w:r>
            <w:fldChar w:fldCharType="begin"/>
          </w:r>
          <w:r>
            <w:instrText xml:space="preserve">TOC \o "1-2" \h \z \u </w:instrText>
          </w:r>
          <w:r>
            <w:fldChar w:fldCharType="separate"/>
          </w:r>
          <w:hyperlink w:anchor="_bookmark0" w:history="1">
            <w:r>
              <w:t>Release Notes for</w:t>
            </w:r>
            <w:r>
              <w:rPr>
                <w:spacing w:val="3"/>
              </w:rPr>
              <w:t xml:space="preserve"> </w:t>
            </w:r>
            <w:r>
              <w:t>Patch</w:t>
            </w:r>
            <w:r>
              <w:rPr>
                <w:spacing w:val="-3"/>
              </w:rPr>
              <w:t xml:space="preserve"> </w:t>
            </w:r>
            <w:r>
              <w:t>MD*1.0*12</w:t>
            </w:r>
            <w:r>
              <w:tab/>
              <w:t>1</w:t>
            </w:r>
          </w:hyperlink>
        </w:p>
        <w:p w14:paraId="5873B2E2" w14:textId="77777777" w:rsidR="00541207" w:rsidRDefault="00937B7C">
          <w:pPr>
            <w:pStyle w:val="TOC2"/>
            <w:tabs>
              <w:tab w:val="right" w:leader="dot" w:pos="9574"/>
            </w:tabs>
            <w:spacing w:line="249" w:lineRule="exact"/>
          </w:pPr>
          <w:hyperlink w:anchor="_bookmark1" w:history="1">
            <w:r w:rsidR="00BA7E88">
              <w:t>Overview</w:t>
            </w:r>
            <w:r w:rsidR="00BA7E88">
              <w:tab/>
              <w:t>1</w:t>
            </w:r>
          </w:hyperlink>
        </w:p>
        <w:p w14:paraId="69A269F5" w14:textId="77777777" w:rsidR="00541207" w:rsidRDefault="00937B7C">
          <w:pPr>
            <w:pStyle w:val="TOC1"/>
            <w:tabs>
              <w:tab w:val="right" w:leader="dot" w:pos="9574"/>
            </w:tabs>
          </w:pPr>
          <w:hyperlink w:anchor="_bookmark2" w:history="1">
            <w:r w:rsidR="00BA7E88">
              <w:t>Patch</w:t>
            </w:r>
            <w:r w:rsidR="00BA7E88">
              <w:rPr>
                <w:spacing w:val="-3"/>
              </w:rPr>
              <w:t xml:space="preserve"> </w:t>
            </w:r>
            <w:r w:rsidR="00BA7E88">
              <w:t>MD*1.0*12</w:t>
            </w:r>
            <w:r w:rsidR="00BA7E88">
              <w:rPr>
                <w:spacing w:val="4"/>
              </w:rPr>
              <w:t xml:space="preserve"> </w:t>
            </w:r>
            <w:r w:rsidR="00BA7E88">
              <w:t>Features</w:t>
            </w:r>
            <w:r w:rsidR="00BA7E88">
              <w:tab/>
              <w:t>1</w:t>
            </w:r>
          </w:hyperlink>
        </w:p>
        <w:p w14:paraId="16C7BE63" w14:textId="77777777" w:rsidR="00541207" w:rsidRDefault="00937B7C">
          <w:pPr>
            <w:pStyle w:val="TOC2"/>
            <w:tabs>
              <w:tab w:val="right" w:leader="dot" w:pos="9574"/>
            </w:tabs>
          </w:pPr>
          <w:hyperlink w:anchor="_bookmark3" w:history="1">
            <w:r w:rsidR="00BA7E88">
              <w:t>Support HL7</w:t>
            </w:r>
            <w:r w:rsidR="00BA7E88">
              <w:rPr>
                <w:spacing w:val="1"/>
              </w:rPr>
              <w:t xml:space="preserve"> </w:t>
            </w:r>
            <w:r w:rsidR="00BA7E88">
              <w:t>ADT</w:t>
            </w:r>
            <w:r w:rsidR="00BA7E88">
              <w:rPr>
                <w:spacing w:val="3"/>
              </w:rPr>
              <w:t xml:space="preserve"> </w:t>
            </w:r>
            <w:r w:rsidR="00BA7E88">
              <w:t>Messages</w:t>
            </w:r>
            <w:r w:rsidR="00BA7E88">
              <w:tab/>
              <w:t>1</w:t>
            </w:r>
          </w:hyperlink>
        </w:p>
        <w:p w14:paraId="07DFA267" w14:textId="77777777" w:rsidR="00541207" w:rsidRDefault="00937B7C">
          <w:pPr>
            <w:pStyle w:val="TOC2"/>
            <w:tabs>
              <w:tab w:val="right" w:leader="dot" w:pos="9574"/>
            </w:tabs>
            <w:spacing w:before="1" w:line="249" w:lineRule="exact"/>
          </w:pPr>
          <w:hyperlink w:anchor="_bookmark4" w:history="1">
            <w:r w:rsidR="00BA7E88">
              <w:t>Background</w:t>
            </w:r>
            <w:r w:rsidR="00BA7E88">
              <w:rPr>
                <w:spacing w:val="-2"/>
              </w:rPr>
              <w:t xml:space="preserve"> </w:t>
            </w:r>
            <w:r w:rsidR="00BA7E88">
              <w:t>Tasks</w:t>
            </w:r>
            <w:r w:rsidR="00BA7E88">
              <w:tab/>
              <w:t>1</w:t>
            </w:r>
          </w:hyperlink>
        </w:p>
        <w:p w14:paraId="2965F301" w14:textId="77777777" w:rsidR="00541207" w:rsidRDefault="00937B7C">
          <w:pPr>
            <w:pStyle w:val="TOC1"/>
            <w:tabs>
              <w:tab w:val="right" w:leader="dot" w:pos="9574"/>
            </w:tabs>
          </w:pPr>
          <w:hyperlink w:anchor="_bookmark5" w:history="1">
            <w:r w:rsidR="00BA7E88">
              <w:t>Implementation</w:t>
            </w:r>
            <w:r w:rsidR="00BA7E88">
              <w:rPr>
                <w:spacing w:val="-4"/>
              </w:rPr>
              <w:t xml:space="preserve"> </w:t>
            </w:r>
            <w:r w:rsidR="00BA7E88">
              <w:t>Considerations</w:t>
            </w:r>
            <w:r w:rsidR="00BA7E88">
              <w:tab/>
              <w:t>2</w:t>
            </w:r>
          </w:hyperlink>
        </w:p>
        <w:p w14:paraId="47283FEF" w14:textId="77777777" w:rsidR="00541207" w:rsidRDefault="00937B7C">
          <w:pPr>
            <w:pStyle w:val="TOC2"/>
            <w:tabs>
              <w:tab w:val="right" w:leader="dot" w:pos="9574"/>
            </w:tabs>
          </w:pPr>
          <w:hyperlink w:anchor="_bookmark6" w:history="1">
            <w:r w:rsidR="00BA7E88">
              <w:t>Installation</w:t>
            </w:r>
            <w:r w:rsidR="00BA7E88">
              <w:tab/>
              <w:t>2</w:t>
            </w:r>
          </w:hyperlink>
        </w:p>
        <w:p w14:paraId="6E29941B" w14:textId="77777777" w:rsidR="00541207" w:rsidRDefault="00937B7C">
          <w:pPr>
            <w:pStyle w:val="TOC2"/>
            <w:tabs>
              <w:tab w:val="right" w:leader="dot" w:pos="9574"/>
            </w:tabs>
            <w:spacing w:before="2" w:line="251" w:lineRule="exact"/>
          </w:pPr>
          <w:hyperlink w:anchor="_bookmark7" w:history="1">
            <w:r w:rsidR="00BA7E88">
              <w:t>Validated Patient</w:t>
            </w:r>
            <w:r w:rsidR="00BA7E88">
              <w:rPr>
                <w:spacing w:val="-2"/>
              </w:rPr>
              <w:t xml:space="preserve"> </w:t>
            </w:r>
            <w:r w:rsidR="00BA7E88">
              <w:t>Monitoring</w:t>
            </w:r>
            <w:r w:rsidR="00BA7E88">
              <w:rPr>
                <w:spacing w:val="2"/>
              </w:rPr>
              <w:t xml:space="preserve"> </w:t>
            </w:r>
            <w:r w:rsidR="00BA7E88">
              <w:t>Devices</w:t>
            </w:r>
            <w:r w:rsidR="00BA7E88">
              <w:tab/>
              <w:t>2</w:t>
            </w:r>
          </w:hyperlink>
        </w:p>
        <w:p w14:paraId="4C23B94F" w14:textId="77777777" w:rsidR="00541207" w:rsidRDefault="00937B7C">
          <w:pPr>
            <w:pStyle w:val="TOC2"/>
            <w:tabs>
              <w:tab w:val="right" w:leader="dot" w:pos="9574"/>
            </w:tabs>
            <w:spacing w:before="0" w:line="251" w:lineRule="exact"/>
          </w:pPr>
          <w:hyperlink w:anchor="_bookmark8" w:history="1">
            <w:r w:rsidR="00BA7E88">
              <w:t>Support</w:t>
            </w:r>
            <w:r w:rsidR="00BA7E88">
              <w:rPr>
                <w:spacing w:val="4"/>
              </w:rPr>
              <w:t xml:space="preserve"> </w:t>
            </w:r>
            <w:r w:rsidR="00BA7E88">
              <w:t>Plan</w:t>
            </w:r>
            <w:r w:rsidR="00BA7E88">
              <w:tab/>
              <w:t>2</w:t>
            </w:r>
          </w:hyperlink>
        </w:p>
        <w:p w14:paraId="1188DBF3" w14:textId="77777777" w:rsidR="00541207" w:rsidRDefault="00937B7C">
          <w:pPr>
            <w:pStyle w:val="TOC2"/>
            <w:tabs>
              <w:tab w:val="right" w:leader="dot" w:pos="9574"/>
            </w:tabs>
            <w:spacing w:before="1"/>
          </w:pPr>
          <w:hyperlink w:anchor="_bookmark9" w:history="1">
            <w:r w:rsidR="00BA7E88">
              <w:t>List of</w:t>
            </w:r>
            <w:r w:rsidR="00BA7E88">
              <w:rPr>
                <w:spacing w:val="-4"/>
              </w:rPr>
              <w:t xml:space="preserve"> </w:t>
            </w:r>
            <w:r w:rsidR="00BA7E88">
              <w:t>Outstanding</w:t>
            </w:r>
            <w:r w:rsidR="00BA7E88">
              <w:rPr>
                <w:spacing w:val="2"/>
              </w:rPr>
              <w:t xml:space="preserve"> </w:t>
            </w:r>
            <w:r w:rsidR="00BA7E88">
              <w:t>Anomalies</w:t>
            </w:r>
            <w:r w:rsidR="00BA7E88">
              <w:tab/>
              <w:t>5</w:t>
            </w:r>
          </w:hyperlink>
        </w:p>
        <w:p w14:paraId="4A6AC15C" w14:textId="77777777" w:rsidR="00541207" w:rsidRDefault="00BA7E88">
          <w:r>
            <w:fldChar w:fldCharType="end"/>
          </w:r>
        </w:p>
      </w:sdtContent>
    </w:sdt>
    <w:p w14:paraId="7C88B638" w14:textId="77777777" w:rsidR="00541207" w:rsidRDefault="00541207">
      <w:pPr>
        <w:sectPr w:rsidR="00541207">
          <w:footerReference w:type="default" r:id="rId10"/>
          <w:pgSz w:w="12240" w:h="15840"/>
          <w:pgMar w:top="1360" w:right="1340" w:bottom="1160" w:left="1220" w:header="0" w:footer="978" w:gutter="0"/>
          <w:cols w:space="720"/>
        </w:sectPr>
      </w:pPr>
    </w:p>
    <w:p w14:paraId="23C36D58" w14:textId="77777777" w:rsidR="00541207" w:rsidRDefault="00BA7E88">
      <w:pPr>
        <w:spacing w:before="206"/>
        <w:ind w:left="890" w:right="774"/>
        <w:jc w:val="center"/>
        <w:rPr>
          <w:i/>
          <w:sz w:val="24"/>
        </w:rPr>
      </w:pPr>
      <w:r>
        <w:rPr>
          <w:i/>
          <w:sz w:val="24"/>
        </w:rPr>
        <w:lastRenderedPageBreak/>
        <w:t>This page intentionally left blank for double-sided printing.</w:t>
      </w:r>
    </w:p>
    <w:p w14:paraId="1B468B22" w14:textId="77777777" w:rsidR="00541207" w:rsidRDefault="00541207">
      <w:pPr>
        <w:pStyle w:val="BodyText"/>
        <w:rPr>
          <w:i/>
          <w:sz w:val="22"/>
        </w:rPr>
      </w:pPr>
    </w:p>
    <w:p w14:paraId="7C5459BC" w14:textId="77777777" w:rsidR="00541207" w:rsidRDefault="00541207">
      <w:pPr>
        <w:pStyle w:val="BodyText"/>
        <w:rPr>
          <w:i/>
          <w:sz w:val="22"/>
        </w:rPr>
      </w:pPr>
    </w:p>
    <w:p w14:paraId="4B037EF4" w14:textId="77777777" w:rsidR="00541207" w:rsidRDefault="00541207">
      <w:pPr>
        <w:pStyle w:val="BodyText"/>
        <w:rPr>
          <w:i/>
          <w:sz w:val="22"/>
        </w:rPr>
      </w:pPr>
    </w:p>
    <w:p w14:paraId="602A21A4" w14:textId="77777777" w:rsidR="00541207" w:rsidRDefault="00541207">
      <w:pPr>
        <w:pStyle w:val="BodyText"/>
        <w:rPr>
          <w:i/>
          <w:sz w:val="22"/>
        </w:rPr>
      </w:pPr>
    </w:p>
    <w:p w14:paraId="4B5989F6" w14:textId="77777777" w:rsidR="00541207" w:rsidRDefault="00541207">
      <w:pPr>
        <w:pStyle w:val="BodyText"/>
        <w:rPr>
          <w:i/>
          <w:sz w:val="22"/>
        </w:rPr>
      </w:pPr>
    </w:p>
    <w:p w14:paraId="450E8619" w14:textId="77777777" w:rsidR="00541207" w:rsidRDefault="00541207">
      <w:pPr>
        <w:pStyle w:val="BodyText"/>
        <w:rPr>
          <w:i/>
          <w:sz w:val="22"/>
        </w:rPr>
      </w:pPr>
    </w:p>
    <w:p w14:paraId="593B3DDB" w14:textId="77777777" w:rsidR="00541207" w:rsidRDefault="00541207">
      <w:pPr>
        <w:pStyle w:val="BodyText"/>
        <w:rPr>
          <w:i/>
          <w:sz w:val="22"/>
        </w:rPr>
      </w:pPr>
    </w:p>
    <w:p w14:paraId="50C0CD0E" w14:textId="77777777" w:rsidR="00541207" w:rsidRDefault="00541207">
      <w:pPr>
        <w:pStyle w:val="BodyText"/>
        <w:rPr>
          <w:i/>
          <w:sz w:val="22"/>
        </w:rPr>
      </w:pPr>
    </w:p>
    <w:p w14:paraId="0F876B67" w14:textId="77777777" w:rsidR="00541207" w:rsidRDefault="00541207">
      <w:pPr>
        <w:pStyle w:val="BodyText"/>
        <w:rPr>
          <w:i/>
          <w:sz w:val="22"/>
        </w:rPr>
      </w:pPr>
    </w:p>
    <w:p w14:paraId="593015AC" w14:textId="77777777" w:rsidR="00541207" w:rsidRDefault="00541207">
      <w:pPr>
        <w:pStyle w:val="BodyText"/>
        <w:rPr>
          <w:i/>
          <w:sz w:val="22"/>
        </w:rPr>
      </w:pPr>
    </w:p>
    <w:p w14:paraId="24BC5DB9" w14:textId="77777777" w:rsidR="00541207" w:rsidRDefault="00541207">
      <w:pPr>
        <w:pStyle w:val="BodyText"/>
        <w:rPr>
          <w:i/>
          <w:sz w:val="22"/>
        </w:rPr>
      </w:pPr>
    </w:p>
    <w:p w14:paraId="69644DCF" w14:textId="77777777" w:rsidR="00541207" w:rsidRDefault="00541207">
      <w:pPr>
        <w:pStyle w:val="BodyText"/>
        <w:rPr>
          <w:i/>
          <w:sz w:val="22"/>
        </w:rPr>
      </w:pPr>
    </w:p>
    <w:p w14:paraId="4809E29A" w14:textId="77777777" w:rsidR="00541207" w:rsidRDefault="00541207">
      <w:pPr>
        <w:pStyle w:val="BodyText"/>
        <w:rPr>
          <w:i/>
          <w:sz w:val="22"/>
        </w:rPr>
      </w:pPr>
    </w:p>
    <w:p w14:paraId="3E471712" w14:textId="77777777" w:rsidR="00541207" w:rsidRDefault="00541207">
      <w:pPr>
        <w:pStyle w:val="BodyText"/>
        <w:rPr>
          <w:i/>
          <w:sz w:val="22"/>
        </w:rPr>
      </w:pPr>
    </w:p>
    <w:p w14:paraId="484CE14F" w14:textId="77777777" w:rsidR="00541207" w:rsidRDefault="00541207">
      <w:pPr>
        <w:pStyle w:val="BodyText"/>
        <w:rPr>
          <w:i/>
          <w:sz w:val="22"/>
        </w:rPr>
      </w:pPr>
    </w:p>
    <w:p w14:paraId="486C7063" w14:textId="77777777" w:rsidR="00541207" w:rsidRDefault="00541207">
      <w:pPr>
        <w:pStyle w:val="BodyText"/>
        <w:rPr>
          <w:i/>
          <w:sz w:val="22"/>
        </w:rPr>
      </w:pPr>
    </w:p>
    <w:p w14:paraId="032053E5" w14:textId="77777777" w:rsidR="00541207" w:rsidRDefault="00541207">
      <w:pPr>
        <w:pStyle w:val="BodyText"/>
        <w:rPr>
          <w:i/>
          <w:sz w:val="22"/>
        </w:rPr>
      </w:pPr>
    </w:p>
    <w:p w14:paraId="0A3F2813" w14:textId="77777777" w:rsidR="00541207" w:rsidRDefault="00541207">
      <w:pPr>
        <w:pStyle w:val="BodyText"/>
        <w:rPr>
          <w:i/>
          <w:sz w:val="22"/>
        </w:rPr>
      </w:pPr>
    </w:p>
    <w:p w14:paraId="33F11701" w14:textId="77777777" w:rsidR="00541207" w:rsidRDefault="00541207">
      <w:pPr>
        <w:pStyle w:val="BodyText"/>
        <w:rPr>
          <w:i/>
          <w:sz w:val="22"/>
        </w:rPr>
      </w:pPr>
    </w:p>
    <w:p w14:paraId="430C5161" w14:textId="77777777" w:rsidR="00541207" w:rsidRDefault="00541207">
      <w:pPr>
        <w:pStyle w:val="BodyText"/>
        <w:rPr>
          <w:i/>
          <w:sz w:val="22"/>
        </w:rPr>
      </w:pPr>
    </w:p>
    <w:p w14:paraId="4A9AC088" w14:textId="77777777" w:rsidR="00541207" w:rsidRDefault="00541207">
      <w:pPr>
        <w:pStyle w:val="BodyText"/>
        <w:rPr>
          <w:i/>
          <w:sz w:val="22"/>
        </w:rPr>
      </w:pPr>
    </w:p>
    <w:p w14:paraId="2DD8EBBD" w14:textId="77777777" w:rsidR="00541207" w:rsidRDefault="00541207">
      <w:pPr>
        <w:pStyle w:val="BodyText"/>
        <w:rPr>
          <w:i/>
          <w:sz w:val="22"/>
        </w:rPr>
      </w:pPr>
    </w:p>
    <w:p w14:paraId="75D86C53" w14:textId="77777777" w:rsidR="00541207" w:rsidRDefault="00541207">
      <w:pPr>
        <w:pStyle w:val="BodyText"/>
        <w:rPr>
          <w:i/>
          <w:sz w:val="22"/>
        </w:rPr>
      </w:pPr>
    </w:p>
    <w:p w14:paraId="0AC0B4FA" w14:textId="77777777" w:rsidR="00541207" w:rsidRDefault="00541207">
      <w:pPr>
        <w:pStyle w:val="BodyText"/>
        <w:rPr>
          <w:i/>
          <w:sz w:val="22"/>
        </w:rPr>
      </w:pPr>
    </w:p>
    <w:p w14:paraId="1DEB8203" w14:textId="77777777" w:rsidR="00541207" w:rsidRDefault="00541207">
      <w:pPr>
        <w:pStyle w:val="BodyText"/>
        <w:rPr>
          <w:i/>
          <w:sz w:val="22"/>
        </w:rPr>
      </w:pPr>
    </w:p>
    <w:p w14:paraId="6EE7607D" w14:textId="77777777" w:rsidR="00541207" w:rsidRDefault="00541207">
      <w:pPr>
        <w:pStyle w:val="BodyText"/>
        <w:rPr>
          <w:i/>
          <w:sz w:val="22"/>
        </w:rPr>
      </w:pPr>
    </w:p>
    <w:p w14:paraId="3D6D8C7A" w14:textId="77777777" w:rsidR="00541207" w:rsidRDefault="00541207">
      <w:pPr>
        <w:pStyle w:val="BodyText"/>
        <w:rPr>
          <w:i/>
          <w:sz w:val="22"/>
        </w:rPr>
      </w:pPr>
    </w:p>
    <w:p w14:paraId="2EB301E8" w14:textId="77777777" w:rsidR="00541207" w:rsidRDefault="00541207">
      <w:pPr>
        <w:pStyle w:val="BodyText"/>
        <w:rPr>
          <w:i/>
          <w:sz w:val="22"/>
        </w:rPr>
      </w:pPr>
    </w:p>
    <w:p w14:paraId="245CF61A" w14:textId="77777777" w:rsidR="00541207" w:rsidRDefault="00541207">
      <w:pPr>
        <w:pStyle w:val="BodyText"/>
        <w:rPr>
          <w:i/>
          <w:sz w:val="22"/>
        </w:rPr>
      </w:pPr>
    </w:p>
    <w:p w14:paraId="1D5A0E9A" w14:textId="77777777" w:rsidR="00541207" w:rsidRDefault="00541207">
      <w:pPr>
        <w:pStyle w:val="BodyText"/>
        <w:rPr>
          <w:i/>
          <w:sz w:val="22"/>
        </w:rPr>
      </w:pPr>
    </w:p>
    <w:p w14:paraId="22EEE48B" w14:textId="77777777" w:rsidR="00541207" w:rsidRDefault="00541207">
      <w:pPr>
        <w:pStyle w:val="BodyText"/>
        <w:rPr>
          <w:i/>
          <w:sz w:val="22"/>
        </w:rPr>
      </w:pPr>
    </w:p>
    <w:p w14:paraId="41C25D9F" w14:textId="77777777" w:rsidR="00541207" w:rsidRDefault="00541207">
      <w:pPr>
        <w:pStyle w:val="BodyText"/>
        <w:rPr>
          <w:i/>
          <w:sz w:val="22"/>
        </w:rPr>
      </w:pPr>
    </w:p>
    <w:p w14:paraId="588E6E48" w14:textId="77777777" w:rsidR="00541207" w:rsidRDefault="00541207">
      <w:pPr>
        <w:pStyle w:val="BodyText"/>
        <w:rPr>
          <w:i/>
          <w:sz w:val="22"/>
        </w:rPr>
      </w:pPr>
    </w:p>
    <w:p w14:paraId="6B29B1F8" w14:textId="77777777" w:rsidR="00541207" w:rsidRDefault="00541207">
      <w:pPr>
        <w:pStyle w:val="BodyText"/>
        <w:rPr>
          <w:i/>
          <w:sz w:val="22"/>
        </w:rPr>
      </w:pPr>
    </w:p>
    <w:p w14:paraId="399D73ED" w14:textId="77777777" w:rsidR="00541207" w:rsidRDefault="00541207">
      <w:pPr>
        <w:pStyle w:val="BodyText"/>
        <w:rPr>
          <w:i/>
          <w:sz w:val="22"/>
        </w:rPr>
      </w:pPr>
    </w:p>
    <w:p w14:paraId="68751640" w14:textId="77777777" w:rsidR="00541207" w:rsidRDefault="00541207">
      <w:pPr>
        <w:pStyle w:val="BodyText"/>
        <w:rPr>
          <w:i/>
          <w:sz w:val="22"/>
        </w:rPr>
      </w:pPr>
    </w:p>
    <w:p w14:paraId="6EE37634" w14:textId="77777777" w:rsidR="00541207" w:rsidRDefault="00541207">
      <w:pPr>
        <w:pStyle w:val="BodyText"/>
        <w:rPr>
          <w:i/>
          <w:sz w:val="22"/>
        </w:rPr>
      </w:pPr>
    </w:p>
    <w:p w14:paraId="273AAABE" w14:textId="77777777" w:rsidR="00541207" w:rsidRDefault="00541207">
      <w:pPr>
        <w:pStyle w:val="BodyText"/>
        <w:rPr>
          <w:i/>
          <w:sz w:val="22"/>
        </w:rPr>
      </w:pPr>
    </w:p>
    <w:p w14:paraId="10B50CA0" w14:textId="77777777" w:rsidR="00541207" w:rsidRDefault="00541207">
      <w:pPr>
        <w:pStyle w:val="BodyText"/>
        <w:rPr>
          <w:i/>
          <w:sz w:val="22"/>
        </w:rPr>
      </w:pPr>
    </w:p>
    <w:p w14:paraId="0CB20230" w14:textId="77777777" w:rsidR="00541207" w:rsidRDefault="00541207">
      <w:pPr>
        <w:pStyle w:val="BodyText"/>
        <w:rPr>
          <w:i/>
          <w:sz w:val="22"/>
        </w:rPr>
      </w:pPr>
    </w:p>
    <w:p w14:paraId="240A976C" w14:textId="77777777" w:rsidR="00541207" w:rsidRDefault="00541207">
      <w:pPr>
        <w:pStyle w:val="BodyText"/>
        <w:rPr>
          <w:i/>
          <w:sz w:val="22"/>
        </w:rPr>
      </w:pPr>
    </w:p>
    <w:p w14:paraId="455FD59D" w14:textId="77777777" w:rsidR="00541207" w:rsidRDefault="00541207">
      <w:pPr>
        <w:pStyle w:val="BodyText"/>
        <w:rPr>
          <w:i/>
          <w:sz w:val="22"/>
        </w:rPr>
      </w:pPr>
    </w:p>
    <w:p w14:paraId="0892B78A" w14:textId="77777777" w:rsidR="00541207" w:rsidRDefault="00541207">
      <w:pPr>
        <w:pStyle w:val="BodyText"/>
        <w:rPr>
          <w:i/>
          <w:sz w:val="22"/>
        </w:rPr>
      </w:pPr>
    </w:p>
    <w:p w14:paraId="7F97D1E4" w14:textId="77777777" w:rsidR="00541207" w:rsidRDefault="00541207">
      <w:pPr>
        <w:pStyle w:val="BodyText"/>
        <w:rPr>
          <w:i/>
          <w:sz w:val="22"/>
        </w:rPr>
      </w:pPr>
    </w:p>
    <w:p w14:paraId="7E5C10D5" w14:textId="77777777" w:rsidR="00541207" w:rsidRDefault="00541207">
      <w:pPr>
        <w:pStyle w:val="BodyText"/>
        <w:rPr>
          <w:i/>
          <w:sz w:val="22"/>
        </w:rPr>
      </w:pPr>
    </w:p>
    <w:p w14:paraId="2CFEC912" w14:textId="77777777" w:rsidR="00541207" w:rsidRDefault="00541207">
      <w:pPr>
        <w:pStyle w:val="BodyText"/>
        <w:rPr>
          <w:i/>
          <w:sz w:val="22"/>
        </w:rPr>
      </w:pPr>
    </w:p>
    <w:p w14:paraId="45747D99" w14:textId="77777777" w:rsidR="00541207" w:rsidRDefault="00541207">
      <w:pPr>
        <w:pStyle w:val="BodyText"/>
        <w:rPr>
          <w:i/>
          <w:sz w:val="22"/>
        </w:rPr>
      </w:pPr>
    </w:p>
    <w:p w14:paraId="21032A0E" w14:textId="77777777" w:rsidR="00541207" w:rsidRDefault="00541207">
      <w:pPr>
        <w:pStyle w:val="BodyText"/>
        <w:rPr>
          <w:i/>
          <w:sz w:val="22"/>
        </w:rPr>
      </w:pPr>
    </w:p>
    <w:p w14:paraId="11711BE7" w14:textId="77777777" w:rsidR="00541207" w:rsidRDefault="00541207">
      <w:pPr>
        <w:pStyle w:val="BodyText"/>
        <w:rPr>
          <w:i/>
          <w:sz w:val="26"/>
        </w:rPr>
      </w:pPr>
    </w:p>
    <w:p w14:paraId="3B4824F7" w14:textId="77777777" w:rsidR="00541207" w:rsidRDefault="00BA7E88">
      <w:pPr>
        <w:tabs>
          <w:tab w:val="left" w:pos="2338"/>
          <w:tab w:val="left" w:pos="7692"/>
        </w:tabs>
        <w:ind w:left="220"/>
        <w:rPr>
          <w:sz w:val="20"/>
        </w:rPr>
      </w:pPr>
      <w:r>
        <w:rPr>
          <w:sz w:val="20"/>
        </w:rPr>
        <w:t>iv</w:t>
      </w:r>
      <w:r>
        <w:rPr>
          <w:sz w:val="20"/>
        </w:rPr>
        <w:tab/>
        <w:t>Clinical Procedures (CP) V1.0</w:t>
      </w:r>
      <w:r>
        <w:rPr>
          <w:spacing w:val="9"/>
          <w:sz w:val="20"/>
        </w:rPr>
        <w:t xml:space="preserve"> </w:t>
      </w:r>
      <w:r>
        <w:rPr>
          <w:spacing w:val="-3"/>
          <w:sz w:val="20"/>
        </w:rPr>
        <w:t>Flowsheets</w:t>
      </w:r>
      <w:r>
        <w:rPr>
          <w:spacing w:val="2"/>
          <w:sz w:val="20"/>
        </w:rPr>
        <w:t xml:space="preserve"> </w:t>
      </w:r>
      <w:r>
        <w:rPr>
          <w:sz w:val="20"/>
        </w:rPr>
        <w:t>Module</w:t>
      </w:r>
      <w:r>
        <w:rPr>
          <w:sz w:val="20"/>
        </w:rPr>
        <w:tab/>
        <w:t>February</w:t>
      </w:r>
      <w:r>
        <w:rPr>
          <w:spacing w:val="-8"/>
          <w:sz w:val="20"/>
        </w:rPr>
        <w:t xml:space="preserve"> </w:t>
      </w:r>
      <w:r>
        <w:rPr>
          <w:sz w:val="20"/>
        </w:rPr>
        <w:t>2012</w:t>
      </w:r>
    </w:p>
    <w:p w14:paraId="59BEEC79" w14:textId="77777777" w:rsidR="00541207" w:rsidRDefault="00541207">
      <w:pPr>
        <w:rPr>
          <w:sz w:val="20"/>
        </w:rPr>
        <w:sectPr w:rsidR="00541207">
          <w:footerReference w:type="default" r:id="rId11"/>
          <w:pgSz w:w="12240" w:h="15840"/>
          <w:pgMar w:top="1500" w:right="1340" w:bottom="1100" w:left="1220" w:header="0" w:footer="905" w:gutter="0"/>
          <w:cols w:space="720"/>
        </w:sectPr>
      </w:pPr>
    </w:p>
    <w:p w14:paraId="0C82C882" w14:textId="77777777" w:rsidR="00541207" w:rsidRDefault="00541207">
      <w:pPr>
        <w:pStyle w:val="BodyText"/>
        <w:rPr>
          <w:sz w:val="20"/>
        </w:rPr>
      </w:pPr>
    </w:p>
    <w:p w14:paraId="1052E1F2" w14:textId="77777777" w:rsidR="00541207" w:rsidRDefault="00BA7E88">
      <w:pPr>
        <w:pStyle w:val="Heading1"/>
        <w:spacing w:before="212"/>
      </w:pPr>
      <w:bookmarkStart w:id="1" w:name="_bookmark0"/>
      <w:bookmarkEnd w:id="1"/>
      <w:r>
        <w:t>Release Notes for Patch MD*1.0*12</w:t>
      </w:r>
    </w:p>
    <w:p w14:paraId="56B2B5AA" w14:textId="77777777" w:rsidR="00541207" w:rsidRDefault="00BA7E88">
      <w:pPr>
        <w:pStyle w:val="BodyText"/>
        <w:spacing w:before="248"/>
        <w:ind w:left="220" w:right="119"/>
      </w:pPr>
      <w:r>
        <w:t>Patch MD*1.0*12 releases enhancements and updates to the Veterans Health Information Systems and Technology Architecture (VistA) system Clinical Procedures (CP) Flowsheets application. MD*1.0*12 provides additional support of CP Flowsheets Outbound Admission, Discharge and Transfer (ADT) Feed functionality. MD*1.0*12 also eliminates CP Flowsheets use of VistA Data Extraction Framework (VDEF) apparatus.</w:t>
      </w:r>
    </w:p>
    <w:p w14:paraId="20F00FCE" w14:textId="77777777" w:rsidR="00541207" w:rsidRDefault="00541207">
      <w:pPr>
        <w:pStyle w:val="BodyText"/>
        <w:spacing w:before="4"/>
        <w:rPr>
          <w:sz w:val="20"/>
        </w:rPr>
      </w:pPr>
    </w:p>
    <w:p w14:paraId="349B0B88" w14:textId="77777777" w:rsidR="00541207" w:rsidRDefault="00BA7E88">
      <w:pPr>
        <w:pStyle w:val="Heading2"/>
      </w:pPr>
      <w:bookmarkStart w:id="2" w:name="_bookmark1"/>
      <w:bookmarkEnd w:id="2"/>
      <w:r>
        <w:t>Overview</w:t>
      </w:r>
    </w:p>
    <w:p w14:paraId="3B163500" w14:textId="77777777" w:rsidR="00541207" w:rsidRDefault="00BA7E88">
      <w:pPr>
        <w:pStyle w:val="BodyText"/>
        <w:spacing w:before="248" w:line="237" w:lineRule="auto"/>
        <w:ind w:left="220" w:right="235"/>
        <w:jc w:val="both"/>
      </w:pPr>
      <w:r>
        <w:t xml:space="preserve">CP Flowsheets provides an interface with which the VistA Registration package </w:t>
      </w:r>
      <w:r>
        <w:rPr>
          <w:spacing w:val="-3"/>
        </w:rPr>
        <w:t xml:space="preserve">is </w:t>
      </w:r>
      <w:r>
        <w:t xml:space="preserve">able transmit ADT information </w:t>
      </w:r>
      <w:r>
        <w:rPr>
          <w:spacing w:val="2"/>
        </w:rPr>
        <w:t xml:space="preserve">to </w:t>
      </w:r>
      <w:r>
        <w:t xml:space="preserve">third party devices; this </w:t>
      </w:r>
      <w:r>
        <w:rPr>
          <w:spacing w:val="-3"/>
        </w:rPr>
        <w:t xml:space="preserve">is </w:t>
      </w:r>
      <w:r>
        <w:t>the CP Flowsheets Outbound ADT Feed.</w:t>
      </w:r>
    </w:p>
    <w:p w14:paraId="5DFC1D9C" w14:textId="77777777" w:rsidR="00541207" w:rsidRDefault="00BA7E88">
      <w:pPr>
        <w:pStyle w:val="BodyText"/>
        <w:spacing w:before="4"/>
        <w:ind w:left="220" w:right="573"/>
        <w:jc w:val="both"/>
      </w:pPr>
      <w:r>
        <w:t>MD*1.0*12 provides support of the CP Flowsheets Outbound ADT Feed by eliminating CP Flowsheets’ dependency on VDEF and supporting the HL7 ADT discharge/cancel</w:t>
      </w:r>
      <w:r>
        <w:rPr>
          <w:spacing w:val="-34"/>
        </w:rPr>
        <w:t xml:space="preserve"> </w:t>
      </w:r>
      <w:r>
        <w:t>discharge (A03/A13)</w:t>
      </w:r>
      <w:r>
        <w:rPr>
          <w:spacing w:val="2"/>
        </w:rPr>
        <w:t xml:space="preserve"> </w:t>
      </w:r>
      <w:r>
        <w:t>events.</w:t>
      </w:r>
    </w:p>
    <w:p w14:paraId="2C08D6FE" w14:textId="77777777" w:rsidR="00541207" w:rsidRDefault="00541207">
      <w:pPr>
        <w:pStyle w:val="BodyText"/>
        <w:spacing w:before="4"/>
        <w:rPr>
          <w:sz w:val="20"/>
        </w:rPr>
      </w:pPr>
    </w:p>
    <w:p w14:paraId="6A2CA8A2" w14:textId="77777777" w:rsidR="00541207" w:rsidRDefault="00BA7E88">
      <w:pPr>
        <w:pStyle w:val="Heading1"/>
      </w:pPr>
      <w:bookmarkStart w:id="3" w:name="_bookmark2"/>
      <w:bookmarkEnd w:id="3"/>
      <w:r>
        <w:t>Patch MD*1.0*12 Features</w:t>
      </w:r>
    </w:p>
    <w:p w14:paraId="4E4E514D" w14:textId="77777777" w:rsidR="00541207" w:rsidRDefault="00BA7E88">
      <w:pPr>
        <w:pStyle w:val="BodyText"/>
        <w:spacing w:before="248"/>
        <w:ind w:left="220"/>
        <w:jc w:val="both"/>
      </w:pPr>
      <w:r>
        <w:t>Patch MD*1.0*12 includes several features.</w:t>
      </w:r>
    </w:p>
    <w:p w14:paraId="2D91D9E1" w14:textId="77777777" w:rsidR="00541207" w:rsidRDefault="00BA7E88">
      <w:pPr>
        <w:pStyle w:val="Heading2"/>
        <w:spacing w:before="233"/>
      </w:pPr>
      <w:bookmarkStart w:id="4" w:name="_bookmark3"/>
      <w:bookmarkEnd w:id="4"/>
      <w:r>
        <w:t>Support HL7 ADT Messages</w:t>
      </w:r>
    </w:p>
    <w:p w14:paraId="4F605D96" w14:textId="1F6A18F1" w:rsidR="00541207" w:rsidRDefault="00BA7E88">
      <w:pPr>
        <w:pStyle w:val="BodyText"/>
        <w:spacing w:before="246"/>
        <w:ind w:left="220"/>
      </w:pPr>
      <w:r>
        <w:t xml:space="preserve">CP Flowsheets introduced an Admission Discharge and Transfer (ADT) Health Level 7 (HL7) message feed. This ADT feed monitors the admitted, discharged, and transferred events from the Patient Information Management System (PIMS) and notifies interested patient medical monitoring devices via HL7 version 2.4 messages. Patch MD*1.0*12 provides HL7 messaging apparatus that eliminates CP Flowsheets’ dependency on VDEF. There are occasions during a PIMS ADT discharge/cancel discharge events when room/bed information is not provided. With the support of patch MD*1.0*12, CP Flowsheets will transmit ADT discharge (A03)/cancel discharge (A13) messages when those events are triggered by PIMS inpatient activity when there </w:t>
      </w:r>
      <w:r w:rsidR="00937B7C">
        <w:t>is</w:t>
      </w:r>
      <w:r>
        <w:t xml:space="preserve"> no room/bed information supplied.</w:t>
      </w:r>
    </w:p>
    <w:p w14:paraId="3EF31CF5" w14:textId="77777777" w:rsidR="00541207" w:rsidRDefault="00541207">
      <w:pPr>
        <w:pStyle w:val="BodyText"/>
        <w:spacing w:before="4"/>
        <w:rPr>
          <w:sz w:val="20"/>
        </w:rPr>
      </w:pPr>
    </w:p>
    <w:p w14:paraId="0FAAB833" w14:textId="77777777" w:rsidR="00541207" w:rsidRDefault="00BA7E88">
      <w:pPr>
        <w:pStyle w:val="Heading2"/>
        <w:spacing w:before="1"/>
      </w:pPr>
      <w:bookmarkStart w:id="5" w:name="_bookmark4"/>
      <w:bookmarkEnd w:id="5"/>
      <w:r>
        <w:t>Background Tasks</w:t>
      </w:r>
    </w:p>
    <w:p w14:paraId="23694429" w14:textId="77777777" w:rsidR="00541207" w:rsidRDefault="00BA7E88">
      <w:pPr>
        <w:pStyle w:val="BodyText"/>
        <w:spacing w:before="246"/>
        <w:ind w:left="220" w:right="101"/>
      </w:pPr>
      <w:r>
        <w:t>CP Flowsheets creates a TaskMan process to send the outgoing HL7 ADT message. This process will initiate VistA HL7 1.6 to send the CP Flowsheets Outbound ADT Feed message to the configured devices.</w:t>
      </w:r>
    </w:p>
    <w:p w14:paraId="1868A540" w14:textId="77777777" w:rsidR="00541207" w:rsidRDefault="00541207">
      <w:pPr>
        <w:sectPr w:rsidR="00541207">
          <w:footerReference w:type="default" r:id="rId12"/>
          <w:pgSz w:w="12240" w:h="15840"/>
          <w:pgMar w:top="1500" w:right="1340" w:bottom="1160" w:left="1220" w:header="0" w:footer="978" w:gutter="0"/>
          <w:cols w:space="720"/>
        </w:sectPr>
      </w:pPr>
    </w:p>
    <w:p w14:paraId="01983F40" w14:textId="77777777" w:rsidR="00541207" w:rsidRDefault="00BA7E88">
      <w:pPr>
        <w:pStyle w:val="Heading1"/>
        <w:spacing w:before="169"/>
      </w:pPr>
      <w:bookmarkStart w:id="6" w:name="_bookmark5"/>
      <w:bookmarkEnd w:id="6"/>
      <w:r>
        <w:lastRenderedPageBreak/>
        <w:t>Implementation Considerations</w:t>
      </w:r>
    </w:p>
    <w:p w14:paraId="48BF3A2A" w14:textId="77777777" w:rsidR="00541207" w:rsidRDefault="00BA7E88">
      <w:pPr>
        <w:pStyle w:val="BodyText"/>
        <w:spacing w:before="242"/>
        <w:ind w:left="220"/>
      </w:pPr>
      <w:r>
        <w:t>The following items should be considered when installing CP Flowsheets MD*1.0*12.</w:t>
      </w:r>
    </w:p>
    <w:p w14:paraId="6B2734C6" w14:textId="77777777" w:rsidR="00541207" w:rsidRDefault="00541207">
      <w:pPr>
        <w:pStyle w:val="BodyText"/>
        <w:spacing w:before="9"/>
        <w:rPr>
          <w:sz w:val="20"/>
        </w:rPr>
      </w:pPr>
    </w:p>
    <w:p w14:paraId="5A207B3A" w14:textId="77777777" w:rsidR="00541207" w:rsidRDefault="00BA7E88">
      <w:pPr>
        <w:pStyle w:val="Heading2"/>
      </w:pPr>
      <w:bookmarkStart w:id="7" w:name="_bookmark6"/>
      <w:bookmarkEnd w:id="7"/>
      <w:r>
        <w:t>Installation</w:t>
      </w:r>
    </w:p>
    <w:p w14:paraId="2B243E1B" w14:textId="77777777" w:rsidR="00541207" w:rsidRDefault="00BA7E88">
      <w:pPr>
        <w:pStyle w:val="BodyText"/>
        <w:spacing w:before="23" w:line="552" w:lineRule="exact"/>
        <w:ind w:left="220" w:right="1154"/>
      </w:pPr>
      <w:r>
        <w:t>To install patch MD*1.0*12, follow the MD*1.0*12 Patch Description carefully. Note:</w:t>
      </w:r>
    </w:p>
    <w:p w14:paraId="286F6A13" w14:textId="77777777" w:rsidR="00541207" w:rsidRDefault="00BA7E88">
      <w:pPr>
        <w:pStyle w:val="ListParagraph"/>
        <w:numPr>
          <w:ilvl w:val="0"/>
          <w:numId w:val="1"/>
        </w:numPr>
        <w:tabs>
          <w:tab w:val="left" w:pos="580"/>
          <w:tab w:val="left" w:pos="581"/>
        </w:tabs>
        <w:spacing w:before="4" w:line="240" w:lineRule="auto"/>
        <w:ind w:hanging="361"/>
        <w:rPr>
          <w:sz w:val="24"/>
        </w:rPr>
      </w:pPr>
      <w:r>
        <w:rPr>
          <w:sz w:val="24"/>
        </w:rPr>
        <w:t xml:space="preserve">MD*1.0*16 </w:t>
      </w:r>
      <w:r>
        <w:rPr>
          <w:spacing w:val="-3"/>
          <w:sz w:val="24"/>
        </w:rPr>
        <w:t xml:space="preserve">is </w:t>
      </w:r>
      <w:r>
        <w:rPr>
          <w:sz w:val="24"/>
        </w:rPr>
        <w:t>a prerequisite for</w:t>
      </w:r>
      <w:r>
        <w:rPr>
          <w:spacing w:val="18"/>
          <w:sz w:val="24"/>
        </w:rPr>
        <w:t xml:space="preserve"> </w:t>
      </w:r>
      <w:r>
        <w:rPr>
          <w:sz w:val="24"/>
        </w:rPr>
        <w:t>MD*1.0*12</w:t>
      </w:r>
    </w:p>
    <w:p w14:paraId="554533B1" w14:textId="77777777" w:rsidR="00541207" w:rsidRDefault="00BA7E88">
      <w:pPr>
        <w:pStyle w:val="ListParagraph"/>
        <w:numPr>
          <w:ilvl w:val="0"/>
          <w:numId w:val="1"/>
        </w:numPr>
        <w:tabs>
          <w:tab w:val="left" w:pos="580"/>
          <w:tab w:val="left" w:pos="581"/>
        </w:tabs>
        <w:spacing w:before="69" w:line="232" w:lineRule="auto"/>
        <w:ind w:right="377"/>
        <w:rPr>
          <w:sz w:val="24"/>
        </w:rPr>
      </w:pPr>
      <w:r>
        <w:rPr>
          <w:sz w:val="24"/>
        </w:rPr>
        <w:t xml:space="preserve">If your site </w:t>
      </w:r>
      <w:r>
        <w:rPr>
          <w:spacing w:val="-5"/>
          <w:sz w:val="24"/>
        </w:rPr>
        <w:t xml:space="preserve">is </w:t>
      </w:r>
      <w:r>
        <w:rPr>
          <w:sz w:val="24"/>
        </w:rPr>
        <w:t>going to use the CP Flowsheets Outbound ADT Feed, please install and configure CP Flowsheets Patch MD*1*16 for implementation of the Outbound ADT</w:t>
      </w:r>
      <w:r>
        <w:rPr>
          <w:spacing w:val="-33"/>
          <w:sz w:val="24"/>
        </w:rPr>
        <w:t xml:space="preserve"> </w:t>
      </w:r>
      <w:r>
        <w:rPr>
          <w:sz w:val="24"/>
        </w:rPr>
        <w:t>Feed.</w:t>
      </w:r>
    </w:p>
    <w:p w14:paraId="5ADCF081" w14:textId="77777777" w:rsidR="00541207" w:rsidRDefault="00541207">
      <w:pPr>
        <w:pStyle w:val="BodyText"/>
        <w:spacing w:before="3"/>
        <w:rPr>
          <w:sz w:val="21"/>
        </w:rPr>
      </w:pPr>
    </w:p>
    <w:p w14:paraId="69037195" w14:textId="77777777" w:rsidR="00541207" w:rsidRDefault="00BA7E88">
      <w:pPr>
        <w:pStyle w:val="Heading2"/>
        <w:spacing w:before="1"/>
      </w:pPr>
      <w:bookmarkStart w:id="8" w:name="_bookmark7"/>
      <w:bookmarkEnd w:id="8"/>
      <w:r>
        <w:t>Validated Patient Monitoring Devices</w:t>
      </w:r>
    </w:p>
    <w:p w14:paraId="44295079" w14:textId="77777777" w:rsidR="00541207" w:rsidRDefault="00BA7E88">
      <w:pPr>
        <w:pStyle w:val="BodyText"/>
        <w:spacing w:before="241"/>
        <w:ind w:left="220"/>
      </w:pPr>
      <w:r>
        <w:t>A supported device is one that can receive VISTA HL7 1.6 and HL7 version 2.4 messages.</w:t>
      </w:r>
    </w:p>
    <w:p w14:paraId="000108A7" w14:textId="77777777" w:rsidR="00541207" w:rsidRDefault="00541207">
      <w:pPr>
        <w:pStyle w:val="BodyText"/>
        <w:spacing w:before="8"/>
        <w:rPr>
          <w:sz w:val="20"/>
        </w:rPr>
      </w:pPr>
    </w:p>
    <w:p w14:paraId="42B5A837" w14:textId="77777777" w:rsidR="00541207" w:rsidRDefault="00BA7E88">
      <w:pPr>
        <w:pStyle w:val="Heading2"/>
      </w:pPr>
      <w:bookmarkStart w:id="9" w:name="_bookmark8"/>
      <w:bookmarkEnd w:id="9"/>
      <w:r>
        <w:t>Support Plan</w:t>
      </w:r>
    </w:p>
    <w:p w14:paraId="4E030CA4" w14:textId="77777777" w:rsidR="00541207" w:rsidRDefault="00BA7E88">
      <w:pPr>
        <w:pStyle w:val="BodyText"/>
        <w:spacing w:before="241"/>
        <w:ind w:left="220" w:right="262"/>
      </w:pPr>
      <w:r>
        <w:t>Following the release of MD*1.0*12, users will enter a Remedy Ticket or contact the VA Service Desk (VASD) directly when a problem arises. Once a Remedy Ticket is logged to the appropriate Category Type and Item either by the site themselves or Tier 1 support(VASD), the appropriate team will receive a Remedy alert. The Tier 2 (Product Support) support specialist assigned to the ticket will contact the site to troubleshoot and resolve the problem. If unable to do so, the ticket is referred to the Tier 3 group MNT-CP or DEV-CP for technical assistance.</w:t>
      </w:r>
    </w:p>
    <w:p w14:paraId="6608BBEE" w14:textId="77777777" w:rsidR="00541207" w:rsidRDefault="00BA7E88">
      <w:pPr>
        <w:pStyle w:val="BodyText"/>
        <w:spacing w:before="1"/>
        <w:ind w:left="220"/>
      </w:pPr>
      <w:r>
        <w:t>Maintenance priority is a required field to be selected by Tier 2 upon referral. They include:</w:t>
      </w:r>
    </w:p>
    <w:p w14:paraId="781E76D2" w14:textId="77777777" w:rsidR="00541207" w:rsidRDefault="00541207">
      <w:pPr>
        <w:pStyle w:val="BodyText"/>
        <w:spacing w:before="2"/>
      </w:pPr>
    </w:p>
    <w:p w14:paraId="43C13C91" w14:textId="77777777" w:rsidR="00541207" w:rsidRDefault="00BA7E88">
      <w:pPr>
        <w:pStyle w:val="ListParagraph"/>
        <w:numPr>
          <w:ilvl w:val="1"/>
          <w:numId w:val="1"/>
        </w:numPr>
        <w:tabs>
          <w:tab w:val="left" w:pos="1660"/>
          <w:tab w:val="left" w:pos="1661"/>
        </w:tabs>
        <w:spacing w:line="294" w:lineRule="exact"/>
        <w:rPr>
          <w:sz w:val="24"/>
        </w:rPr>
      </w:pPr>
      <w:r>
        <w:rPr>
          <w:sz w:val="24"/>
        </w:rPr>
        <w:t>Priority 1 – Patient Safety Adversely</w:t>
      </w:r>
      <w:r>
        <w:rPr>
          <w:spacing w:val="1"/>
          <w:sz w:val="24"/>
        </w:rPr>
        <w:t xml:space="preserve"> </w:t>
      </w:r>
      <w:r>
        <w:rPr>
          <w:sz w:val="24"/>
        </w:rPr>
        <w:t>Affected</w:t>
      </w:r>
    </w:p>
    <w:p w14:paraId="673D5E44" w14:textId="77777777" w:rsidR="00541207" w:rsidRDefault="00BA7E88">
      <w:pPr>
        <w:pStyle w:val="ListParagraph"/>
        <w:numPr>
          <w:ilvl w:val="1"/>
          <w:numId w:val="1"/>
        </w:numPr>
        <w:tabs>
          <w:tab w:val="left" w:pos="1660"/>
          <w:tab w:val="left" w:pos="1661"/>
        </w:tabs>
        <w:rPr>
          <w:sz w:val="24"/>
        </w:rPr>
      </w:pPr>
      <w:r>
        <w:rPr>
          <w:sz w:val="24"/>
        </w:rPr>
        <w:t>Priority 2 – Logging Software Error, Functionality</w:t>
      </w:r>
      <w:r>
        <w:rPr>
          <w:spacing w:val="4"/>
          <w:sz w:val="24"/>
        </w:rPr>
        <w:t xml:space="preserve"> </w:t>
      </w:r>
      <w:r>
        <w:rPr>
          <w:sz w:val="24"/>
        </w:rPr>
        <w:t>Essential</w:t>
      </w:r>
    </w:p>
    <w:p w14:paraId="38563D81" w14:textId="77777777" w:rsidR="00541207" w:rsidRDefault="00BA7E88">
      <w:pPr>
        <w:pStyle w:val="ListParagraph"/>
        <w:numPr>
          <w:ilvl w:val="1"/>
          <w:numId w:val="1"/>
        </w:numPr>
        <w:tabs>
          <w:tab w:val="left" w:pos="1660"/>
          <w:tab w:val="left" w:pos="1661"/>
        </w:tabs>
        <w:rPr>
          <w:sz w:val="24"/>
        </w:rPr>
      </w:pPr>
      <w:r>
        <w:rPr>
          <w:sz w:val="24"/>
        </w:rPr>
        <w:t>Priority 3 – Systems/Resource</w:t>
      </w:r>
      <w:r>
        <w:rPr>
          <w:spacing w:val="-2"/>
          <w:sz w:val="24"/>
        </w:rPr>
        <w:t xml:space="preserve"> </w:t>
      </w:r>
      <w:r>
        <w:rPr>
          <w:sz w:val="24"/>
        </w:rPr>
        <w:t>Issue</w:t>
      </w:r>
    </w:p>
    <w:p w14:paraId="5F825FCB" w14:textId="77777777" w:rsidR="00541207" w:rsidRDefault="00BA7E88">
      <w:pPr>
        <w:pStyle w:val="ListParagraph"/>
        <w:numPr>
          <w:ilvl w:val="1"/>
          <w:numId w:val="1"/>
        </w:numPr>
        <w:tabs>
          <w:tab w:val="left" w:pos="1660"/>
          <w:tab w:val="left" w:pos="1661"/>
        </w:tabs>
        <w:spacing w:before="3"/>
        <w:rPr>
          <w:sz w:val="24"/>
        </w:rPr>
      </w:pPr>
      <w:r>
        <w:rPr>
          <w:sz w:val="24"/>
        </w:rPr>
        <w:t>Priority 4 – Patient Personally Affected</w:t>
      </w:r>
    </w:p>
    <w:p w14:paraId="27A1D819" w14:textId="77777777" w:rsidR="00541207" w:rsidRDefault="00BA7E88">
      <w:pPr>
        <w:pStyle w:val="ListParagraph"/>
        <w:numPr>
          <w:ilvl w:val="1"/>
          <w:numId w:val="1"/>
        </w:numPr>
        <w:tabs>
          <w:tab w:val="left" w:pos="1660"/>
          <w:tab w:val="left" w:pos="1661"/>
        </w:tabs>
        <w:rPr>
          <w:sz w:val="24"/>
        </w:rPr>
      </w:pPr>
      <w:r>
        <w:rPr>
          <w:sz w:val="24"/>
        </w:rPr>
        <w:t>Priority 5 – Logging Software Error, Functionality</w:t>
      </w:r>
      <w:r>
        <w:rPr>
          <w:spacing w:val="1"/>
          <w:sz w:val="24"/>
        </w:rPr>
        <w:t xml:space="preserve"> </w:t>
      </w:r>
      <w:r>
        <w:rPr>
          <w:sz w:val="24"/>
        </w:rPr>
        <w:t>Needed</w:t>
      </w:r>
    </w:p>
    <w:p w14:paraId="06EBF966" w14:textId="77777777" w:rsidR="00541207" w:rsidRDefault="00BA7E88">
      <w:pPr>
        <w:pStyle w:val="ListParagraph"/>
        <w:numPr>
          <w:ilvl w:val="1"/>
          <w:numId w:val="1"/>
        </w:numPr>
        <w:tabs>
          <w:tab w:val="left" w:pos="1660"/>
          <w:tab w:val="left" w:pos="1661"/>
        </w:tabs>
        <w:rPr>
          <w:sz w:val="24"/>
        </w:rPr>
      </w:pPr>
      <w:r>
        <w:rPr>
          <w:sz w:val="24"/>
        </w:rPr>
        <w:t>Priority 6 – Functionality called into</w:t>
      </w:r>
      <w:r>
        <w:rPr>
          <w:spacing w:val="-20"/>
          <w:sz w:val="24"/>
        </w:rPr>
        <w:t xml:space="preserve"> </w:t>
      </w:r>
      <w:r>
        <w:rPr>
          <w:sz w:val="24"/>
        </w:rPr>
        <w:t>question</w:t>
      </w:r>
    </w:p>
    <w:p w14:paraId="25CB6804" w14:textId="77777777" w:rsidR="00541207" w:rsidRDefault="00BA7E88">
      <w:pPr>
        <w:pStyle w:val="ListParagraph"/>
        <w:numPr>
          <w:ilvl w:val="1"/>
          <w:numId w:val="1"/>
        </w:numPr>
        <w:tabs>
          <w:tab w:val="left" w:pos="1660"/>
          <w:tab w:val="left" w:pos="1661"/>
        </w:tabs>
        <w:rPr>
          <w:sz w:val="24"/>
        </w:rPr>
      </w:pPr>
      <w:r>
        <w:rPr>
          <w:sz w:val="24"/>
        </w:rPr>
        <w:t>Priority 7 – External Database Interface</w:t>
      </w:r>
      <w:r>
        <w:rPr>
          <w:spacing w:val="-21"/>
          <w:sz w:val="24"/>
        </w:rPr>
        <w:t xml:space="preserve"> </w:t>
      </w:r>
      <w:r>
        <w:rPr>
          <w:sz w:val="24"/>
        </w:rPr>
        <w:t>Issue</w:t>
      </w:r>
    </w:p>
    <w:p w14:paraId="07623082" w14:textId="77777777" w:rsidR="00541207" w:rsidRDefault="00BA7E88">
      <w:pPr>
        <w:pStyle w:val="ListParagraph"/>
        <w:numPr>
          <w:ilvl w:val="1"/>
          <w:numId w:val="1"/>
        </w:numPr>
        <w:tabs>
          <w:tab w:val="left" w:pos="1660"/>
          <w:tab w:val="left" w:pos="1661"/>
        </w:tabs>
        <w:rPr>
          <w:sz w:val="24"/>
        </w:rPr>
      </w:pPr>
      <w:r>
        <w:rPr>
          <w:sz w:val="24"/>
        </w:rPr>
        <w:t xml:space="preserve">Priority 8 – Nuisance Problem, Work Around </w:t>
      </w:r>
      <w:r>
        <w:rPr>
          <w:spacing w:val="-3"/>
          <w:sz w:val="24"/>
        </w:rPr>
        <w:t>in</w:t>
      </w:r>
      <w:r>
        <w:rPr>
          <w:spacing w:val="4"/>
          <w:sz w:val="24"/>
        </w:rPr>
        <w:t xml:space="preserve"> </w:t>
      </w:r>
      <w:r>
        <w:rPr>
          <w:sz w:val="24"/>
        </w:rPr>
        <w:t>Place</w:t>
      </w:r>
    </w:p>
    <w:p w14:paraId="5CEB908A" w14:textId="77777777" w:rsidR="00541207" w:rsidRDefault="00BA7E88">
      <w:pPr>
        <w:pStyle w:val="ListParagraph"/>
        <w:numPr>
          <w:ilvl w:val="1"/>
          <w:numId w:val="1"/>
        </w:numPr>
        <w:tabs>
          <w:tab w:val="left" w:pos="1660"/>
          <w:tab w:val="left" w:pos="1661"/>
        </w:tabs>
        <w:rPr>
          <w:sz w:val="24"/>
        </w:rPr>
      </w:pPr>
      <w:r>
        <w:rPr>
          <w:sz w:val="24"/>
        </w:rPr>
        <w:t>Priority 9 –</w:t>
      </w:r>
      <w:r>
        <w:rPr>
          <w:spacing w:val="-3"/>
          <w:sz w:val="24"/>
        </w:rPr>
        <w:t xml:space="preserve"> </w:t>
      </w:r>
      <w:r>
        <w:rPr>
          <w:sz w:val="24"/>
        </w:rPr>
        <w:t>Miscellaneous/Housekeeping</w:t>
      </w:r>
    </w:p>
    <w:p w14:paraId="5414E981" w14:textId="77777777" w:rsidR="00541207" w:rsidRDefault="00541207">
      <w:pPr>
        <w:pStyle w:val="BodyText"/>
        <w:spacing w:before="2"/>
      </w:pPr>
    </w:p>
    <w:p w14:paraId="414EDEDE" w14:textId="77777777" w:rsidR="00541207" w:rsidRDefault="00BA7E88">
      <w:pPr>
        <w:pStyle w:val="BodyText"/>
        <w:spacing w:line="237" w:lineRule="auto"/>
        <w:ind w:left="220"/>
      </w:pPr>
      <w:r>
        <w:t>Any referred Remedy tickets will be returned to the Tier 2 support for closure by the release coordinator of the resolving patch or original support specialist if a patch is not involved.</w:t>
      </w:r>
    </w:p>
    <w:p w14:paraId="09C8BECC" w14:textId="77777777" w:rsidR="00541207" w:rsidRDefault="00541207">
      <w:pPr>
        <w:spacing w:line="237" w:lineRule="auto"/>
        <w:sectPr w:rsidR="00541207">
          <w:footerReference w:type="default" r:id="rId13"/>
          <w:pgSz w:w="12240" w:h="15840"/>
          <w:pgMar w:top="1500" w:right="1340" w:bottom="1160" w:left="1220" w:header="0" w:footer="978" w:gutter="0"/>
          <w:cols w:space="720"/>
        </w:sectPr>
      </w:pPr>
    </w:p>
    <w:p w14:paraId="754C4AE8" w14:textId="77777777" w:rsidR="00541207" w:rsidRDefault="00BA7E88">
      <w:pPr>
        <w:pStyle w:val="BodyText"/>
        <w:spacing w:before="74" w:line="237" w:lineRule="auto"/>
        <w:ind w:left="220"/>
      </w:pPr>
      <w:r>
        <w:lastRenderedPageBreak/>
        <w:t>Clinical Procedures MD*1.0*12, Clinical Flowsheet, tickets will be received by the Clinical 3 Product Support Team (Clin3). The tickets will be logged under:</w:t>
      </w:r>
    </w:p>
    <w:p w14:paraId="0AE2AC55" w14:textId="77777777" w:rsidR="00541207" w:rsidRDefault="00541207">
      <w:pPr>
        <w:pStyle w:val="BodyText"/>
        <w:spacing w:before="4"/>
      </w:pPr>
    </w:p>
    <w:p w14:paraId="34F9EAB5" w14:textId="77777777" w:rsidR="00541207" w:rsidRDefault="00BA7E88">
      <w:pPr>
        <w:pStyle w:val="ListParagraph"/>
        <w:numPr>
          <w:ilvl w:val="1"/>
          <w:numId w:val="1"/>
        </w:numPr>
        <w:tabs>
          <w:tab w:val="left" w:pos="1660"/>
          <w:tab w:val="left" w:pos="1661"/>
        </w:tabs>
        <w:spacing w:line="240" w:lineRule="auto"/>
        <w:rPr>
          <w:sz w:val="24"/>
        </w:rPr>
      </w:pPr>
      <w:r>
        <w:rPr>
          <w:sz w:val="24"/>
        </w:rPr>
        <w:t>Category:</w:t>
      </w:r>
      <w:r>
        <w:rPr>
          <w:spacing w:val="3"/>
          <w:sz w:val="24"/>
        </w:rPr>
        <w:t xml:space="preserve"> </w:t>
      </w:r>
      <w:r>
        <w:rPr>
          <w:sz w:val="24"/>
        </w:rPr>
        <w:t>Application-Vista</w:t>
      </w:r>
    </w:p>
    <w:p w14:paraId="72ADF393" w14:textId="77777777" w:rsidR="00541207" w:rsidRDefault="00BA7E88">
      <w:pPr>
        <w:pStyle w:val="ListParagraph"/>
        <w:numPr>
          <w:ilvl w:val="1"/>
          <w:numId w:val="1"/>
        </w:numPr>
        <w:tabs>
          <w:tab w:val="left" w:pos="1660"/>
          <w:tab w:val="left" w:pos="1661"/>
        </w:tabs>
        <w:spacing w:before="3"/>
        <w:rPr>
          <w:sz w:val="24"/>
        </w:rPr>
      </w:pPr>
      <w:r>
        <w:rPr>
          <w:sz w:val="24"/>
        </w:rPr>
        <w:t>Type: Clinical Procedures</w:t>
      </w:r>
      <w:r>
        <w:rPr>
          <w:spacing w:val="-4"/>
          <w:sz w:val="24"/>
        </w:rPr>
        <w:t xml:space="preserve"> </w:t>
      </w:r>
      <w:r>
        <w:rPr>
          <w:sz w:val="24"/>
        </w:rPr>
        <w:t>1.0</w:t>
      </w:r>
    </w:p>
    <w:p w14:paraId="166635BB" w14:textId="77777777" w:rsidR="00541207" w:rsidRDefault="00BA7E88">
      <w:pPr>
        <w:pStyle w:val="ListParagraph"/>
        <w:numPr>
          <w:ilvl w:val="1"/>
          <w:numId w:val="1"/>
        </w:numPr>
        <w:tabs>
          <w:tab w:val="left" w:pos="1660"/>
          <w:tab w:val="left" w:pos="1661"/>
        </w:tabs>
        <w:rPr>
          <w:sz w:val="24"/>
        </w:rPr>
      </w:pPr>
      <w:r>
        <w:rPr>
          <w:sz w:val="24"/>
        </w:rPr>
        <w:t>Item: Clinical Flowsheets</w:t>
      </w:r>
    </w:p>
    <w:p w14:paraId="6A280CFD" w14:textId="77777777" w:rsidR="00541207" w:rsidRDefault="00541207">
      <w:pPr>
        <w:pStyle w:val="BodyText"/>
        <w:spacing w:before="6"/>
        <w:rPr>
          <w:sz w:val="23"/>
        </w:rPr>
      </w:pPr>
    </w:p>
    <w:p w14:paraId="1D873FBF" w14:textId="77777777" w:rsidR="00541207" w:rsidRDefault="00BA7E88">
      <w:pPr>
        <w:pStyle w:val="BodyText"/>
        <w:ind w:left="220" w:right="700"/>
        <w:jc w:val="both"/>
      </w:pPr>
      <w:r>
        <w:t>Product Support maintains four fully patched support accounts which includes the Clinical Procedures application and will be used by Clin3 to troubleshoot flowsheet issues in a non- production environment.</w:t>
      </w:r>
    </w:p>
    <w:p w14:paraId="68A54333" w14:textId="77777777" w:rsidR="00541207" w:rsidRDefault="00541207">
      <w:pPr>
        <w:jc w:val="both"/>
        <w:sectPr w:rsidR="00541207">
          <w:footerReference w:type="default" r:id="rId14"/>
          <w:pgSz w:w="12240" w:h="15840"/>
          <w:pgMar w:top="1360" w:right="1340" w:bottom="1160" w:left="1220" w:header="0" w:footer="978" w:gutter="0"/>
          <w:cols w:space="720"/>
        </w:sectPr>
      </w:pPr>
    </w:p>
    <w:p w14:paraId="270FD9F0" w14:textId="77777777" w:rsidR="00541207" w:rsidRDefault="00BA7E88">
      <w:pPr>
        <w:spacing w:before="72"/>
        <w:ind w:left="890" w:right="774"/>
        <w:jc w:val="center"/>
        <w:rPr>
          <w:i/>
          <w:sz w:val="24"/>
        </w:rPr>
      </w:pPr>
      <w:r>
        <w:rPr>
          <w:i/>
          <w:sz w:val="24"/>
        </w:rPr>
        <w:lastRenderedPageBreak/>
        <w:t>This page intentionally left blank for double-sided printing.</w:t>
      </w:r>
    </w:p>
    <w:p w14:paraId="2628A0EF" w14:textId="77777777" w:rsidR="00541207" w:rsidRDefault="00541207">
      <w:pPr>
        <w:jc w:val="center"/>
        <w:rPr>
          <w:sz w:val="24"/>
        </w:rPr>
        <w:sectPr w:rsidR="00541207">
          <w:footerReference w:type="default" r:id="rId15"/>
          <w:pgSz w:w="12240" w:h="15840"/>
          <w:pgMar w:top="1360" w:right="1340" w:bottom="1160" w:left="1220" w:header="0" w:footer="978" w:gutter="0"/>
          <w:cols w:space="720"/>
        </w:sectPr>
      </w:pPr>
    </w:p>
    <w:p w14:paraId="7FB2B501" w14:textId="77777777" w:rsidR="00541207" w:rsidRDefault="00541207">
      <w:pPr>
        <w:pStyle w:val="BodyText"/>
        <w:rPr>
          <w:i/>
          <w:sz w:val="20"/>
        </w:rPr>
      </w:pPr>
    </w:p>
    <w:p w14:paraId="05D6F2CF" w14:textId="77777777" w:rsidR="00541207" w:rsidRDefault="00541207">
      <w:pPr>
        <w:pStyle w:val="BodyText"/>
        <w:rPr>
          <w:i/>
          <w:sz w:val="20"/>
        </w:rPr>
      </w:pPr>
    </w:p>
    <w:p w14:paraId="222DA407" w14:textId="77777777" w:rsidR="00541207" w:rsidRDefault="00541207">
      <w:pPr>
        <w:pStyle w:val="BodyText"/>
        <w:spacing w:before="10"/>
        <w:rPr>
          <w:i/>
          <w:sz w:val="21"/>
        </w:rPr>
      </w:pPr>
    </w:p>
    <w:p w14:paraId="4BFA5631" w14:textId="77777777" w:rsidR="00541207" w:rsidRDefault="00BA7E88">
      <w:pPr>
        <w:pStyle w:val="Heading2"/>
        <w:spacing w:before="91"/>
        <w:ind w:left="100"/>
      </w:pPr>
      <w:bookmarkStart w:id="10" w:name="_bookmark9"/>
      <w:bookmarkEnd w:id="10"/>
      <w:r>
        <w:t>List of Outstanding Anomalies</w:t>
      </w:r>
    </w:p>
    <w:p w14:paraId="5DC971BC" w14:textId="77777777" w:rsidR="00541207" w:rsidRDefault="00BA7E88">
      <w:pPr>
        <w:pStyle w:val="BodyText"/>
        <w:spacing w:before="245"/>
        <w:ind w:left="100"/>
      </w:pPr>
      <w:r>
        <w:t>A Request for Concurrence to Release Software with Known Anomalies was submitted containing the following anomalies:</w:t>
      </w:r>
    </w:p>
    <w:p w14:paraId="141D34A2" w14:textId="77777777" w:rsidR="00541207" w:rsidRDefault="00541207">
      <w:pPr>
        <w:pStyle w:val="BodyText"/>
        <w:spacing w:before="9"/>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7"/>
        <w:gridCol w:w="3121"/>
        <w:gridCol w:w="1320"/>
        <w:gridCol w:w="1320"/>
        <w:gridCol w:w="1320"/>
        <w:gridCol w:w="1439"/>
        <w:gridCol w:w="2400"/>
        <w:gridCol w:w="1516"/>
      </w:tblGrid>
      <w:tr w:rsidR="00541207" w14:paraId="0E340681" w14:textId="77777777">
        <w:trPr>
          <w:trHeight w:val="537"/>
        </w:trPr>
        <w:tc>
          <w:tcPr>
            <w:tcW w:w="1407" w:type="dxa"/>
            <w:shd w:val="clear" w:color="auto" w:fill="BEBEBE"/>
          </w:tcPr>
          <w:p w14:paraId="3F78DD94" w14:textId="77777777" w:rsidR="00541207" w:rsidRDefault="00BA7E88">
            <w:pPr>
              <w:pStyle w:val="TableParagraph"/>
              <w:spacing w:line="265" w:lineRule="exact"/>
              <w:ind w:left="105"/>
              <w:rPr>
                <w:rFonts w:ascii="Calibri"/>
                <w:b/>
              </w:rPr>
            </w:pPr>
            <w:r>
              <w:rPr>
                <w:rFonts w:ascii="Calibri"/>
                <w:b/>
              </w:rPr>
              <w:t>id</w:t>
            </w:r>
          </w:p>
        </w:tc>
        <w:tc>
          <w:tcPr>
            <w:tcW w:w="3121" w:type="dxa"/>
            <w:shd w:val="clear" w:color="auto" w:fill="BEBEBE"/>
          </w:tcPr>
          <w:p w14:paraId="1AD94F7C" w14:textId="77777777" w:rsidR="00541207" w:rsidRDefault="00BA7E88">
            <w:pPr>
              <w:pStyle w:val="TableParagraph"/>
              <w:spacing w:line="265" w:lineRule="exact"/>
              <w:ind w:left="105"/>
              <w:rPr>
                <w:rFonts w:ascii="Calibri"/>
                <w:b/>
              </w:rPr>
            </w:pPr>
            <w:r>
              <w:rPr>
                <w:rFonts w:ascii="Calibri"/>
                <w:b/>
              </w:rPr>
              <w:t>Headline/Description</w:t>
            </w:r>
          </w:p>
        </w:tc>
        <w:tc>
          <w:tcPr>
            <w:tcW w:w="1320" w:type="dxa"/>
            <w:shd w:val="clear" w:color="auto" w:fill="BEBEBE"/>
          </w:tcPr>
          <w:p w14:paraId="1DCAFDEC" w14:textId="77777777" w:rsidR="00541207" w:rsidRDefault="00BA7E88">
            <w:pPr>
              <w:pStyle w:val="TableParagraph"/>
              <w:spacing w:line="265" w:lineRule="exact"/>
              <w:ind w:left="105"/>
              <w:rPr>
                <w:rFonts w:ascii="Calibri"/>
                <w:b/>
              </w:rPr>
            </w:pPr>
            <w:r>
              <w:rPr>
                <w:rFonts w:ascii="Calibri"/>
                <w:b/>
              </w:rPr>
              <w:t>Screenshot</w:t>
            </w:r>
          </w:p>
          <w:p w14:paraId="0F7C1137" w14:textId="77777777" w:rsidR="00541207" w:rsidRDefault="00BA7E88">
            <w:pPr>
              <w:pStyle w:val="TableParagraph"/>
              <w:spacing w:line="252" w:lineRule="exact"/>
              <w:ind w:left="105"/>
              <w:rPr>
                <w:rFonts w:ascii="Calibri"/>
                <w:b/>
              </w:rPr>
            </w:pPr>
            <w:r>
              <w:rPr>
                <w:rFonts w:ascii="Calibri"/>
                <w:b/>
              </w:rPr>
              <w:t>Location</w:t>
            </w:r>
          </w:p>
        </w:tc>
        <w:tc>
          <w:tcPr>
            <w:tcW w:w="1320" w:type="dxa"/>
            <w:shd w:val="clear" w:color="auto" w:fill="BEBEBE"/>
          </w:tcPr>
          <w:p w14:paraId="25AD3397" w14:textId="77777777" w:rsidR="00541207" w:rsidRDefault="00BA7E88">
            <w:pPr>
              <w:pStyle w:val="TableParagraph"/>
              <w:spacing w:line="265" w:lineRule="exact"/>
              <w:ind w:left="105"/>
              <w:rPr>
                <w:rFonts w:ascii="Calibri"/>
                <w:b/>
              </w:rPr>
            </w:pPr>
            <w:r>
              <w:rPr>
                <w:rFonts w:ascii="Calibri"/>
                <w:b/>
              </w:rPr>
              <w:t>Severity</w:t>
            </w:r>
          </w:p>
        </w:tc>
        <w:tc>
          <w:tcPr>
            <w:tcW w:w="1320" w:type="dxa"/>
            <w:shd w:val="clear" w:color="auto" w:fill="BEBEBE"/>
          </w:tcPr>
          <w:p w14:paraId="00A0DBB6" w14:textId="77777777" w:rsidR="00541207" w:rsidRDefault="00BA7E88">
            <w:pPr>
              <w:pStyle w:val="TableParagraph"/>
              <w:spacing w:line="265" w:lineRule="exact"/>
              <w:ind w:left="106"/>
              <w:rPr>
                <w:rFonts w:ascii="Calibri"/>
                <w:b/>
              </w:rPr>
            </w:pPr>
            <w:r>
              <w:rPr>
                <w:rFonts w:ascii="Calibri"/>
                <w:b/>
              </w:rPr>
              <w:t>Priority</w:t>
            </w:r>
          </w:p>
        </w:tc>
        <w:tc>
          <w:tcPr>
            <w:tcW w:w="1439" w:type="dxa"/>
            <w:shd w:val="clear" w:color="auto" w:fill="BEBEBE"/>
          </w:tcPr>
          <w:p w14:paraId="36197CE8" w14:textId="77777777" w:rsidR="00541207" w:rsidRDefault="00BA7E88">
            <w:pPr>
              <w:pStyle w:val="TableParagraph"/>
              <w:spacing w:line="265" w:lineRule="exact"/>
              <w:ind w:left="106"/>
              <w:rPr>
                <w:rFonts w:ascii="Calibri"/>
                <w:b/>
              </w:rPr>
            </w:pPr>
            <w:r>
              <w:rPr>
                <w:rFonts w:ascii="Calibri"/>
                <w:b/>
              </w:rPr>
              <w:t>Application</w:t>
            </w:r>
          </w:p>
        </w:tc>
        <w:tc>
          <w:tcPr>
            <w:tcW w:w="2400" w:type="dxa"/>
            <w:shd w:val="clear" w:color="auto" w:fill="BEBEBE"/>
          </w:tcPr>
          <w:p w14:paraId="0AD99512" w14:textId="77777777" w:rsidR="00541207" w:rsidRDefault="00BA7E88">
            <w:pPr>
              <w:pStyle w:val="TableParagraph"/>
              <w:spacing w:line="265" w:lineRule="exact"/>
              <w:ind w:left="108"/>
              <w:rPr>
                <w:rFonts w:ascii="Calibri"/>
                <w:b/>
              </w:rPr>
            </w:pPr>
            <w:r>
              <w:rPr>
                <w:rFonts w:ascii="Calibri"/>
                <w:b/>
              </w:rPr>
              <w:t>Workaround/</w:t>
            </w:r>
          </w:p>
          <w:p w14:paraId="583888BD" w14:textId="77777777" w:rsidR="00541207" w:rsidRDefault="00BA7E88">
            <w:pPr>
              <w:pStyle w:val="TableParagraph"/>
              <w:spacing w:line="252" w:lineRule="exact"/>
              <w:ind w:left="108"/>
              <w:rPr>
                <w:rFonts w:ascii="Calibri"/>
                <w:b/>
              </w:rPr>
            </w:pPr>
            <w:r>
              <w:rPr>
                <w:rFonts w:ascii="Calibri"/>
                <w:b/>
              </w:rPr>
              <w:t>Comments</w:t>
            </w:r>
          </w:p>
        </w:tc>
        <w:tc>
          <w:tcPr>
            <w:tcW w:w="1516" w:type="dxa"/>
            <w:shd w:val="clear" w:color="auto" w:fill="BEBEBE"/>
          </w:tcPr>
          <w:p w14:paraId="0BE29327" w14:textId="77777777" w:rsidR="00541207" w:rsidRDefault="00BA7E88">
            <w:pPr>
              <w:pStyle w:val="TableParagraph"/>
              <w:spacing w:line="265" w:lineRule="exact"/>
              <w:ind w:left="108"/>
              <w:rPr>
                <w:rFonts w:ascii="Calibri"/>
                <w:b/>
              </w:rPr>
            </w:pPr>
            <w:r>
              <w:rPr>
                <w:rFonts w:ascii="Calibri"/>
                <w:b/>
              </w:rPr>
              <w:t>Resolution</w:t>
            </w:r>
          </w:p>
        </w:tc>
      </w:tr>
      <w:tr w:rsidR="00541207" w14:paraId="3014F189" w14:textId="77777777">
        <w:trPr>
          <w:trHeight w:val="292"/>
        </w:trPr>
        <w:tc>
          <w:tcPr>
            <w:tcW w:w="1407" w:type="dxa"/>
          </w:tcPr>
          <w:p w14:paraId="7CEA3357" w14:textId="77777777" w:rsidR="00541207" w:rsidRDefault="00541207">
            <w:pPr>
              <w:pStyle w:val="TableParagraph"/>
              <w:rPr>
                <w:sz w:val="20"/>
              </w:rPr>
            </w:pPr>
          </w:p>
        </w:tc>
        <w:tc>
          <w:tcPr>
            <w:tcW w:w="3121" w:type="dxa"/>
          </w:tcPr>
          <w:p w14:paraId="3FC07E73" w14:textId="77777777" w:rsidR="00541207" w:rsidRDefault="00541207">
            <w:pPr>
              <w:pStyle w:val="TableParagraph"/>
              <w:rPr>
                <w:sz w:val="20"/>
              </w:rPr>
            </w:pPr>
          </w:p>
        </w:tc>
        <w:tc>
          <w:tcPr>
            <w:tcW w:w="1320" w:type="dxa"/>
          </w:tcPr>
          <w:p w14:paraId="56BFE6B4" w14:textId="77777777" w:rsidR="00541207" w:rsidRDefault="00BA7E88">
            <w:pPr>
              <w:pStyle w:val="TableParagraph"/>
              <w:spacing w:before="1" w:line="271" w:lineRule="exact"/>
              <w:ind w:left="105"/>
              <w:rPr>
                <w:rFonts w:ascii="Calibri"/>
                <w:sz w:val="24"/>
              </w:rPr>
            </w:pPr>
            <w:r>
              <w:rPr>
                <w:rFonts w:ascii="Calibri"/>
                <w:sz w:val="24"/>
              </w:rPr>
              <w:t>N/A</w:t>
            </w:r>
          </w:p>
        </w:tc>
        <w:tc>
          <w:tcPr>
            <w:tcW w:w="1320" w:type="dxa"/>
          </w:tcPr>
          <w:p w14:paraId="1B027AEF" w14:textId="77777777" w:rsidR="00541207" w:rsidRDefault="00BA7E88">
            <w:pPr>
              <w:pStyle w:val="TableParagraph"/>
              <w:spacing w:line="265" w:lineRule="exact"/>
              <w:ind w:left="105"/>
              <w:rPr>
                <w:rFonts w:ascii="Calibri"/>
              </w:rPr>
            </w:pPr>
            <w:r>
              <w:rPr>
                <w:rFonts w:ascii="Calibri"/>
              </w:rPr>
              <w:t>N/A</w:t>
            </w:r>
          </w:p>
        </w:tc>
        <w:tc>
          <w:tcPr>
            <w:tcW w:w="1320" w:type="dxa"/>
          </w:tcPr>
          <w:p w14:paraId="4932D9BF" w14:textId="77777777" w:rsidR="00541207" w:rsidRDefault="00BA7E88">
            <w:pPr>
              <w:pStyle w:val="TableParagraph"/>
              <w:spacing w:line="265" w:lineRule="exact"/>
              <w:ind w:left="106"/>
              <w:rPr>
                <w:rFonts w:ascii="Calibri"/>
              </w:rPr>
            </w:pPr>
            <w:r>
              <w:rPr>
                <w:rFonts w:ascii="Calibri"/>
              </w:rPr>
              <w:t>N/A</w:t>
            </w:r>
          </w:p>
        </w:tc>
        <w:tc>
          <w:tcPr>
            <w:tcW w:w="1439" w:type="dxa"/>
          </w:tcPr>
          <w:p w14:paraId="3ED853B2" w14:textId="77777777" w:rsidR="00541207" w:rsidRDefault="00BA7E88">
            <w:pPr>
              <w:pStyle w:val="TableParagraph"/>
              <w:spacing w:before="1" w:line="271" w:lineRule="exact"/>
              <w:ind w:left="106"/>
              <w:rPr>
                <w:rFonts w:ascii="Calibri"/>
                <w:sz w:val="24"/>
              </w:rPr>
            </w:pPr>
            <w:r>
              <w:rPr>
                <w:rFonts w:ascii="Calibri"/>
                <w:sz w:val="24"/>
              </w:rPr>
              <w:t>N/A</w:t>
            </w:r>
          </w:p>
        </w:tc>
        <w:tc>
          <w:tcPr>
            <w:tcW w:w="2400" w:type="dxa"/>
          </w:tcPr>
          <w:p w14:paraId="0C0FAF4E" w14:textId="77777777" w:rsidR="00541207" w:rsidRDefault="00BA7E88">
            <w:pPr>
              <w:pStyle w:val="TableParagraph"/>
              <w:spacing w:before="1" w:line="271" w:lineRule="exact"/>
              <w:ind w:left="108"/>
              <w:rPr>
                <w:rFonts w:ascii="Calibri"/>
                <w:sz w:val="24"/>
              </w:rPr>
            </w:pPr>
            <w:r>
              <w:rPr>
                <w:rFonts w:ascii="Calibri"/>
                <w:sz w:val="24"/>
              </w:rPr>
              <w:t>N/A</w:t>
            </w:r>
          </w:p>
        </w:tc>
        <w:tc>
          <w:tcPr>
            <w:tcW w:w="1516" w:type="dxa"/>
          </w:tcPr>
          <w:p w14:paraId="50C4FC6E" w14:textId="77777777" w:rsidR="00541207" w:rsidRDefault="00BA7E88">
            <w:pPr>
              <w:pStyle w:val="TableParagraph"/>
              <w:spacing w:before="1" w:line="271" w:lineRule="exact"/>
              <w:ind w:left="108"/>
              <w:rPr>
                <w:rFonts w:ascii="Calibri"/>
                <w:sz w:val="24"/>
              </w:rPr>
            </w:pPr>
            <w:r>
              <w:rPr>
                <w:rFonts w:ascii="Calibri"/>
                <w:sz w:val="24"/>
              </w:rPr>
              <w:t>N/A</w:t>
            </w:r>
          </w:p>
        </w:tc>
      </w:tr>
    </w:tbl>
    <w:p w14:paraId="2E82EBFD" w14:textId="77777777" w:rsidR="00D85BD3" w:rsidRDefault="00D85BD3"/>
    <w:sectPr w:rsidR="00D85BD3">
      <w:footerReference w:type="default" r:id="rId16"/>
      <w:pgSz w:w="15840" w:h="12240" w:orient="landscape"/>
      <w:pgMar w:top="1140" w:right="400" w:bottom="1160" w:left="134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CEEA2" w14:textId="77777777" w:rsidR="00D85BD3" w:rsidRDefault="00BA7E88">
      <w:r>
        <w:separator/>
      </w:r>
    </w:p>
  </w:endnote>
  <w:endnote w:type="continuationSeparator" w:id="0">
    <w:p w14:paraId="228A0285" w14:textId="77777777" w:rsidR="00D85BD3" w:rsidRDefault="00BA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1163" w14:textId="77777777" w:rsidR="00541207" w:rsidRDefault="00937B7C">
    <w:pPr>
      <w:pStyle w:val="BodyText"/>
      <w:spacing w:line="14" w:lineRule="auto"/>
      <w:rPr>
        <w:sz w:val="20"/>
      </w:rPr>
    </w:pPr>
    <w:r>
      <w:pict w14:anchorId="68384A4E">
        <v:shapetype id="_x0000_t202" coordsize="21600,21600" o:spt="202" path="m,l,21600r21600,l21600,xe">
          <v:stroke joinstyle="miter"/>
          <v:path gradientshapeok="t" o:connecttype="rect"/>
        </v:shapetype>
        <v:shape id="_x0000_s1046" type="#_x0000_t202" style="position:absolute;margin-left:71pt;margin-top:732.1pt;width:60.8pt;height:13.2pt;z-index:-252155904;mso-position-horizontal-relative:page;mso-position-vertical-relative:page" filled="f" stroked="f">
          <v:textbox inset="0,0,0,0">
            <w:txbxContent>
              <w:p w14:paraId="79B5E758" w14:textId="77777777" w:rsidR="00541207" w:rsidRDefault="00BA7E88">
                <w:pPr>
                  <w:spacing w:before="13"/>
                  <w:ind w:left="20"/>
                  <w:rPr>
                    <w:sz w:val="20"/>
                  </w:rPr>
                </w:pPr>
                <w:r>
                  <w:rPr>
                    <w:sz w:val="20"/>
                  </w:rPr>
                  <w:t>February 2012</w:t>
                </w:r>
              </w:p>
            </w:txbxContent>
          </v:textbox>
          <w10:wrap anchorx="page" anchory="page"/>
        </v:shape>
      </w:pict>
    </w:r>
    <w:r>
      <w:pict w14:anchorId="52877B29">
        <v:shape id="_x0000_s1045" type="#_x0000_t202" style="position:absolute;margin-left:194.45pt;margin-top:732.1pt;width:204.85pt;height:24.7pt;z-index:-252154880;mso-position-horizontal-relative:page;mso-position-vertical-relative:page" filled="f" stroked="f">
          <v:textbox inset="0,0,0,0">
            <w:txbxContent>
              <w:p w14:paraId="08317A0C" w14:textId="77777777" w:rsidR="00541207" w:rsidRDefault="00BA7E88">
                <w:pPr>
                  <w:spacing w:before="13"/>
                  <w:ind w:left="956" w:right="-9" w:hanging="937"/>
                  <w:rPr>
                    <w:sz w:val="20"/>
                  </w:rPr>
                </w:pPr>
                <w:r>
                  <w:rPr>
                    <w:sz w:val="20"/>
                  </w:rPr>
                  <w:t>Clinical Procedures (CP) V1.0 Flowsheets Module (MD*1.0*12) Release Notes</w:t>
                </w:r>
              </w:p>
            </w:txbxContent>
          </v:textbox>
          <w10:wrap anchorx="page" anchory="page"/>
        </v:shape>
      </w:pict>
    </w:r>
    <w:r>
      <w:pict w14:anchorId="328CB228">
        <v:shape id="_x0000_s1044" type="#_x0000_t202" style="position:absolute;margin-left:500.3pt;margin-top:732.1pt;width:4.85pt;height:13.2pt;z-index:-252153856;mso-position-horizontal-relative:page;mso-position-vertical-relative:page" filled="f" stroked="f">
          <v:textbox inset="0,0,0,0">
            <w:txbxContent>
              <w:p w14:paraId="11F97322" w14:textId="77777777" w:rsidR="00541207" w:rsidRDefault="00BA7E88">
                <w:pPr>
                  <w:spacing w:before="13"/>
                  <w:ind w:left="20"/>
                  <w:rPr>
                    <w:sz w:val="20"/>
                  </w:rPr>
                </w:pPr>
                <w:r>
                  <w:rPr>
                    <w:sz w:val="20"/>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18F1" w14:textId="77777777" w:rsidR="00541207" w:rsidRDefault="0054120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3A363" w14:textId="77777777" w:rsidR="00541207" w:rsidRDefault="00937B7C">
    <w:pPr>
      <w:pStyle w:val="BodyText"/>
      <w:spacing w:line="14" w:lineRule="auto"/>
      <w:rPr>
        <w:sz w:val="20"/>
      </w:rPr>
    </w:pPr>
    <w:r>
      <w:pict w14:anchorId="5A9B6F56">
        <v:shapetype id="_x0000_t202" coordsize="21600,21600" o:spt="202" path="m,l,21600r21600,l21600,xe">
          <v:stroke joinstyle="miter"/>
          <v:path gradientshapeok="t" o:connecttype="rect"/>
        </v:shapetype>
        <v:shape id="_x0000_s1043" type="#_x0000_t202" style="position:absolute;margin-left:71pt;margin-top:732.1pt;width:60.8pt;height:13.2pt;z-index:-252152832;mso-position-horizontal-relative:page;mso-position-vertical-relative:page" filled="f" stroked="f">
          <v:textbox inset="0,0,0,0">
            <w:txbxContent>
              <w:p w14:paraId="29F1D065" w14:textId="77777777" w:rsidR="00541207" w:rsidRDefault="00BA7E88">
                <w:pPr>
                  <w:spacing w:before="13"/>
                  <w:ind w:left="20"/>
                  <w:rPr>
                    <w:sz w:val="20"/>
                  </w:rPr>
                </w:pPr>
                <w:r>
                  <w:rPr>
                    <w:sz w:val="20"/>
                  </w:rPr>
                  <w:t>February 2012</w:t>
                </w:r>
              </w:p>
            </w:txbxContent>
          </v:textbox>
          <w10:wrap anchorx="page" anchory="page"/>
        </v:shape>
      </w:pict>
    </w:r>
    <w:r>
      <w:pict w14:anchorId="180B2909">
        <v:shape id="_x0000_s1042" type="#_x0000_t202" style="position:absolute;margin-left:185.55pt;margin-top:732.1pt;width:205.1pt;height:24.7pt;z-index:-252151808;mso-position-horizontal-relative:page;mso-position-vertical-relative:page" filled="f" stroked="f">
          <v:textbox inset="0,0,0,0">
            <w:txbxContent>
              <w:p w14:paraId="3DFB334A" w14:textId="77777777" w:rsidR="00541207" w:rsidRDefault="00BA7E88">
                <w:pPr>
                  <w:spacing w:before="13"/>
                  <w:ind w:left="903" w:right="-4" w:hanging="884"/>
                  <w:rPr>
                    <w:sz w:val="20"/>
                  </w:rPr>
                </w:pPr>
                <w:r>
                  <w:rPr>
                    <w:sz w:val="20"/>
                  </w:rPr>
                  <w:t>Clinical Procedures (CP) V1.0 Flowsheets Module (MD*1.0*12) Release Notes</w:t>
                </w:r>
              </w:p>
            </w:txbxContent>
          </v:textbox>
          <w10:wrap anchorx="page" anchory="page"/>
        </v:shape>
      </w:pict>
    </w:r>
    <w:r>
      <w:pict w14:anchorId="7F31FC3B">
        <v:shape id="_x0000_s1041" type="#_x0000_t202" style="position:absolute;margin-left:494.8pt;margin-top:732.1pt;width:10.65pt;height:13.2pt;z-index:-252150784;mso-position-horizontal-relative:page;mso-position-vertical-relative:page" filled="f" stroked="f">
          <v:textbox inset="0,0,0,0">
            <w:txbxContent>
              <w:p w14:paraId="2CBE817C" w14:textId="77777777" w:rsidR="00541207" w:rsidRDefault="00BA7E88">
                <w:pPr>
                  <w:spacing w:before="13"/>
                  <w:ind w:left="20"/>
                  <w:rPr>
                    <w:sz w:val="20"/>
                  </w:rPr>
                </w:pPr>
                <w:r>
                  <w:rPr>
                    <w:sz w:val="20"/>
                  </w:rPr>
                  <w:t>iii</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286FD" w14:textId="77777777" w:rsidR="00541207" w:rsidRDefault="00937B7C">
    <w:pPr>
      <w:pStyle w:val="BodyText"/>
      <w:spacing w:line="14" w:lineRule="auto"/>
      <w:rPr>
        <w:sz w:val="20"/>
      </w:rPr>
    </w:pPr>
    <w:r>
      <w:pict w14:anchorId="3BA66BF4">
        <v:shapetype id="_x0000_t202" coordsize="21600,21600" o:spt="202" path="m,l,21600r21600,l21600,xe">
          <v:stroke joinstyle="miter"/>
          <v:path gradientshapeok="t" o:connecttype="rect"/>
        </v:shapetype>
        <v:shape id="_x0000_s1040" type="#_x0000_t202" style="position:absolute;margin-left:247pt;margin-top:732.1pt;width:116.35pt;height:13.2pt;z-index:-252149760;mso-position-horizontal-relative:page;mso-position-vertical-relative:page" filled="f" stroked="f">
          <v:textbox inset="0,0,0,0">
            <w:txbxContent>
              <w:p w14:paraId="21ECC11C" w14:textId="77777777" w:rsidR="00541207" w:rsidRDefault="00BA7E88">
                <w:pPr>
                  <w:spacing w:before="13"/>
                  <w:ind w:left="20"/>
                  <w:rPr>
                    <w:sz w:val="20"/>
                  </w:rPr>
                </w:pPr>
                <w:r>
                  <w:rPr>
                    <w:sz w:val="20"/>
                  </w:rPr>
                  <w:t>(MD*1.0*12) Release Notes</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9E28" w14:textId="77777777" w:rsidR="00541207" w:rsidRDefault="00937B7C">
    <w:pPr>
      <w:pStyle w:val="BodyText"/>
      <w:spacing w:line="14" w:lineRule="auto"/>
      <w:rPr>
        <w:sz w:val="20"/>
      </w:rPr>
    </w:pPr>
    <w:r>
      <w:pict w14:anchorId="7A8847AE">
        <v:shapetype id="_x0000_t202" coordsize="21600,21600" o:spt="202" path="m,l,21600r21600,l21600,xe">
          <v:stroke joinstyle="miter"/>
          <v:path gradientshapeok="t" o:connecttype="rect"/>
        </v:shapetype>
        <v:shape id="_x0000_s1039" type="#_x0000_t202" style="position:absolute;margin-left:71pt;margin-top:732.1pt;width:60.8pt;height:13.2pt;z-index:-252148736;mso-position-horizontal-relative:page;mso-position-vertical-relative:page" filled="f" stroked="f">
          <v:textbox inset="0,0,0,0">
            <w:txbxContent>
              <w:p w14:paraId="61988A17" w14:textId="77777777" w:rsidR="00541207" w:rsidRDefault="00BA7E88">
                <w:pPr>
                  <w:spacing w:before="13"/>
                  <w:ind w:left="20"/>
                  <w:rPr>
                    <w:sz w:val="20"/>
                  </w:rPr>
                </w:pPr>
                <w:r>
                  <w:rPr>
                    <w:sz w:val="20"/>
                  </w:rPr>
                  <w:t>February 2012</w:t>
                </w:r>
              </w:p>
            </w:txbxContent>
          </v:textbox>
          <w10:wrap anchorx="page" anchory="page"/>
        </v:shape>
      </w:pict>
    </w:r>
    <w:r>
      <w:pict w14:anchorId="5932C875">
        <v:shape id="_x0000_s1038" type="#_x0000_t202" style="position:absolute;margin-left:185.55pt;margin-top:732.1pt;width:205.1pt;height:24.7pt;z-index:-252147712;mso-position-horizontal-relative:page;mso-position-vertical-relative:page" filled="f" stroked="f">
          <v:textbox inset="0,0,0,0">
            <w:txbxContent>
              <w:p w14:paraId="14C80DF8" w14:textId="77777777" w:rsidR="00541207" w:rsidRDefault="00BA7E88">
                <w:pPr>
                  <w:spacing w:before="13"/>
                  <w:ind w:left="903" w:right="-4" w:hanging="884"/>
                  <w:rPr>
                    <w:sz w:val="20"/>
                  </w:rPr>
                </w:pPr>
                <w:r>
                  <w:rPr>
                    <w:sz w:val="20"/>
                  </w:rPr>
                  <w:t>Clinical Procedures (CP) V1.0 Flowsheets Module (MD*1.0*12) Release Notes</w:t>
                </w:r>
              </w:p>
            </w:txbxContent>
          </v:textbox>
          <w10:wrap anchorx="page" anchory="page"/>
        </v:shape>
      </w:pict>
    </w:r>
    <w:r>
      <w:pict w14:anchorId="0C41203A">
        <v:shape id="_x0000_s1037" type="#_x0000_t202" style="position:absolute;margin-left:498.15pt;margin-top:732.1pt;width:7.05pt;height:13.2pt;z-index:-252146688;mso-position-horizontal-relative:page;mso-position-vertical-relative:page" filled="f" stroked="f">
          <v:textbox inset="0,0,0,0">
            <w:txbxContent>
              <w:p w14:paraId="1C11CA2D" w14:textId="77777777" w:rsidR="00541207" w:rsidRDefault="00BA7E88">
                <w:pPr>
                  <w:spacing w:before="13"/>
                  <w:ind w:left="20"/>
                  <w:rPr>
                    <w:sz w:val="20"/>
                  </w:rPr>
                </w:pPr>
                <w:r>
                  <w:rPr>
                    <w:sz w:val="20"/>
                  </w:rPr>
                  <w:t>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1C26" w14:textId="77777777" w:rsidR="00541207" w:rsidRDefault="00937B7C">
    <w:pPr>
      <w:pStyle w:val="BodyText"/>
      <w:spacing w:line="14" w:lineRule="auto"/>
      <w:rPr>
        <w:sz w:val="20"/>
      </w:rPr>
    </w:pPr>
    <w:r>
      <w:pict w14:anchorId="397DFDE1">
        <v:shapetype id="_x0000_t202" coordsize="21600,21600" o:spt="202" path="m,l,21600r21600,l21600,xe">
          <v:stroke joinstyle="miter"/>
          <v:path gradientshapeok="t" o:connecttype="rect"/>
        </v:shapetype>
        <v:shape id="_x0000_s1036" type="#_x0000_t202" style="position:absolute;margin-left:71pt;margin-top:732.1pt;width:7.05pt;height:13.2pt;z-index:-252145664;mso-position-horizontal-relative:page;mso-position-vertical-relative:page" filled="f" stroked="f">
          <v:textbox inset="0,0,0,0">
            <w:txbxContent>
              <w:p w14:paraId="35F998E1" w14:textId="77777777" w:rsidR="00541207" w:rsidRDefault="00BA7E88">
                <w:pPr>
                  <w:spacing w:before="13"/>
                  <w:ind w:left="20"/>
                  <w:rPr>
                    <w:sz w:val="20"/>
                  </w:rPr>
                </w:pPr>
                <w:r>
                  <w:rPr>
                    <w:sz w:val="20"/>
                  </w:rPr>
                  <w:t>2</w:t>
                </w:r>
              </w:p>
            </w:txbxContent>
          </v:textbox>
          <w10:wrap anchorx="page" anchory="page"/>
        </v:shape>
      </w:pict>
    </w:r>
    <w:r>
      <w:pict w14:anchorId="31816C0B">
        <v:shape id="_x0000_s1035" type="#_x0000_t202" style="position:absolute;margin-left:191.05pt;margin-top:732.1pt;width:205.1pt;height:24.7pt;z-index:-252144640;mso-position-horizontal-relative:page;mso-position-vertical-relative:page" filled="f" stroked="f">
          <v:textbox inset="0,0,0,0">
            <w:txbxContent>
              <w:p w14:paraId="6EA23407" w14:textId="77777777" w:rsidR="00541207" w:rsidRDefault="00BA7E88">
                <w:pPr>
                  <w:spacing w:before="13"/>
                  <w:ind w:left="20"/>
                  <w:rPr>
                    <w:sz w:val="20"/>
                  </w:rPr>
                </w:pPr>
                <w:r>
                  <w:rPr>
                    <w:sz w:val="20"/>
                  </w:rPr>
                  <w:t>Clinical Procedures (CP) V1.0 Flowsheets Module</w:t>
                </w:r>
              </w:p>
              <w:p w14:paraId="5FB2DE50" w14:textId="77777777" w:rsidR="00541207" w:rsidRDefault="00BA7E88">
                <w:pPr>
                  <w:ind w:left="1374"/>
                  <w:rPr>
                    <w:sz w:val="20"/>
                  </w:rPr>
                </w:pPr>
                <w:r>
                  <w:rPr>
                    <w:sz w:val="20"/>
                  </w:rPr>
                  <w:t>(MD*1.0*12) Release Notes</w:t>
                </w:r>
              </w:p>
            </w:txbxContent>
          </v:textbox>
          <w10:wrap anchorx="page" anchory="page"/>
        </v:shape>
      </w:pict>
    </w:r>
    <w:r>
      <w:pict w14:anchorId="4D1AAA87">
        <v:shape id="_x0000_s1034" type="#_x0000_t202" style="position:absolute;margin-left:479.2pt;margin-top:732.1pt;width:60.8pt;height:13.2pt;z-index:-252143616;mso-position-horizontal-relative:page;mso-position-vertical-relative:page" filled="f" stroked="f">
          <v:textbox inset="0,0,0,0">
            <w:txbxContent>
              <w:p w14:paraId="76EAB49A" w14:textId="77777777" w:rsidR="00541207" w:rsidRDefault="00BA7E88">
                <w:pPr>
                  <w:spacing w:before="13"/>
                  <w:ind w:left="20"/>
                  <w:rPr>
                    <w:sz w:val="20"/>
                  </w:rPr>
                </w:pPr>
                <w:r>
                  <w:rPr>
                    <w:sz w:val="20"/>
                  </w:rPr>
                  <w:t>February 2012</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A1527" w14:textId="77777777" w:rsidR="00541207" w:rsidRDefault="00937B7C">
    <w:pPr>
      <w:pStyle w:val="BodyText"/>
      <w:spacing w:line="14" w:lineRule="auto"/>
      <w:rPr>
        <w:sz w:val="20"/>
      </w:rPr>
    </w:pPr>
    <w:r>
      <w:pict w14:anchorId="130CD04B">
        <v:shapetype id="_x0000_t202" coordsize="21600,21600" o:spt="202" path="m,l,21600r21600,l21600,xe">
          <v:stroke joinstyle="miter"/>
          <v:path gradientshapeok="t" o:connecttype="rect"/>
        </v:shapetype>
        <v:shape id="_x0000_s1033" type="#_x0000_t202" style="position:absolute;margin-left:71pt;margin-top:732.1pt;width:60.8pt;height:13.2pt;z-index:-252142592;mso-position-horizontal-relative:page;mso-position-vertical-relative:page" filled="f" stroked="f">
          <v:textbox inset="0,0,0,0">
            <w:txbxContent>
              <w:p w14:paraId="44650F23" w14:textId="77777777" w:rsidR="00541207" w:rsidRDefault="00BA7E88">
                <w:pPr>
                  <w:spacing w:before="13"/>
                  <w:ind w:left="20"/>
                  <w:rPr>
                    <w:sz w:val="20"/>
                  </w:rPr>
                </w:pPr>
                <w:r>
                  <w:rPr>
                    <w:sz w:val="20"/>
                  </w:rPr>
                  <w:t>February 2012</w:t>
                </w:r>
              </w:p>
            </w:txbxContent>
          </v:textbox>
          <w10:wrap anchorx="page" anchory="page"/>
        </v:shape>
      </w:pict>
    </w:r>
    <w:r>
      <w:pict w14:anchorId="6D9F7927">
        <v:shape id="_x0000_s1032" type="#_x0000_t202" style="position:absolute;margin-left:185.55pt;margin-top:732.1pt;width:205.1pt;height:24.7pt;z-index:-252141568;mso-position-horizontal-relative:page;mso-position-vertical-relative:page" filled="f" stroked="f">
          <v:textbox inset="0,0,0,0">
            <w:txbxContent>
              <w:p w14:paraId="1FDEC1B3" w14:textId="77777777" w:rsidR="00541207" w:rsidRDefault="00BA7E88">
                <w:pPr>
                  <w:spacing w:before="13"/>
                  <w:ind w:left="903" w:right="-4" w:hanging="884"/>
                  <w:rPr>
                    <w:sz w:val="20"/>
                  </w:rPr>
                </w:pPr>
                <w:r>
                  <w:rPr>
                    <w:sz w:val="20"/>
                  </w:rPr>
                  <w:t>Clinical Procedures (CP) V1.0 Flowsheets Module (MD*1.0*12) Release Notes</w:t>
                </w:r>
              </w:p>
            </w:txbxContent>
          </v:textbox>
          <w10:wrap anchorx="page" anchory="page"/>
        </v:shape>
      </w:pict>
    </w:r>
    <w:r>
      <w:pict w14:anchorId="19F7B7F2">
        <v:shape id="_x0000_s1031" type="#_x0000_t202" style="position:absolute;margin-left:498.15pt;margin-top:732.1pt;width:7.05pt;height:13.2pt;z-index:-252140544;mso-position-horizontal-relative:page;mso-position-vertical-relative:page" filled="f" stroked="f">
          <v:textbox inset="0,0,0,0">
            <w:txbxContent>
              <w:p w14:paraId="548AE671" w14:textId="77777777" w:rsidR="00541207" w:rsidRDefault="00BA7E88">
                <w:pPr>
                  <w:spacing w:before="13"/>
                  <w:ind w:left="20"/>
                  <w:rPr>
                    <w:sz w:val="20"/>
                  </w:rPr>
                </w:pPr>
                <w:r>
                  <w:rPr>
                    <w:sz w:val="20"/>
                  </w:rPr>
                  <w:t>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B0532" w14:textId="77777777" w:rsidR="00541207" w:rsidRDefault="00937B7C">
    <w:pPr>
      <w:pStyle w:val="BodyText"/>
      <w:spacing w:line="14" w:lineRule="auto"/>
      <w:rPr>
        <w:sz w:val="20"/>
      </w:rPr>
    </w:pPr>
    <w:r>
      <w:pict w14:anchorId="4F586C3F">
        <v:shapetype id="_x0000_t202" coordsize="21600,21600" o:spt="202" path="m,l,21600r21600,l21600,xe">
          <v:stroke joinstyle="miter"/>
          <v:path gradientshapeok="t" o:connecttype="rect"/>
        </v:shapetype>
        <v:shape id="_x0000_s1030" type="#_x0000_t202" style="position:absolute;margin-left:71pt;margin-top:732.1pt;width:7.05pt;height:13.2pt;z-index:-252139520;mso-position-horizontal-relative:page;mso-position-vertical-relative:page" filled="f" stroked="f">
          <v:textbox inset="0,0,0,0">
            <w:txbxContent>
              <w:p w14:paraId="68DAAB7F" w14:textId="77777777" w:rsidR="00541207" w:rsidRDefault="00BA7E88">
                <w:pPr>
                  <w:spacing w:before="13"/>
                  <w:ind w:left="20"/>
                  <w:rPr>
                    <w:sz w:val="20"/>
                  </w:rPr>
                </w:pPr>
                <w:r>
                  <w:rPr>
                    <w:sz w:val="20"/>
                  </w:rPr>
                  <w:t>4</w:t>
                </w:r>
              </w:p>
            </w:txbxContent>
          </v:textbox>
          <w10:wrap anchorx="page" anchory="page"/>
        </v:shape>
      </w:pict>
    </w:r>
    <w:r>
      <w:pict w14:anchorId="0E3D829C">
        <v:shape id="_x0000_s1029" type="#_x0000_t202" style="position:absolute;margin-left:191.05pt;margin-top:732.1pt;width:205.1pt;height:24.7pt;z-index:-252138496;mso-position-horizontal-relative:page;mso-position-vertical-relative:page" filled="f" stroked="f">
          <v:textbox inset="0,0,0,0">
            <w:txbxContent>
              <w:p w14:paraId="0D2A2552" w14:textId="77777777" w:rsidR="00541207" w:rsidRDefault="00BA7E88">
                <w:pPr>
                  <w:spacing w:before="13"/>
                  <w:ind w:left="20"/>
                  <w:rPr>
                    <w:sz w:val="20"/>
                  </w:rPr>
                </w:pPr>
                <w:r>
                  <w:rPr>
                    <w:sz w:val="20"/>
                  </w:rPr>
                  <w:t>Clinical Procedures (CP) V1.0 Flowsheets Module</w:t>
                </w:r>
              </w:p>
              <w:p w14:paraId="24E6656D" w14:textId="77777777" w:rsidR="00541207" w:rsidRDefault="00BA7E88">
                <w:pPr>
                  <w:ind w:left="1374"/>
                  <w:rPr>
                    <w:sz w:val="20"/>
                  </w:rPr>
                </w:pPr>
                <w:r>
                  <w:rPr>
                    <w:sz w:val="20"/>
                  </w:rPr>
                  <w:t>(MD*1.0*12) Release Notes</w:t>
                </w:r>
              </w:p>
            </w:txbxContent>
          </v:textbox>
          <w10:wrap anchorx="page" anchory="page"/>
        </v:shape>
      </w:pict>
    </w:r>
    <w:r>
      <w:pict w14:anchorId="68C8465A">
        <v:shape id="_x0000_s1028" type="#_x0000_t202" style="position:absolute;margin-left:479.2pt;margin-top:732.1pt;width:60.8pt;height:13.2pt;z-index:-252137472;mso-position-horizontal-relative:page;mso-position-vertical-relative:page" filled="f" stroked="f">
          <v:textbox inset="0,0,0,0">
            <w:txbxContent>
              <w:p w14:paraId="3270852B" w14:textId="77777777" w:rsidR="00541207" w:rsidRDefault="00BA7E88">
                <w:pPr>
                  <w:spacing w:before="13"/>
                  <w:ind w:left="20"/>
                  <w:rPr>
                    <w:sz w:val="20"/>
                  </w:rPr>
                </w:pPr>
                <w:r>
                  <w:rPr>
                    <w:sz w:val="20"/>
                  </w:rPr>
                  <w:t>February 2012</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6D47" w14:textId="77777777" w:rsidR="00541207" w:rsidRDefault="00937B7C">
    <w:pPr>
      <w:pStyle w:val="BodyText"/>
      <w:spacing w:line="14" w:lineRule="auto"/>
      <w:rPr>
        <w:sz w:val="20"/>
      </w:rPr>
    </w:pPr>
    <w:r>
      <w:pict w14:anchorId="663FE6ED">
        <v:shapetype id="_x0000_t202" coordsize="21600,21600" o:spt="202" path="m,l,21600r21600,l21600,xe">
          <v:stroke joinstyle="miter"/>
          <v:path gradientshapeok="t" o:connecttype="rect"/>
        </v:shapetype>
        <v:shape id="_x0000_s1027" type="#_x0000_t202" style="position:absolute;margin-left:71pt;margin-top:552.05pt;width:60.8pt;height:13.2pt;z-index:-252136448;mso-position-horizontal-relative:page;mso-position-vertical-relative:page" filled="f" stroked="f">
          <v:textbox inset="0,0,0,0">
            <w:txbxContent>
              <w:p w14:paraId="332E6AAC" w14:textId="77777777" w:rsidR="00541207" w:rsidRDefault="00BA7E88">
                <w:pPr>
                  <w:spacing w:before="13"/>
                  <w:ind w:left="20"/>
                  <w:rPr>
                    <w:sz w:val="20"/>
                  </w:rPr>
                </w:pPr>
                <w:r>
                  <w:rPr>
                    <w:sz w:val="20"/>
                  </w:rPr>
                  <w:t>February 2012</w:t>
                </w:r>
              </w:p>
            </w:txbxContent>
          </v:textbox>
          <w10:wrap anchorx="page" anchory="page"/>
        </v:shape>
      </w:pict>
    </w:r>
    <w:r>
      <w:pict w14:anchorId="3C8AF215">
        <v:shape id="_x0000_s1026" type="#_x0000_t202" style="position:absolute;margin-left:299.8pt;margin-top:552.05pt;width:205.2pt;height:24.7pt;z-index:-252135424;mso-position-horizontal-relative:page;mso-position-vertical-relative:page" filled="f" stroked="f">
          <v:textbox inset="0,0,0,0">
            <w:txbxContent>
              <w:p w14:paraId="3DAE7AA9" w14:textId="77777777" w:rsidR="00541207" w:rsidRDefault="00BA7E88">
                <w:pPr>
                  <w:spacing w:before="13"/>
                  <w:ind w:left="696" w:right="-2" w:hanging="677"/>
                  <w:rPr>
                    <w:sz w:val="20"/>
                  </w:rPr>
                </w:pPr>
                <w:r>
                  <w:rPr>
                    <w:sz w:val="20"/>
                  </w:rPr>
                  <w:t>Clinical Procedures (CP) V1.0 Flowsheets Module (MD*1.0*12) Release Notes</w:t>
                </w:r>
              </w:p>
            </w:txbxContent>
          </v:textbox>
          <w10:wrap anchorx="page" anchory="page"/>
        </v:shape>
      </w:pict>
    </w:r>
    <w:r>
      <w:pict w14:anchorId="3975DD41">
        <v:shape id="_x0000_s1025" type="#_x0000_t202" style="position:absolute;margin-left:683.2pt;margin-top:552.05pt;width:7.05pt;height:13.2pt;z-index:-252134400;mso-position-horizontal-relative:page;mso-position-vertical-relative:page" filled="f" stroked="f">
          <v:textbox inset="0,0,0,0">
            <w:txbxContent>
              <w:p w14:paraId="66D1910B" w14:textId="77777777" w:rsidR="00541207" w:rsidRDefault="00BA7E88">
                <w:pPr>
                  <w:spacing w:before="13"/>
                  <w:ind w:left="20"/>
                  <w:rPr>
                    <w:sz w:val="20"/>
                  </w:rPr>
                </w:pPr>
                <w:r>
                  <w:rPr>
                    <w:sz w:val="20"/>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ACDB4" w14:textId="77777777" w:rsidR="00D85BD3" w:rsidRDefault="00BA7E88">
      <w:r>
        <w:separator/>
      </w:r>
    </w:p>
  </w:footnote>
  <w:footnote w:type="continuationSeparator" w:id="0">
    <w:p w14:paraId="5467197B" w14:textId="77777777" w:rsidR="00D85BD3" w:rsidRDefault="00BA7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80D95"/>
    <w:multiLevelType w:val="hybridMultilevel"/>
    <w:tmpl w:val="927C178E"/>
    <w:lvl w:ilvl="0" w:tplc="15A6D692">
      <w:numFmt w:val="bullet"/>
      <w:lvlText w:val=""/>
      <w:lvlJc w:val="left"/>
      <w:pPr>
        <w:ind w:left="580" w:hanging="360"/>
      </w:pPr>
      <w:rPr>
        <w:rFonts w:ascii="Symbol" w:eastAsia="Symbol" w:hAnsi="Symbol" w:cs="Symbol" w:hint="default"/>
        <w:w w:val="100"/>
        <w:sz w:val="24"/>
        <w:szCs w:val="24"/>
        <w:lang w:val="en-US" w:eastAsia="en-US" w:bidi="en-US"/>
      </w:rPr>
    </w:lvl>
    <w:lvl w:ilvl="1" w:tplc="32C2903A">
      <w:numFmt w:val="bullet"/>
      <w:lvlText w:val=""/>
      <w:lvlJc w:val="left"/>
      <w:pPr>
        <w:ind w:left="1661" w:hanging="360"/>
      </w:pPr>
      <w:rPr>
        <w:rFonts w:ascii="Symbol" w:eastAsia="Symbol" w:hAnsi="Symbol" w:cs="Symbol" w:hint="default"/>
        <w:w w:val="100"/>
        <w:sz w:val="24"/>
        <w:szCs w:val="24"/>
        <w:lang w:val="en-US" w:eastAsia="en-US" w:bidi="en-US"/>
      </w:rPr>
    </w:lvl>
    <w:lvl w:ilvl="2" w:tplc="9E4C30DE">
      <w:numFmt w:val="bullet"/>
      <w:lvlText w:val="•"/>
      <w:lvlJc w:val="left"/>
      <w:pPr>
        <w:ind w:left="2551" w:hanging="360"/>
      </w:pPr>
      <w:rPr>
        <w:rFonts w:hint="default"/>
        <w:lang w:val="en-US" w:eastAsia="en-US" w:bidi="en-US"/>
      </w:rPr>
    </w:lvl>
    <w:lvl w:ilvl="3" w:tplc="10A29D5A">
      <w:numFmt w:val="bullet"/>
      <w:lvlText w:val="•"/>
      <w:lvlJc w:val="left"/>
      <w:pPr>
        <w:ind w:left="3442" w:hanging="360"/>
      </w:pPr>
      <w:rPr>
        <w:rFonts w:hint="default"/>
        <w:lang w:val="en-US" w:eastAsia="en-US" w:bidi="en-US"/>
      </w:rPr>
    </w:lvl>
    <w:lvl w:ilvl="4" w:tplc="21AA0184">
      <w:numFmt w:val="bullet"/>
      <w:lvlText w:val="•"/>
      <w:lvlJc w:val="left"/>
      <w:pPr>
        <w:ind w:left="4333" w:hanging="360"/>
      </w:pPr>
      <w:rPr>
        <w:rFonts w:hint="default"/>
        <w:lang w:val="en-US" w:eastAsia="en-US" w:bidi="en-US"/>
      </w:rPr>
    </w:lvl>
    <w:lvl w:ilvl="5" w:tplc="613A8ADE">
      <w:numFmt w:val="bullet"/>
      <w:lvlText w:val="•"/>
      <w:lvlJc w:val="left"/>
      <w:pPr>
        <w:ind w:left="5224" w:hanging="360"/>
      </w:pPr>
      <w:rPr>
        <w:rFonts w:hint="default"/>
        <w:lang w:val="en-US" w:eastAsia="en-US" w:bidi="en-US"/>
      </w:rPr>
    </w:lvl>
    <w:lvl w:ilvl="6" w:tplc="F44ED598">
      <w:numFmt w:val="bullet"/>
      <w:lvlText w:val="•"/>
      <w:lvlJc w:val="left"/>
      <w:pPr>
        <w:ind w:left="6115" w:hanging="360"/>
      </w:pPr>
      <w:rPr>
        <w:rFonts w:hint="default"/>
        <w:lang w:val="en-US" w:eastAsia="en-US" w:bidi="en-US"/>
      </w:rPr>
    </w:lvl>
    <w:lvl w:ilvl="7" w:tplc="B5006754">
      <w:numFmt w:val="bullet"/>
      <w:lvlText w:val="•"/>
      <w:lvlJc w:val="left"/>
      <w:pPr>
        <w:ind w:left="7006" w:hanging="360"/>
      </w:pPr>
      <w:rPr>
        <w:rFonts w:hint="default"/>
        <w:lang w:val="en-US" w:eastAsia="en-US" w:bidi="en-US"/>
      </w:rPr>
    </w:lvl>
    <w:lvl w:ilvl="8" w:tplc="9168D2A8">
      <w:numFmt w:val="bullet"/>
      <w:lvlText w:val="•"/>
      <w:lvlJc w:val="left"/>
      <w:pPr>
        <w:ind w:left="789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41207"/>
    <w:rsid w:val="00541207"/>
    <w:rsid w:val="00937B7C"/>
    <w:rsid w:val="00BA7E88"/>
    <w:rsid w:val="00D8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2AF86"/>
  <w15:docId w15:val="{30574C9A-754E-449A-9C22-50DF1BFE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rFonts w:ascii="Arial" w:eastAsia="Arial" w:hAnsi="Arial" w:cs="Arial"/>
      <w:b/>
      <w:bCs/>
      <w:sz w:val="36"/>
      <w:szCs w:val="36"/>
    </w:rPr>
  </w:style>
  <w:style w:type="paragraph" w:styleId="Heading2">
    <w:name w:val="heading 2"/>
    <w:basedOn w:val="Normal"/>
    <w:uiPriority w:val="9"/>
    <w:unhideWhenUsed/>
    <w:qFormat/>
    <w:pPr>
      <w:ind w:left="220"/>
      <w:outlineLvl w:val="1"/>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72" w:lineRule="exact"/>
      <w:ind w:left="220"/>
    </w:pPr>
    <w:rPr>
      <w:sz w:val="24"/>
      <w:szCs w:val="24"/>
    </w:rPr>
  </w:style>
  <w:style w:type="paragraph" w:styleId="TOC2">
    <w:name w:val="toc 2"/>
    <w:basedOn w:val="Normal"/>
    <w:uiPriority w:val="1"/>
    <w:qFormat/>
    <w:pPr>
      <w:spacing w:before="7"/>
      <w:ind w:left="465"/>
    </w:pPr>
    <w:rPr>
      <w:b/>
      <w:bCs/>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166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 Patch MD*1*16</dc:title>
  <dc:subject>Clinical Procedures</dc:subject>
  <dc:creator>Provider Systems</dc:creator>
  <cp:keywords>CP Gateway Service, CP Console, CP Flowsheets</cp:keywords>
  <cp:lastModifiedBy>Moody, Susan G.</cp:lastModifiedBy>
  <cp:revision>3</cp:revision>
  <dcterms:created xsi:type="dcterms:W3CDTF">2020-04-30T20:41:00Z</dcterms:created>
  <dcterms:modified xsi:type="dcterms:W3CDTF">2020-05-05T21:30:00Z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2012-01-31T00:00:00Z</vt:filetime>
  </property>
  <property fmtid="{D5CDD505-2E9C-101B-9397-08002B2CF9AE}" pid="3" name="Creator">
    <vt:lpwstr>Microsoft® Office Word 2007</vt:lpwstr>
  </property>
  <property fmtid="{D5CDD505-2E9C-101B-9397-08002B2CF9AE}" pid="4" name="LastSaved">
    <vt:filetime>2020-04-30T00:00:00Z</vt:filetime>
  </property>
</Properties>
</file>