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7F8F" w14:textId="77777777" w:rsidR="007E586D" w:rsidRDefault="007E586D">
      <w:pPr>
        <w:pStyle w:val="BodyText"/>
        <w:spacing w:before="7"/>
        <w:rPr>
          <w:sz w:val="15"/>
        </w:rPr>
      </w:pPr>
    </w:p>
    <w:p w14:paraId="00F98278" w14:textId="77777777" w:rsidR="007E586D" w:rsidRDefault="002652EA">
      <w:pPr>
        <w:pStyle w:val="BodyText"/>
        <w:ind w:left="2740"/>
        <w:rPr>
          <w:sz w:val="20"/>
        </w:rPr>
      </w:pPr>
      <w:r>
        <w:rPr>
          <w:noProof/>
          <w:sz w:val="20"/>
        </w:rPr>
        <w:drawing>
          <wp:inline distT="0" distB="0" distL="0" distR="0" wp14:anchorId="7D8C9E29" wp14:editId="169C90B8">
            <wp:extent cx="2741521" cy="1705355"/>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41521" cy="1705355"/>
                    </a:xfrm>
                    <a:prstGeom prst="rect">
                      <a:avLst/>
                    </a:prstGeom>
                  </pic:spPr>
                </pic:pic>
              </a:graphicData>
            </a:graphic>
          </wp:inline>
        </w:drawing>
      </w:r>
    </w:p>
    <w:p w14:paraId="7F0EF042" w14:textId="77777777" w:rsidR="007E586D" w:rsidRDefault="007E586D">
      <w:pPr>
        <w:pStyle w:val="BodyText"/>
        <w:rPr>
          <w:sz w:val="20"/>
        </w:rPr>
      </w:pPr>
    </w:p>
    <w:p w14:paraId="7B241CCB" w14:textId="77777777" w:rsidR="007E586D" w:rsidRDefault="007E586D">
      <w:pPr>
        <w:pStyle w:val="BodyText"/>
        <w:rPr>
          <w:sz w:val="20"/>
        </w:rPr>
      </w:pPr>
    </w:p>
    <w:p w14:paraId="3371970D" w14:textId="77777777" w:rsidR="007E586D" w:rsidRDefault="007E586D">
      <w:pPr>
        <w:pStyle w:val="BodyText"/>
        <w:rPr>
          <w:sz w:val="20"/>
        </w:rPr>
      </w:pPr>
    </w:p>
    <w:p w14:paraId="27BC9894" w14:textId="77777777" w:rsidR="007E586D" w:rsidRDefault="007E586D">
      <w:pPr>
        <w:pStyle w:val="BodyText"/>
        <w:rPr>
          <w:sz w:val="20"/>
        </w:rPr>
      </w:pPr>
    </w:p>
    <w:p w14:paraId="09362ADA" w14:textId="77777777" w:rsidR="007E586D" w:rsidRDefault="007E586D">
      <w:pPr>
        <w:pStyle w:val="BodyText"/>
        <w:rPr>
          <w:sz w:val="20"/>
        </w:rPr>
      </w:pPr>
    </w:p>
    <w:p w14:paraId="7E16B2CD" w14:textId="77777777" w:rsidR="007E586D" w:rsidRDefault="002652EA">
      <w:pPr>
        <w:spacing w:before="234" w:line="244" w:lineRule="auto"/>
        <w:ind w:left="882" w:right="759"/>
        <w:jc w:val="center"/>
        <w:rPr>
          <w:rFonts w:ascii="Arial"/>
          <w:b/>
          <w:sz w:val="48"/>
        </w:rPr>
      </w:pPr>
      <w:r>
        <w:rPr>
          <w:rFonts w:ascii="Arial"/>
          <w:b/>
          <w:sz w:val="48"/>
        </w:rPr>
        <w:t>CLINICAL PROCEDURES (CP) V1.0 FLOWSHEETS MODULE</w:t>
      </w:r>
    </w:p>
    <w:p w14:paraId="47D658DC" w14:textId="77777777" w:rsidR="007E586D" w:rsidRDefault="002652EA">
      <w:pPr>
        <w:spacing w:before="2"/>
        <w:ind w:left="881" w:right="759"/>
        <w:jc w:val="center"/>
        <w:rPr>
          <w:rFonts w:ascii="Arial"/>
          <w:b/>
          <w:sz w:val="48"/>
        </w:rPr>
      </w:pPr>
      <w:r>
        <w:rPr>
          <w:rFonts w:ascii="Arial"/>
          <w:b/>
          <w:sz w:val="48"/>
        </w:rPr>
        <w:t>RELEASE NOTES</w:t>
      </w:r>
    </w:p>
    <w:p w14:paraId="051BC977" w14:textId="77777777" w:rsidR="007E586D" w:rsidRDefault="007E586D">
      <w:pPr>
        <w:pStyle w:val="BodyText"/>
        <w:rPr>
          <w:rFonts w:ascii="Arial"/>
          <w:b/>
          <w:sz w:val="54"/>
        </w:rPr>
      </w:pPr>
    </w:p>
    <w:p w14:paraId="160C9008" w14:textId="77777777" w:rsidR="007E586D" w:rsidRDefault="007E586D">
      <w:pPr>
        <w:pStyle w:val="BodyText"/>
        <w:rPr>
          <w:rFonts w:ascii="Arial"/>
          <w:b/>
          <w:sz w:val="54"/>
        </w:rPr>
      </w:pPr>
    </w:p>
    <w:p w14:paraId="7AFE466A" w14:textId="77777777" w:rsidR="007E586D" w:rsidRDefault="002652EA">
      <w:pPr>
        <w:spacing w:before="368"/>
        <w:ind w:left="4011" w:right="3888"/>
        <w:jc w:val="center"/>
        <w:rPr>
          <w:rFonts w:ascii="Arial"/>
          <w:sz w:val="36"/>
        </w:rPr>
      </w:pPr>
      <w:r>
        <w:rPr>
          <w:rFonts w:ascii="Arial"/>
          <w:sz w:val="36"/>
        </w:rPr>
        <w:t>MD*1.0*16 May 2011</w:t>
      </w:r>
    </w:p>
    <w:p w14:paraId="07E0439A" w14:textId="77777777" w:rsidR="007E586D" w:rsidRDefault="007E586D">
      <w:pPr>
        <w:pStyle w:val="BodyText"/>
        <w:rPr>
          <w:rFonts w:ascii="Arial"/>
          <w:sz w:val="40"/>
        </w:rPr>
      </w:pPr>
    </w:p>
    <w:p w14:paraId="418E1E6C" w14:textId="77777777" w:rsidR="007E586D" w:rsidRDefault="007E586D">
      <w:pPr>
        <w:pStyle w:val="BodyText"/>
        <w:rPr>
          <w:rFonts w:ascii="Arial"/>
          <w:sz w:val="40"/>
        </w:rPr>
      </w:pPr>
    </w:p>
    <w:p w14:paraId="0431E6E9" w14:textId="77777777" w:rsidR="007E586D" w:rsidRDefault="007E586D">
      <w:pPr>
        <w:pStyle w:val="BodyText"/>
        <w:rPr>
          <w:rFonts w:ascii="Arial"/>
          <w:sz w:val="40"/>
        </w:rPr>
      </w:pPr>
    </w:p>
    <w:p w14:paraId="09742BAD" w14:textId="77777777" w:rsidR="007E586D" w:rsidRDefault="007E586D">
      <w:pPr>
        <w:pStyle w:val="BodyText"/>
        <w:spacing w:before="2"/>
        <w:rPr>
          <w:rFonts w:ascii="Arial"/>
          <w:sz w:val="33"/>
        </w:rPr>
      </w:pPr>
    </w:p>
    <w:p w14:paraId="48BC33B6" w14:textId="77777777" w:rsidR="007E586D" w:rsidRDefault="002652EA">
      <w:pPr>
        <w:pStyle w:val="BodyText"/>
        <w:spacing w:before="1"/>
        <w:ind w:left="2644" w:right="2522" w:firstLine="598"/>
        <w:rPr>
          <w:rFonts w:ascii="Arial"/>
        </w:rPr>
      </w:pPr>
      <w:r>
        <w:rPr>
          <w:rFonts w:ascii="Arial"/>
        </w:rPr>
        <w:t>Department of Veterans Affairs Office of Information &amp; Technology (OI&amp;T)</w:t>
      </w:r>
    </w:p>
    <w:p w14:paraId="771898DE" w14:textId="77777777" w:rsidR="007E586D" w:rsidRDefault="002652EA">
      <w:pPr>
        <w:pStyle w:val="BodyText"/>
        <w:ind w:left="3463"/>
        <w:rPr>
          <w:rFonts w:ascii="Arial"/>
        </w:rPr>
      </w:pPr>
      <w:r>
        <w:rPr>
          <w:rFonts w:ascii="Arial"/>
        </w:rPr>
        <w:t>Product Development (PD)</w:t>
      </w:r>
    </w:p>
    <w:p w14:paraId="05AD6EFE" w14:textId="77777777" w:rsidR="007E586D" w:rsidRDefault="007E586D">
      <w:pPr>
        <w:rPr>
          <w:rFonts w:ascii="Arial"/>
        </w:rPr>
        <w:sectPr w:rsidR="007E586D">
          <w:type w:val="continuous"/>
          <w:pgSz w:w="12240" w:h="15840"/>
          <w:pgMar w:top="1500" w:right="1340" w:bottom="280" w:left="1220" w:header="720" w:footer="720" w:gutter="0"/>
          <w:cols w:space="720"/>
        </w:sectPr>
      </w:pPr>
    </w:p>
    <w:p w14:paraId="6987C0F1" w14:textId="77777777" w:rsidR="007E586D" w:rsidRDefault="007E586D">
      <w:pPr>
        <w:pStyle w:val="BodyText"/>
        <w:spacing w:before="4"/>
        <w:rPr>
          <w:rFonts w:ascii="Arial"/>
          <w:sz w:val="17"/>
        </w:rPr>
      </w:pPr>
    </w:p>
    <w:p w14:paraId="1801C002" w14:textId="77777777" w:rsidR="007E586D" w:rsidRDefault="007E586D">
      <w:pPr>
        <w:rPr>
          <w:rFonts w:ascii="Arial"/>
          <w:sz w:val="17"/>
        </w:rPr>
        <w:sectPr w:rsidR="007E586D">
          <w:pgSz w:w="12240" w:h="15840"/>
          <w:pgMar w:top="1500" w:right="1340" w:bottom="280" w:left="1220" w:header="720" w:footer="720" w:gutter="0"/>
          <w:cols w:space="720"/>
        </w:sectPr>
      </w:pPr>
    </w:p>
    <w:p w14:paraId="162FDA21" w14:textId="77777777" w:rsidR="007E586D" w:rsidRDefault="007E586D">
      <w:pPr>
        <w:pStyle w:val="BodyText"/>
        <w:spacing w:before="8"/>
        <w:rPr>
          <w:rFonts w:ascii="Arial"/>
          <w:sz w:val="8"/>
        </w:rPr>
      </w:pPr>
    </w:p>
    <w:p w14:paraId="44CFEFD1" w14:textId="77777777" w:rsidR="007E586D" w:rsidRDefault="002652EA">
      <w:pPr>
        <w:spacing w:before="88"/>
        <w:ind w:left="220"/>
        <w:rPr>
          <w:rFonts w:ascii="Arial"/>
          <w:b/>
          <w:sz w:val="36"/>
        </w:rPr>
      </w:pPr>
      <w:r>
        <w:rPr>
          <w:rFonts w:ascii="Arial"/>
          <w:b/>
          <w:sz w:val="36"/>
        </w:rPr>
        <w:t>Revision History</w:t>
      </w:r>
    </w:p>
    <w:p w14:paraId="782FF7DE" w14:textId="77777777" w:rsidR="007E586D" w:rsidRDefault="007E586D">
      <w:pPr>
        <w:pStyle w:val="BodyText"/>
        <w:rPr>
          <w:rFonts w:ascii="Arial"/>
          <w:b/>
          <w:sz w:val="20"/>
        </w:rPr>
      </w:pPr>
    </w:p>
    <w:p w14:paraId="634502C5" w14:textId="77777777" w:rsidR="007E586D" w:rsidRDefault="007E586D">
      <w:pPr>
        <w:pStyle w:val="BodyText"/>
        <w:spacing w:before="11"/>
        <w:rPr>
          <w:rFonts w:ascii="Arial"/>
          <w:b/>
          <w:sz w:val="2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7"/>
        <w:gridCol w:w="2141"/>
        <w:gridCol w:w="2662"/>
      </w:tblGrid>
      <w:tr w:rsidR="007E586D" w14:paraId="4FF35578" w14:textId="77777777">
        <w:trPr>
          <w:trHeight w:val="323"/>
        </w:trPr>
        <w:tc>
          <w:tcPr>
            <w:tcW w:w="3817" w:type="dxa"/>
            <w:shd w:val="clear" w:color="auto" w:fill="F1F1F1"/>
          </w:tcPr>
          <w:p w14:paraId="69883AF9" w14:textId="77777777" w:rsidR="007E586D" w:rsidRDefault="002652EA">
            <w:pPr>
              <w:pStyle w:val="TableParagraph"/>
              <w:spacing w:before="47" w:line="257" w:lineRule="exact"/>
              <w:ind w:left="108"/>
              <w:rPr>
                <w:rFonts w:ascii="Times New Roman"/>
                <w:b/>
                <w:sz w:val="24"/>
              </w:rPr>
            </w:pPr>
            <w:r>
              <w:rPr>
                <w:rFonts w:ascii="Times New Roman"/>
                <w:b/>
                <w:sz w:val="24"/>
              </w:rPr>
              <w:t>Description</w:t>
            </w:r>
          </w:p>
        </w:tc>
        <w:tc>
          <w:tcPr>
            <w:tcW w:w="2141" w:type="dxa"/>
            <w:shd w:val="clear" w:color="auto" w:fill="F1F1F1"/>
          </w:tcPr>
          <w:p w14:paraId="2A4B4284" w14:textId="77777777" w:rsidR="007E586D" w:rsidRDefault="002652EA">
            <w:pPr>
              <w:pStyle w:val="TableParagraph"/>
              <w:spacing w:before="47" w:line="257" w:lineRule="exact"/>
              <w:rPr>
                <w:rFonts w:ascii="Times New Roman"/>
                <w:b/>
                <w:sz w:val="24"/>
              </w:rPr>
            </w:pPr>
            <w:r>
              <w:rPr>
                <w:rFonts w:ascii="Times New Roman"/>
                <w:b/>
                <w:sz w:val="24"/>
              </w:rPr>
              <w:t>Date</w:t>
            </w:r>
          </w:p>
        </w:tc>
        <w:tc>
          <w:tcPr>
            <w:tcW w:w="2662" w:type="dxa"/>
            <w:shd w:val="clear" w:color="auto" w:fill="F1F1F1"/>
          </w:tcPr>
          <w:p w14:paraId="2443968D" w14:textId="77777777" w:rsidR="007E586D" w:rsidRDefault="002652EA">
            <w:pPr>
              <w:pStyle w:val="TableParagraph"/>
              <w:spacing w:before="47" w:line="257" w:lineRule="exact"/>
              <w:rPr>
                <w:rFonts w:ascii="Times New Roman"/>
                <w:b/>
                <w:sz w:val="24"/>
              </w:rPr>
            </w:pPr>
            <w:r>
              <w:rPr>
                <w:rFonts w:ascii="Times New Roman"/>
                <w:b/>
                <w:sz w:val="24"/>
              </w:rPr>
              <w:t>Author</w:t>
            </w:r>
          </w:p>
        </w:tc>
      </w:tr>
      <w:tr w:rsidR="007E586D" w14:paraId="31CCA442" w14:textId="77777777">
        <w:trPr>
          <w:trHeight w:val="647"/>
        </w:trPr>
        <w:tc>
          <w:tcPr>
            <w:tcW w:w="3817" w:type="dxa"/>
          </w:tcPr>
          <w:p w14:paraId="4522C9EA" w14:textId="77777777" w:rsidR="007E586D" w:rsidRDefault="002652EA">
            <w:pPr>
              <w:pStyle w:val="TableParagraph"/>
              <w:spacing w:before="42" w:line="247" w:lineRule="auto"/>
              <w:ind w:left="108"/>
              <w:rPr>
                <w:rFonts w:ascii="Times New Roman"/>
                <w:sz w:val="24"/>
              </w:rPr>
            </w:pPr>
            <w:r>
              <w:rPr>
                <w:rFonts w:ascii="Times New Roman"/>
                <w:sz w:val="24"/>
              </w:rPr>
              <w:t>Initial version of MD*1.0*16 release notes</w:t>
            </w:r>
          </w:p>
        </w:tc>
        <w:tc>
          <w:tcPr>
            <w:tcW w:w="2141" w:type="dxa"/>
          </w:tcPr>
          <w:p w14:paraId="62A8F05F" w14:textId="77777777" w:rsidR="007E586D" w:rsidRDefault="002652EA">
            <w:pPr>
              <w:pStyle w:val="TableParagraph"/>
              <w:spacing w:before="42"/>
              <w:rPr>
                <w:rFonts w:ascii="Times New Roman"/>
                <w:sz w:val="24"/>
              </w:rPr>
            </w:pPr>
            <w:r>
              <w:rPr>
                <w:rFonts w:ascii="Times New Roman"/>
                <w:sz w:val="24"/>
              </w:rPr>
              <w:t>October 2010</w:t>
            </w:r>
          </w:p>
        </w:tc>
        <w:tc>
          <w:tcPr>
            <w:tcW w:w="2662" w:type="dxa"/>
          </w:tcPr>
          <w:p w14:paraId="395FF87D" w14:textId="0D8226FE" w:rsidR="007E586D" w:rsidRDefault="002652EA">
            <w:pPr>
              <w:pStyle w:val="TableParagraph"/>
              <w:spacing w:before="48" w:line="261" w:lineRule="exact"/>
              <w:rPr>
                <w:rFonts w:ascii="Times New Roman"/>
                <w:sz w:val="24"/>
              </w:rPr>
            </w:pPr>
            <w:r w:rsidRPr="002652EA">
              <w:rPr>
                <w:rFonts w:ascii="Times New Roman"/>
                <w:sz w:val="24"/>
                <w:highlight w:val="yellow"/>
              </w:rPr>
              <w:t>REDACTED</w:t>
            </w:r>
          </w:p>
        </w:tc>
      </w:tr>
      <w:tr w:rsidR="007E586D" w14:paraId="4EBD8BAB" w14:textId="77777777">
        <w:trPr>
          <w:trHeight w:val="558"/>
        </w:trPr>
        <w:tc>
          <w:tcPr>
            <w:tcW w:w="3817" w:type="dxa"/>
          </w:tcPr>
          <w:p w14:paraId="12C65172" w14:textId="77777777" w:rsidR="007E586D" w:rsidRDefault="002652EA">
            <w:pPr>
              <w:pStyle w:val="TableParagraph"/>
              <w:spacing w:before="34" w:line="260" w:lineRule="atLeast"/>
              <w:ind w:left="108" w:right="186"/>
              <w:rPr>
                <w:rFonts w:ascii="Times New Roman"/>
              </w:rPr>
            </w:pPr>
            <w:r>
              <w:rPr>
                <w:rFonts w:ascii="Times New Roman"/>
              </w:rPr>
              <w:t>Updated Known Anomalies list and fixed several minor grammatical errors.</w:t>
            </w:r>
          </w:p>
        </w:tc>
        <w:tc>
          <w:tcPr>
            <w:tcW w:w="2141" w:type="dxa"/>
          </w:tcPr>
          <w:p w14:paraId="5D2F313E" w14:textId="77777777" w:rsidR="007E586D" w:rsidRDefault="002652EA">
            <w:pPr>
              <w:pStyle w:val="TableParagraph"/>
              <w:spacing w:before="42"/>
              <w:rPr>
                <w:rFonts w:ascii="Times New Roman"/>
                <w:sz w:val="24"/>
              </w:rPr>
            </w:pPr>
            <w:r>
              <w:rPr>
                <w:rFonts w:ascii="Times New Roman"/>
                <w:sz w:val="24"/>
              </w:rPr>
              <w:t>May 2011</w:t>
            </w:r>
          </w:p>
        </w:tc>
        <w:tc>
          <w:tcPr>
            <w:tcW w:w="2662" w:type="dxa"/>
          </w:tcPr>
          <w:p w14:paraId="76810584" w14:textId="59187C3E" w:rsidR="007E586D" w:rsidRDefault="002652EA">
            <w:pPr>
              <w:pStyle w:val="TableParagraph"/>
              <w:spacing w:before="42"/>
              <w:rPr>
                <w:rFonts w:ascii="Times New Roman"/>
                <w:sz w:val="24"/>
              </w:rPr>
            </w:pPr>
            <w:r w:rsidRPr="002652EA">
              <w:rPr>
                <w:rFonts w:ascii="Times New Roman"/>
                <w:sz w:val="24"/>
                <w:highlight w:val="yellow"/>
              </w:rPr>
              <w:t>REDACTED</w:t>
            </w:r>
          </w:p>
        </w:tc>
      </w:tr>
      <w:tr w:rsidR="007E586D" w14:paraId="04F25224" w14:textId="77777777">
        <w:trPr>
          <w:trHeight w:val="323"/>
        </w:trPr>
        <w:tc>
          <w:tcPr>
            <w:tcW w:w="3817" w:type="dxa"/>
          </w:tcPr>
          <w:p w14:paraId="58A3FC8E" w14:textId="77777777" w:rsidR="007E586D" w:rsidRDefault="007E586D">
            <w:pPr>
              <w:pStyle w:val="TableParagraph"/>
              <w:ind w:left="0"/>
              <w:rPr>
                <w:rFonts w:ascii="Times New Roman"/>
              </w:rPr>
            </w:pPr>
          </w:p>
        </w:tc>
        <w:tc>
          <w:tcPr>
            <w:tcW w:w="2141" w:type="dxa"/>
          </w:tcPr>
          <w:p w14:paraId="261CC0D5" w14:textId="77777777" w:rsidR="007E586D" w:rsidRDefault="007E586D">
            <w:pPr>
              <w:pStyle w:val="TableParagraph"/>
              <w:ind w:left="0"/>
              <w:rPr>
                <w:rFonts w:ascii="Times New Roman"/>
              </w:rPr>
            </w:pPr>
          </w:p>
        </w:tc>
        <w:tc>
          <w:tcPr>
            <w:tcW w:w="2662" w:type="dxa"/>
          </w:tcPr>
          <w:p w14:paraId="381E7EC6" w14:textId="77777777" w:rsidR="007E586D" w:rsidRDefault="007E586D">
            <w:pPr>
              <w:pStyle w:val="TableParagraph"/>
              <w:ind w:left="0"/>
              <w:rPr>
                <w:rFonts w:ascii="Times New Roman"/>
              </w:rPr>
            </w:pPr>
          </w:p>
        </w:tc>
      </w:tr>
      <w:tr w:rsidR="007E586D" w14:paraId="2D27EFE5" w14:textId="77777777">
        <w:trPr>
          <w:trHeight w:val="323"/>
        </w:trPr>
        <w:tc>
          <w:tcPr>
            <w:tcW w:w="3817" w:type="dxa"/>
          </w:tcPr>
          <w:p w14:paraId="5F45EB3E" w14:textId="77777777" w:rsidR="007E586D" w:rsidRDefault="007E586D">
            <w:pPr>
              <w:pStyle w:val="TableParagraph"/>
              <w:ind w:left="0"/>
              <w:rPr>
                <w:rFonts w:ascii="Times New Roman"/>
              </w:rPr>
            </w:pPr>
          </w:p>
        </w:tc>
        <w:tc>
          <w:tcPr>
            <w:tcW w:w="2141" w:type="dxa"/>
          </w:tcPr>
          <w:p w14:paraId="185EA442" w14:textId="77777777" w:rsidR="007E586D" w:rsidRDefault="007E586D">
            <w:pPr>
              <w:pStyle w:val="TableParagraph"/>
              <w:ind w:left="0"/>
              <w:rPr>
                <w:rFonts w:ascii="Times New Roman"/>
              </w:rPr>
            </w:pPr>
          </w:p>
        </w:tc>
        <w:tc>
          <w:tcPr>
            <w:tcW w:w="2662" w:type="dxa"/>
          </w:tcPr>
          <w:p w14:paraId="01D03FB0" w14:textId="77777777" w:rsidR="007E586D" w:rsidRDefault="007E586D">
            <w:pPr>
              <w:pStyle w:val="TableParagraph"/>
              <w:ind w:left="0"/>
              <w:rPr>
                <w:rFonts w:ascii="Times New Roman"/>
              </w:rPr>
            </w:pPr>
          </w:p>
        </w:tc>
      </w:tr>
    </w:tbl>
    <w:p w14:paraId="702AFD6E" w14:textId="77777777" w:rsidR="007E586D" w:rsidRDefault="007E586D">
      <w:pPr>
        <w:sectPr w:rsidR="007E586D">
          <w:footerReference w:type="default" r:id="rId7"/>
          <w:pgSz w:w="12240" w:h="15840"/>
          <w:pgMar w:top="1500" w:right="1340" w:bottom="1160" w:left="1220" w:header="0" w:footer="979" w:gutter="0"/>
          <w:cols w:space="720"/>
        </w:sectPr>
      </w:pPr>
    </w:p>
    <w:p w14:paraId="3C49629E" w14:textId="77777777" w:rsidR="007E586D" w:rsidRDefault="007E586D">
      <w:pPr>
        <w:pStyle w:val="BodyText"/>
        <w:spacing w:before="4"/>
        <w:rPr>
          <w:rFonts w:ascii="Arial"/>
          <w:b/>
          <w:sz w:val="17"/>
        </w:rPr>
      </w:pPr>
    </w:p>
    <w:p w14:paraId="66591266" w14:textId="77777777" w:rsidR="007E586D" w:rsidRDefault="007E586D">
      <w:pPr>
        <w:rPr>
          <w:rFonts w:ascii="Arial"/>
          <w:sz w:val="17"/>
        </w:rPr>
        <w:sectPr w:rsidR="007E586D">
          <w:footerReference w:type="default" r:id="rId8"/>
          <w:pgSz w:w="12240" w:h="15840"/>
          <w:pgMar w:top="1500" w:right="1340" w:bottom="1080" w:left="1220" w:header="0" w:footer="899" w:gutter="0"/>
          <w:cols w:space="720"/>
        </w:sectPr>
      </w:pPr>
    </w:p>
    <w:p w14:paraId="0223CC71" w14:textId="77777777" w:rsidR="007E586D" w:rsidRDefault="007E586D">
      <w:pPr>
        <w:pStyle w:val="BodyText"/>
        <w:spacing w:before="8"/>
        <w:rPr>
          <w:rFonts w:ascii="Arial"/>
          <w:b/>
          <w:sz w:val="8"/>
        </w:rPr>
      </w:pPr>
    </w:p>
    <w:p w14:paraId="3266C86B" w14:textId="77777777" w:rsidR="007E586D" w:rsidRDefault="002652EA">
      <w:pPr>
        <w:spacing w:before="88"/>
        <w:ind w:left="220"/>
        <w:rPr>
          <w:rFonts w:ascii="Arial"/>
          <w:b/>
          <w:sz w:val="36"/>
        </w:rPr>
      </w:pPr>
      <w:r>
        <w:rPr>
          <w:rFonts w:ascii="Arial"/>
          <w:b/>
          <w:sz w:val="36"/>
        </w:rPr>
        <w:t>Table of Contents</w:t>
      </w:r>
    </w:p>
    <w:sdt>
      <w:sdtPr>
        <w:rPr>
          <w:b/>
          <w:bCs/>
          <w:sz w:val="22"/>
          <w:szCs w:val="22"/>
        </w:rPr>
        <w:id w:val="1776672109"/>
        <w:docPartObj>
          <w:docPartGallery w:val="Table of Contents"/>
          <w:docPartUnique/>
        </w:docPartObj>
      </w:sdtPr>
      <w:sdtEndPr/>
      <w:sdtContent>
        <w:p w14:paraId="2C2381A6" w14:textId="77777777" w:rsidR="007E586D" w:rsidRDefault="00F37E5E">
          <w:pPr>
            <w:pStyle w:val="TOC1"/>
            <w:tabs>
              <w:tab w:val="right" w:leader="dot" w:pos="9572"/>
            </w:tabs>
            <w:spacing w:before="247"/>
          </w:pPr>
          <w:hyperlink w:anchor="_bookmark0" w:history="1">
            <w:r w:rsidR="002652EA">
              <w:t>Release Notes for</w:t>
            </w:r>
            <w:r w:rsidR="002652EA">
              <w:rPr>
                <w:spacing w:val="-4"/>
              </w:rPr>
              <w:t xml:space="preserve"> </w:t>
            </w:r>
            <w:r w:rsidR="002652EA">
              <w:t>Patch MD*1.0*16</w:t>
            </w:r>
            <w:r w:rsidR="002652EA">
              <w:tab/>
              <w:t>1</w:t>
            </w:r>
          </w:hyperlink>
        </w:p>
        <w:p w14:paraId="69318070" w14:textId="77777777" w:rsidR="007E586D" w:rsidRDefault="00F37E5E">
          <w:pPr>
            <w:pStyle w:val="TOC2"/>
            <w:tabs>
              <w:tab w:val="right" w:leader="dot" w:pos="9572"/>
            </w:tabs>
            <w:spacing w:before="11"/>
          </w:pPr>
          <w:hyperlink w:anchor="_bookmark1" w:history="1">
            <w:r w:rsidR="002652EA">
              <w:t>Overview</w:t>
            </w:r>
            <w:r w:rsidR="002652EA">
              <w:tab/>
              <w:t>1</w:t>
            </w:r>
          </w:hyperlink>
        </w:p>
        <w:p w14:paraId="2B193F4D" w14:textId="77777777" w:rsidR="007E586D" w:rsidRDefault="00F37E5E">
          <w:pPr>
            <w:pStyle w:val="TOC1"/>
            <w:tabs>
              <w:tab w:val="right" w:leader="dot" w:pos="9572"/>
            </w:tabs>
          </w:pPr>
          <w:hyperlink w:anchor="_bookmark2" w:history="1">
            <w:r w:rsidR="002652EA">
              <w:t>Patch</w:t>
            </w:r>
            <w:r w:rsidR="002652EA">
              <w:rPr>
                <w:spacing w:val="-1"/>
              </w:rPr>
              <w:t xml:space="preserve"> </w:t>
            </w:r>
            <w:r w:rsidR="002652EA">
              <w:t>MD*1.0*16 Features</w:t>
            </w:r>
            <w:r w:rsidR="002652EA">
              <w:tab/>
              <w:t>1</w:t>
            </w:r>
          </w:hyperlink>
        </w:p>
        <w:p w14:paraId="029E350F" w14:textId="77777777" w:rsidR="007E586D" w:rsidRDefault="00F37E5E">
          <w:pPr>
            <w:pStyle w:val="TOC2"/>
            <w:tabs>
              <w:tab w:val="right" w:leader="dot" w:pos="9572"/>
            </w:tabs>
            <w:spacing w:before="12"/>
          </w:pPr>
          <w:hyperlink w:anchor="_bookmark3" w:history="1">
            <w:r w:rsidR="002652EA">
              <w:t>Interface with Third Party Monitoring</w:t>
            </w:r>
            <w:r w:rsidR="002652EA">
              <w:rPr>
                <w:spacing w:val="1"/>
              </w:rPr>
              <w:t xml:space="preserve"> </w:t>
            </w:r>
            <w:r w:rsidR="002652EA">
              <w:t>Devices</w:t>
            </w:r>
            <w:r w:rsidR="002652EA">
              <w:tab/>
              <w:t>1</w:t>
            </w:r>
          </w:hyperlink>
        </w:p>
        <w:p w14:paraId="0A6629E3" w14:textId="77777777" w:rsidR="007E586D" w:rsidRDefault="00F37E5E">
          <w:pPr>
            <w:pStyle w:val="TOC2"/>
            <w:tabs>
              <w:tab w:val="right" w:leader="dot" w:pos="9572"/>
            </w:tabs>
          </w:pPr>
          <w:hyperlink w:anchor="_bookmark4" w:history="1">
            <w:r w:rsidR="002652EA">
              <w:t>Terminology</w:t>
            </w:r>
            <w:r w:rsidR="002652EA">
              <w:tab/>
              <w:t>1</w:t>
            </w:r>
          </w:hyperlink>
        </w:p>
        <w:p w14:paraId="0C61AE1B" w14:textId="77777777" w:rsidR="007E586D" w:rsidRDefault="00F37E5E">
          <w:pPr>
            <w:pStyle w:val="TOC2"/>
            <w:tabs>
              <w:tab w:val="right" w:leader="dot" w:pos="9572"/>
            </w:tabs>
          </w:pPr>
          <w:hyperlink w:anchor="_bookmark5" w:history="1">
            <w:r w:rsidR="002652EA">
              <w:t>GUI Flowsheets</w:t>
            </w:r>
            <w:r w:rsidR="002652EA">
              <w:tab/>
              <w:t>2</w:t>
            </w:r>
          </w:hyperlink>
        </w:p>
        <w:p w14:paraId="1A60F49A" w14:textId="77777777" w:rsidR="007E586D" w:rsidRDefault="00F37E5E">
          <w:pPr>
            <w:pStyle w:val="TOC2"/>
            <w:tabs>
              <w:tab w:val="right" w:leader="dot" w:pos="9572"/>
            </w:tabs>
          </w:pPr>
          <w:hyperlink w:anchor="_bookmark6" w:history="1">
            <w:r w:rsidR="002652EA">
              <w:t>ADT</w:t>
            </w:r>
            <w:r w:rsidR="002652EA">
              <w:rPr>
                <w:spacing w:val="-1"/>
              </w:rPr>
              <w:t xml:space="preserve"> </w:t>
            </w:r>
            <w:r w:rsidR="002652EA">
              <w:t>HL7 Message</w:t>
            </w:r>
            <w:r w:rsidR="002652EA">
              <w:tab/>
              <w:t>2</w:t>
            </w:r>
          </w:hyperlink>
        </w:p>
        <w:p w14:paraId="14948860" w14:textId="77777777" w:rsidR="007E586D" w:rsidRDefault="00F37E5E">
          <w:pPr>
            <w:pStyle w:val="TOC2"/>
            <w:tabs>
              <w:tab w:val="right" w:leader="dot" w:pos="9572"/>
            </w:tabs>
            <w:spacing w:before="7"/>
          </w:pPr>
          <w:hyperlink w:anchor="_bookmark7" w:history="1">
            <w:r w:rsidR="002652EA">
              <w:t>Manual Data Entry</w:t>
            </w:r>
            <w:r w:rsidR="002652EA">
              <w:tab/>
              <w:t>2</w:t>
            </w:r>
          </w:hyperlink>
        </w:p>
        <w:p w14:paraId="214081F3" w14:textId="77777777" w:rsidR="007E586D" w:rsidRDefault="00F37E5E">
          <w:pPr>
            <w:pStyle w:val="TOC2"/>
            <w:tabs>
              <w:tab w:val="right" w:leader="dot" w:pos="9572"/>
            </w:tabs>
          </w:pPr>
          <w:hyperlink w:anchor="_bookmark8" w:history="1">
            <w:r w:rsidR="002652EA">
              <w:t>Data to CPRS</w:t>
            </w:r>
            <w:r w:rsidR="002652EA">
              <w:tab/>
              <w:t>2</w:t>
            </w:r>
          </w:hyperlink>
        </w:p>
        <w:p w14:paraId="42C60E29" w14:textId="77777777" w:rsidR="007E586D" w:rsidRDefault="00F37E5E">
          <w:pPr>
            <w:pStyle w:val="TOC2"/>
            <w:tabs>
              <w:tab w:val="right" w:leader="dot" w:pos="9572"/>
            </w:tabs>
          </w:pPr>
          <w:hyperlink w:anchor="_bookmark9" w:history="1">
            <w:r w:rsidR="002652EA">
              <w:t>GUI Console</w:t>
            </w:r>
            <w:r w:rsidR="002652EA">
              <w:tab/>
              <w:t>2</w:t>
            </w:r>
          </w:hyperlink>
        </w:p>
        <w:p w14:paraId="431A0E4A" w14:textId="77777777" w:rsidR="007E586D" w:rsidRDefault="00F37E5E">
          <w:pPr>
            <w:pStyle w:val="TOC2"/>
            <w:tabs>
              <w:tab w:val="right" w:leader="dot" w:pos="9572"/>
            </w:tabs>
            <w:spacing w:before="7"/>
          </w:pPr>
          <w:hyperlink w:anchor="_bookmark10" w:history="1">
            <w:r w:rsidR="002652EA">
              <w:t>Background</w:t>
            </w:r>
            <w:r w:rsidR="002652EA">
              <w:rPr>
                <w:spacing w:val="-1"/>
              </w:rPr>
              <w:t xml:space="preserve"> </w:t>
            </w:r>
            <w:r w:rsidR="002652EA">
              <w:t>Tasks</w:t>
            </w:r>
            <w:r w:rsidR="002652EA">
              <w:tab/>
              <w:t>2</w:t>
            </w:r>
          </w:hyperlink>
        </w:p>
        <w:p w14:paraId="59A30D17" w14:textId="77777777" w:rsidR="007E586D" w:rsidRDefault="00F37E5E">
          <w:pPr>
            <w:pStyle w:val="TOC2"/>
            <w:tabs>
              <w:tab w:val="right" w:leader="dot" w:pos="9572"/>
            </w:tabs>
          </w:pPr>
          <w:hyperlink w:anchor="_bookmark11" w:history="1">
            <w:r w:rsidR="002652EA">
              <w:t>Gateway Service</w:t>
            </w:r>
            <w:r w:rsidR="002652EA">
              <w:tab/>
              <w:t>2</w:t>
            </w:r>
          </w:hyperlink>
        </w:p>
        <w:p w14:paraId="5F3A0DE2" w14:textId="77777777" w:rsidR="007E586D" w:rsidRDefault="00F37E5E">
          <w:pPr>
            <w:pStyle w:val="TOC1"/>
            <w:tabs>
              <w:tab w:val="right" w:leader="dot" w:pos="9572"/>
            </w:tabs>
          </w:pPr>
          <w:hyperlink w:anchor="_bookmark12" w:history="1">
            <w:r w:rsidR="002652EA">
              <w:t>Implementation</w:t>
            </w:r>
            <w:r w:rsidR="002652EA">
              <w:rPr>
                <w:spacing w:val="-1"/>
              </w:rPr>
              <w:t xml:space="preserve"> </w:t>
            </w:r>
            <w:r w:rsidR="002652EA">
              <w:t>Considerations</w:t>
            </w:r>
            <w:r w:rsidR="002652EA">
              <w:tab/>
              <w:t>3</w:t>
            </w:r>
          </w:hyperlink>
        </w:p>
        <w:p w14:paraId="513391D5" w14:textId="77777777" w:rsidR="007E586D" w:rsidRDefault="00F37E5E">
          <w:pPr>
            <w:pStyle w:val="TOC2"/>
            <w:tabs>
              <w:tab w:val="right" w:leader="dot" w:pos="9572"/>
            </w:tabs>
            <w:spacing w:before="12"/>
          </w:pPr>
          <w:hyperlink w:anchor="_bookmark13" w:history="1">
            <w:r w:rsidR="002652EA">
              <w:t>Installation</w:t>
            </w:r>
            <w:r w:rsidR="002652EA">
              <w:tab/>
              <w:t>3</w:t>
            </w:r>
          </w:hyperlink>
        </w:p>
        <w:p w14:paraId="426E8673" w14:textId="77777777" w:rsidR="007E586D" w:rsidRDefault="00F37E5E">
          <w:pPr>
            <w:pStyle w:val="TOC2"/>
            <w:tabs>
              <w:tab w:val="right" w:leader="dot" w:pos="9572"/>
            </w:tabs>
          </w:pPr>
          <w:hyperlink w:anchor="_bookmark14" w:history="1">
            <w:r w:rsidR="002652EA">
              <w:t>Validated Patient Monitoring Devices</w:t>
            </w:r>
            <w:r w:rsidR="002652EA">
              <w:tab/>
              <w:t>3</w:t>
            </w:r>
          </w:hyperlink>
        </w:p>
        <w:p w14:paraId="2528BD19" w14:textId="77777777" w:rsidR="007E586D" w:rsidRDefault="00F37E5E">
          <w:pPr>
            <w:pStyle w:val="TOC2"/>
            <w:tabs>
              <w:tab w:val="right" w:leader="dot" w:pos="9572"/>
            </w:tabs>
          </w:pPr>
          <w:hyperlink w:anchor="_bookmark15" w:history="1">
            <w:r w:rsidR="002652EA">
              <w:t>Additional Medical</w:t>
            </w:r>
            <w:r w:rsidR="002652EA">
              <w:rPr>
                <w:spacing w:val="1"/>
              </w:rPr>
              <w:t xml:space="preserve"> </w:t>
            </w:r>
            <w:r w:rsidR="002652EA">
              <w:t>Monitoring Devices</w:t>
            </w:r>
            <w:r w:rsidR="002652EA">
              <w:tab/>
              <w:t>4</w:t>
            </w:r>
          </w:hyperlink>
        </w:p>
        <w:p w14:paraId="26EB4153" w14:textId="77777777" w:rsidR="007E586D" w:rsidRDefault="00F37E5E">
          <w:pPr>
            <w:pStyle w:val="TOC2"/>
            <w:tabs>
              <w:tab w:val="right" w:leader="dot" w:pos="9572"/>
            </w:tabs>
          </w:pPr>
          <w:hyperlink w:anchor="_bookmark16" w:history="1">
            <w:r w:rsidR="002652EA">
              <w:t>List of</w:t>
            </w:r>
            <w:r w:rsidR="002652EA">
              <w:rPr>
                <w:spacing w:val="4"/>
              </w:rPr>
              <w:t xml:space="preserve"> </w:t>
            </w:r>
            <w:r w:rsidR="002652EA">
              <w:t>Outstanding Anomalies</w:t>
            </w:r>
            <w:r w:rsidR="002652EA">
              <w:tab/>
              <w:t>5</w:t>
            </w:r>
          </w:hyperlink>
        </w:p>
      </w:sdtContent>
    </w:sdt>
    <w:p w14:paraId="2A35CD71" w14:textId="77777777" w:rsidR="007E586D" w:rsidRDefault="007E586D">
      <w:pPr>
        <w:sectPr w:rsidR="007E586D">
          <w:footerReference w:type="default" r:id="rId9"/>
          <w:pgSz w:w="12240" w:h="15840"/>
          <w:pgMar w:top="1500" w:right="1340" w:bottom="1160" w:left="1220" w:header="0" w:footer="979" w:gutter="0"/>
          <w:cols w:space="720"/>
        </w:sectPr>
      </w:pPr>
    </w:p>
    <w:p w14:paraId="6D173C0B" w14:textId="77777777" w:rsidR="007E586D" w:rsidRDefault="002652EA">
      <w:pPr>
        <w:spacing w:before="225"/>
        <w:ind w:left="878" w:right="759"/>
        <w:jc w:val="center"/>
        <w:rPr>
          <w:i/>
          <w:sz w:val="24"/>
        </w:rPr>
      </w:pPr>
      <w:r>
        <w:rPr>
          <w:i/>
          <w:sz w:val="24"/>
        </w:rPr>
        <w:lastRenderedPageBreak/>
        <w:t>This page intentionally left blank for double-sided printing.</w:t>
      </w:r>
    </w:p>
    <w:p w14:paraId="2F676397" w14:textId="77777777" w:rsidR="007E586D" w:rsidRDefault="007E586D">
      <w:pPr>
        <w:pStyle w:val="BodyText"/>
        <w:rPr>
          <w:i/>
          <w:sz w:val="22"/>
        </w:rPr>
      </w:pPr>
    </w:p>
    <w:p w14:paraId="2C64596B" w14:textId="77777777" w:rsidR="007E586D" w:rsidRDefault="007E586D">
      <w:pPr>
        <w:pStyle w:val="BodyText"/>
        <w:rPr>
          <w:i/>
          <w:sz w:val="22"/>
        </w:rPr>
      </w:pPr>
    </w:p>
    <w:p w14:paraId="20C7353D" w14:textId="77777777" w:rsidR="007E586D" w:rsidRDefault="007E586D">
      <w:pPr>
        <w:pStyle w:val="BodyText"/>
        <w:rPr>
          <w:i/>
          <w:sz w:val="22"/>
        </w:rPr>
      </w:pPr>
    </w:p>
    <w:p w14:paraId="1552370F" w14:textId="77777777" w:rsidR="007E586D" w:rsidRDefault="007E586D">
      <w:pPr>
        <w:pStyle w:val="BodyText"/>
        <w:rPr>
          <w:i/>
          <w:sz w:val="22"/>
        </w:rPr>
      </w:pPr>
    </w:p>
    <w:p w14:paraId="0E170262" w14:textId="77777777" w:rsidR="007E586D" w:rsidRDefault="007E586D">
      <w:pPr>
        <w:pStyle w:val="BodyText"/>
        <w:rPr>
          <w:i/>
          <w:sz w:val="22"/>
        </w:rPr>
      </w:pPr>
    </w:p>
    <w:p w14:paraId="23C32B77" w14:textId="77777777" w:rsidR="007E586D" w:rsidRDefault="007E586D">
      <w:pPr>
        <w:pStyle w:val="BodyText"/>
        <w:rPr>
          <w:i/>
          <w:sz w:val="22"/>
        </w:rPr>
      </w:pPr>
    </w:p>
    <w:p w14:paraId="1167411C" w14:textId="77777777" w:rsidR="007E586D" w:rsidRDefault="007E586D">
      <w:pPr>
        <w:pStyle w:val="BodyText"/>
        <w:rPr>
          <w:i/>
          <w:sz w:val="22"/>
        </w:rPr>
      </w:pPr>
    </w:p>
    <w:p w14:paraId="41399096" w14:textId="77777777" w:rsidR="007E586D" w:rsidRDefault="007E586D">
      <w:pPr>
        <w:pStyle w:val="BodyText"/>
        <w:rPr>
          <w:i/>
          <w:sz w:val="22"/>
        </w:rPr>
      </w:pPr>
    </w:p>
    <w:p w14:paraId="586C93EC" w14:textId="77777777" w:rsidR="007E586D" w:rsidRDefault="007E586D">
      <w:pPr>
        <w:pStyle w:val="BodyText"/>
        <w:rPr>
          <w:i/>
          <w:sz w:val="22"/>
        </w:rPr>
      </w:pPr>
    </w:p>
    <w:p w14:paraId="58739EDF" w14:textId="77777777" w:rsidR="007E586D" w:rsidRDefault="007E586D">
      <w:pPr>
        <w:pStyle w:val="BodyText"/>
        <w:rPr>
          <w:i/>
          <w:sz w:val="22"/>
        </w:rPr>
      </w:pPr>
    </w:p>
    <w:p w14:paraId="66A2BE8E" w14:textId="77777777" w:rsidR="007E586D" w:rsidRDefault="007E586D">
      <w:pPr>
        <w:pStyle w:val="BodyText"/>
        <w:rPr>
          <w:i/>
          <w:sz w:val="22"/>
        </w:rPr>
      </w:pPr>
    </w:p>
    <w:p w14:paraId="0C753CDC" w14:textId="77777777" w:rsidR="007E586D" w:rsidRDefault="007E586D">
      <w:pPr>
        <w:pStyle w:val="BodyText"/>
        <w:rPr>
          <w:i/>
          <w:sz w:val="22"/>
        </w:rPr>
      </w:pPr>
    </w:p>
    <w:p w14:paraId="08AC6D49" w14:textId="77777777" w:rsidR="007E586D" w:rsidRDefault="007E586D">
      <w:pPr>
        <w:pStyle w:val="BodyText"/>
        <w:rPr>
          <w:i/>
          <w:sz w:val="22"/>
        </w:rPr>
      </w:pPr>
    </w:p>
    <w:p w14:paraId="59E9472F" w14:textId="77777777" w:rsidR="007E586D" w:rsidRDefault="007E586D">
      <w:pPr>
        <w:pStyle w:val="BodyText"/>
        <w:rPr>
          <w:i/>
          <w:sz w:val="22"/>
        </w:rPr>
      </w:pPr>
    </w:p>
    <w:p w14:paraId="655CC2B8" w14:textId="77777777" w:rsidR="007E586D" w:rsidRDefault="007E586D">
      <w:pPr>
        <w:pStyle w:val="BodyText"/>
        <w:rPr>
          <w:i/>
          <w:sz w:val="22"/>
        </w:rPr>
      </w:pPr>
    </w:p>
    <w:p w14:paraId="32A6F538" w14:textId="77777777" w:rsidR="007E586D" w:rsidRDefault="007E586D">
      <w:pPr>
        <w:pStyle w:val="BodyText"/>
        <w:rPr>
          <w:i/>
          <w:sz w:val="22"/>
        </w:rPr>
      </w:pPr>
    </w:p>
    <w:p w14:paraId="4A1A4028" w14:textId="77777777" w:rsidR="007E586D" w:rsidRDefault="007E586D">
      <w:pPr>
        <w:pStyle w:val="BodyText"/>
        <w:rPr>
          <w:i/>
          <w:sz w:val="22"/>
        </w:rPr>
      </w:pPr>
    </w:p>
    <w:p w14:paraId="6C1C1E10" w14:textId="77777777" w:rsidR="007E586D" w:rsidRDefault="007E586D">
      <w:pPr>
        <w:pStyle w:val="BodyText"/>
        <w:rPr>
          <w:i/>
          <w:sz w:val="22"/>
        </w:rPr>
      </w:pPr>
    </w:p>
    <w:p w14:paraId="0DBA3C5C" w14:textId="77777777" w:rsidR="007E586D" w:rsidRDefault="007E586D">
      <w:pPr>
        <w:pStyle w:val="BodyText"/>
        <w:rPr>
          <w:i/>
          <w:sz w:val="22"/>
        </w:rPr>
      </w:pPr>
    </w:p>
    <w:p w14:paraId="3CAA424E" w14:textId="77777777" w:rsidR="007E586D" w:rsidRDefault="007E586D">
      <w:pPr>
        <w:pStyle w:val="BodyText"/>
        <w:rPr>
          <w:i/>
          <w:sz w:val="22"/>
        </w:rPr>
      </w:pPr>
    </w:p>
    <w:p w14:paraId="6ABE7C9B" w14:textId="77777777" w:rsidR="007E586D" w:rsidRDefault="007E586D">
      <w:pPr>
        <w:pStyle w:val="BodyText"/>
        <w:rPr>
          <w:i/>
          <w:sz w:val="22"/>
        </w:rPr>
      </w:pPr>
    </w:p>
    <w:p w14:paraId="28BF3115" w14:textId="77777777" w:rsidR="007E586D" w:rsidRDefault="007E586D">
      <w:pPr>
        <w:pStyle w:val="BodyText"/>
        <w:rPr>
          <w:i/>
          <w:sz w:val="22"/>
        </w:rPr>
      </w:pPr>
    </w:p>
    <w:p w14:paraId="49CAC640" w14:textId="77777777" w:rsidR="007E586D" w:rsidRDefault="007E586D">
      <w:pPr>
        <w:pStyle w:val="BodyText"/>
        <w:rPr>
          <w:i/>
          <w:sz w:val="22"/>
        </w:rPr>
      </w:pPr>
    </w:p>
    <w:p w14:paraId="03245401" w14:textId="77777777" w:rsidR="007E586D" w:rsidRDefault="007E586D">
      <w:pPr>
        <w:pStyle w:val="BodyText"/>
        <w:rPr>
          <w:i/>
          <w:sz w:val="22"/>
        </w:rPr>
      </w:pPr>
    </w:p>
    <w:p w14:paraId="23B75A2B" w14:textId="77777777" w:rsidR="007E586D" w:rsidRDefault="007E586D">
      <w:pPr>
        <w:pStyle w:val="BodyText"/>
        <w:rPr>
          <w:i/>
          <w:sz w:val="22"/>
        </w:rPr>
      </w:pPr>
    </w:p>
    <w:p w14:paraId="4C0AF91E" w14:textId="77777777" w:rsidR="007E586D" w:rsidRDefault="007E586D">
      <w:pPr>
        <w:pStyle w:val="BodyText"/>
        <w:rPr>
          <w:i/>
          <w:sz w:val="22"/>
        </w:rPr>
      </w:pPr>
    </w:p>
    <w:p w14:paraId="5C03C80B" w14:textId="77777777" w:rsidR="007E586D" w:rsidRDefault="007E586D">
      <w:pPr>
        <w:pStyle w:val="BodyText"/>
        <w:rPr>
          <w:i/>
          <w:sz w:val="22"/>
        </w:rPr>
      </w:pPr>
    </w:p>
    <w:p w14:paraId="181E272A" w14:textId="77777777" w:rsidR="007E586D" w:rsidRDefault="007E586D">
      <w:pPr>
        <w:pStyle w:val="BodyText"/>
        <w:rPr>
          <w:i/>
          <w:sz w:val="22"/>
        </w:rPr>
      </w:pPr>
    </w:p>
    <w:p w14:paraId="57D12F94" w14:textId="77777777" w:rsidR="007E586D" w:rsidRDefault="007E586D">
      <w:pPr>
        <w:pStyle w:val="BodyText"/>
        <w:rPr>
          <w:i/>
          <w:sz w:val="22"/>
        </w:rPr>
      </w:pPr>
    </w:p>
    <w:p w14:paraId="0F1B18E2" w14:textId="77777777" w:rsidR="007E586D" w:rsidRDefault="007E586D">
      <w:pPr>
        <w:pStyle w:val="BodyText"/>
        <w:rPr>
          <w:i/>
          <w:sz w:val="22"/>
        </w:rPr>
      </w:pPr>
    </w:p>
    <w:p w14:paraId="1D9660F5" w14:textId="77777777" w:rsidR="007E586D" w:rsidRDefault="007E586D">
      <w:pPr>
        <w:pStyle w:val="BodyText"/>
        <w:rPr>
          <w:i/>
          <w:sz w:val="22"/>
        </w:rPr>
      </w:pPr>
    </w:p>
    <w:p w14:paraId="2D125C17" w14:textId="77777777" w:rsidR="007E586D" w:rsidRDefault="007E586D">
      <w:pPr>
        <w:pStyle w:val="BodyText"/>
        <w:rPr>
          <w:i/>
          <w:sz w:val="22"/>
        </w:rPr>
      </w:pPr>
    </w:p>
    <w:p w14:paraId="3463A3F7" w14:textId="77777777" w:rsidR="007E586D" w:rsidRDefault="007E586D">
      <w:pPr>
        <w:pStyle w:val="BodyText"/>
        <w:rPr>
          <w:i/>
          <w:sz w:val="22"/>
        </w:rPr>
      </w:pPr>
    </w:p>
    <w:p w14:paraId="6D960AC0" w14:textId="77777777" w:rsidR="007E586D" w:rsidRDefault="007E586D">
      <w:pPr>
        <w:pStyle w:val="BodyText"/>
        <w:rPr>
          <w:i/>
          <w:sz w:val="22"/>
        </w:rPr>
      </w:pPr>
    </w:p>
    <w:p w14:paraId="302767A7" w14:textId="77777777" w:rsidR="007E586D" w:rsidRDefault="007E586D">
      <w:pPr>
        <w:pStyle w:val="BodyText"/>
        <w:rPr>
          <w:i/>
          <w:sz w:val="22"/>
        </w:rPr>
      </w:pPr>
    </w:p>
    <w:p w14:paraId="72C04DE7" w14:textId="77777777" w:rsidR="007E586D" w:rsidRDefault="007E586D">
      <w:pPr>
        <w:pStyle w:val="BodyText"/>
        <w:rPr>
          <w:i/>
          <w:sz w:val="22"/>
        </w:rPr>
      </w:pPr>
    </w:p>
    <w:p w14:paraId="567987C2" w14:textId="77777777" w:rsidR="007E586D" w:rsidRDefault="007E586D">
      <w:pPr>
        <w:pStyle w:val="BodyText"/>
        <w:rPr>
          <w:i/>
          <w:sz w:val="22"/>
        </w:rPr>
      </w:pPr>
    </w:p>
    <w:p w14:paraId="0F5A0C99" w14:textId="77777777" w:rsidR="007E586D" w:rsidRDefault="007E586D">
      <w:pPr>
        <w:pStyle w:val="BodyText"/>
        <w:rPr>
          <w:i/>
          <w:sz w:val="22"/>
        </w:rPr>
      </w:pPr>
    </w:p>
    <w:p w14:paraId="0CA20B5F" w14:textId="77777777" w:rsidR="007E586D" w:rsidRDefault="007E586D">
      <w:pPr>
        <w:pStyle w:val="BodyText"/>
        <w:rPr>
          <w:i/>
          <w:sz w:val="22"/>
        </w:rPr>
      </w:pPr>
    </w:p>
    <w:p w14:paraId="3F9B016C" w14:textId="77777777" w:rsidR="007E586D" w:rsidRDefault="007E586D">
      <w:pPr>
        <w:pStyle w:val="BodyText"/>
        <w:rPr>
          <w:i/>
          <w:sz w:val="22"/>
        </w:rPr>
      </w:pPr>
    </w:p>
    <w:p w14:paraId="389251C5" w14:textId="77777777" w:rsidR="007E586D" w:rsidRDefault="007E586D">
      <w:pPr>
        <w:pStyle w:val="BodyText"/>
        <w:rPr>
          <w:i/>
          <w:sz w:val="22"/>
        </w:rPr>
      </w:pPr>
    </w:p>
    <w:p w14:paraId="6057BB9F" w14:textId="77777777" w:rsidR="007E586D" w:rsidRDefault="007E586D">
      <w:pPr>
        <w:pStyle w:val="BodyText"/>
        <w:rPr>
          <w:i/>
          <w:sz w:val="22"/>
        </w:rPr>
      </w:pPr>
    </w:p>
    <w:p w14:paraId="20C5A06D" w14:textId="77777777" w:rsidR="007E586D" w:rsidRDefault="007E586D">
      <w:pPr>
        <w:pStyle w:val="BodyText"/>
        <w:rPr>
          <w:i/>
          <w:sz w:val="22"/>
        </w:rPr>
      </w:pPr>
    </w:p>
    <w:p w14:paraId="58A82B05" w14:textId="77777777" w:rsidR="007E586D" w:rsidRDefault="007E586D">
      <w:pPr>
        <w:pStyle w:val="BodyText"/>
        <w:rPr>
          <w:i/>
          <w:sz w:val="22"/>
        </w:rPr>
      </w:pPr>
    </w:p>
    <w:p w14:paraId="46874C36" w14:textId="77777777" w:rsidR="007E586D" w:rsidRDefault="007E586D">
      <w:pPr>
        <w:pStyle w:val="BodyText"/>
        <w:rPr>
          <w:i/>
          <w:sz w:val="22"/>
        </w:rPr>
      </w:pPr>
    </w:p>
    <w:p w14:paraId="4F8394F3" w14:textId="77777777" w:rsidR="007E586D" w:rsidRDefault="007E586D">
      <w:pPr>
        <w:pStyle w:val="BodyText"/>
        <w:rPr>
          <w:i/>
          <w:sz w:val="22"/>
        </w:rPr>
      </w:pPr>
    </w:p>
    <w:p w14:paraId="05F6063F" w14:textId="77777777" w:rsidR="007E586D" w:rsidRDefault="007E586D">
      <w:pPr>
        <w:pStyle w:val="BodyText"/>
        <w:rPr>
          <w:i/>
          <w:sz w:val="22"/>
        </w:rPr>
      </w:pPr>
    </w:p>
    <w:p w14:paraId="4A5A5BCE" w14:textId="77777777" w:rsidR="007E586D" w:rsidRDefault="007E586D">
      <w:pPr>
        <w:pStyle w:val="BodyText"/>
        <w:rPr>
          <w:i/>
          <w:sz w:val="22"/>
        </w:rPr>
      </w:pPr>
    </w:p>
    <w:p w14:paraId="0780BB2A" w14:textId="77777777" w:rsidR="007E586D" w:rsidRDefault="007E586D">
      <w:pPr>
        <w:pStyle w:val="BodyText"/>
        <w:spacing w:before="4"/>
        <w:rPr>
          <w:i/>
        </w:rPr>
      </w:pPr>
    </w:p>
    <w:p w14:paraId="7098FF1D" w14:textId="77777777" w:rsidR="007E586D" w:rsidRDefault="002652EA">
      <w:pPr>
        <w:tabs>
          <w:tab w:val="left" w:pos="2334"/>
          <w:tab w:val="left" w:pos="8045"/>
        </w:tabs>
        <w:ind w:left="220"/>
        <w:rPr>
          <w:sz w:val="20"/>
        </w:rPr>
      </w:pPr>
      <w:r>
        <w:rPr>
          <w:sz w:val="20"/>
        </w:rPr>
        <w:t>iv</w:t>
      </w:r>
      <w:r>
        <w:rPr>
          <w:sz w:val="20"/>
        </w:rPr>
        <w:tab/>
        <w:t>Clinical Procedures (CP) V1.0</w:t>
      </w:r>
      <w:r>
        <w:rPr>
          <w:spacing w:val="-13"/>
          <w:sz w:val="20"/>
        </w:rPr>
        <w:t xml:space="preserve"> </w:t>
      </w:r>
      <w:r>
        <w:rPr>
          <w:sz w:val="20"/>
        </w:rPr>
        <w:t>Flowsheets</w:t>
      </w:r>
      <w:r>
        <w:rPr>
          <w:spacing w:val="-5"/>
          <w:sz w:val="20"/>
        </w:rPr>
        <w:t xml:space="preserve"> </w:t>
      </w:r>
      <w:r>
        <w:rPr>
          <w:sz w:val="20"/>
        </w:rPr>
        <w:t>Module</w:t>
      </w:r>
      <w:r>
        <w:rPr>
          <w:sz w:val="20"/>
        </w:rPr>
        <w:tab/>
        <w:t>May</w:t>
      </w:r>
      <w:r>
        <w:rPr>
          <w:spacing w:val="-3"/>
          <w:sz w:val="20"/>
        </w:rPr>
        <w:t xml:space="preserve"> </w:t>
      </w:r>
      <w:r>
        <w:rPr>
          <w:sz w:val="20"/>
        </w:rPr>
        <w:t>2011</w:t>
      </w:r>
    </w:p>
    <w:p w14:paraId="387FF8F7" w14:textId="77777777" w:rsidR="007E586D" w:rsidRDefault="007E586D">
      <w:pPr>
        <w:rPr>
          <w:sz w:val="20"/>
        </w:rPr>
        <w:sectPr w:rsidR="007E586D">
          <w:footerReference w:type="default" r:id="rId10"/>
          <w:pgSz w:w="12240" w:h="15840"/>
          <w:pgMar w:top="1500" w:right="1340" w:bottom="1100" w:left="1220" w:header="0" w:footer="906" w:gutter="0"/>
          <w:cols w:space="720"/>
        </w:sectPr>
      </w:pPr>
    </w:p>
    <w:p w14:paraId="207EF845" w14:textId="77777777" w:rsidR="007E586D" w:rsidRDefault="007E586D">
      <w:pPr>
        <w:pStyle w:val="BodyText"/>
        <w:rPr>
          <w:sz w:val="20"/>
        </w:rPr>
      </w:pPr>
    </w:p>
    <w:p w14:paraId="42072F0E" w14:textId="77777777" w:rsidR="007E586D" w:rsidRDefault="002652EA">
      <w:pPr>
        <w:pStyle w:val="Heading1"/>
        <w:spacing w:before="241"/>
      </w:pPr>
      <w:bookmarkStart w:id="0" w:name="_bookmark0"/>
      <w:bookmarkEnd w:id="0"/>
      <w:r>
        <w:t>Release Notes for Patch MD*1.0*16</w:t>
      </w:r>
    </w:p>
    <w:p w14:paraId="28A50A92" w14:textId="77777777" w:rsidR="007E586D" w:rsidRDefault="002652EA">
      <w:pPr>
        <w:pStyle w:val="BodyText"/>
        <w:spacing w:before="247" w:line="247" w:lineRule="auto"/>
        <w:ind w:left="220" w:right="122"/>
      </w:pPr>
      <w:r>
        <w:t>Patch MD*1.0*16 releases a new Veterans Health Information Systems and Technology Architecture (VistA) system consisting of graphical user interface (GUI) components, and is comprised of three GUI components: Clinical Procedures (CP) Gateway Service, CP Console, and CP Flowsheets.</w:t>
      </w:r>
    </w:p>
    <w:p w14:paraId="5E935EC0" w14:textId="77777777" w:rsidR="007E586D" w:rsidRDefault="002652EA">
      <w:pPr>
        <w:pStyle w:val="BodyText"/>
        <w:spacing w:before="54" w:line="244" w:lineRule="auto"/>
        <w:ind w:left="940" w:right="122" w:hanging="360"/>
      </w:pPr>
      <w:r>
        <w:rPr>
          <w:noProof/>
          <w:position w:val="-5"/>
        </w:rPr>
        <w:drawing>
          <wp:inline distT="0" distB="0" distL="0" distR="0" wp14:anchorId="0F68A635" wp14:editId="3CBCFE0B">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The CP Gateway Service application allows third party vendor devices to send observational data to the VistA CP system for display and reporting. VistA HL7 messaging receives the data passed from the devices to VistA, and passes that data in</w:t>
      </w:r>
      <w:r>
        <w:rPr>
          <w:spacing w:val="-27"/>
        </w:rPr>
        <w:t xml:space="preserve"> </w:t>
      </w:r>
      <w:r>
        <w:t>turn to VistA</w:t>
      </w:r>
      <w:r>
        <w:rPr>
          <w:spacing w:val="-1"/>
        </w:rPr>
        <w:t xml:space="preserve"> </w:t>
      </w:r>
      <w:r>
        <w:t>CP.</w:t>
      </w:r>
    </w:p>
    <w:p w14:paraId="56A6D22D" w14:textId="77777777" w:rsidR="007E586D" w:rsidRDefault="002652EA">
      <w:pPr>
        <w:pStyle w:val="BodyText"/>
        <w:spacing w:before="123" w:line="244" w:lineRule="auto"/>
        <w:ind w:left="940" w:hanging="360"/>
      </w:pPr>
      <w:r>
        <w:rPr>
          <w:noProof/>
          <w:position w:val="-5"/>
        </w:rPr>
        <w:drawing>
          <wp:inline distT="0" distB="0" distL="0" distR="0" wp14:anchorId="396ACE14" wp14:editId="5170A630">
            <wp:extent cx="140207"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CP Console provides the tools to administer the Clinical Procedures (CP) package. </w:t>
      </w:r>
      <w:r>
        <w:rPr>
          <w:spacing w:val="-3"/>
        </w:rPr>
        <w:t>It</w:t>
      </w:r>
      <w:r>
        <w:rPr>
          <w:spacing w:val="-17"/>
        </w:rPr>
        <w:t xml:space="preserve"> </w:t>
      </w:r>
      <w:r>
        <w:t xml:space="preserve">will provide facilities to develop flowsheet views, totals, and flowsheets themselves. </w:t>
      </w:r>
      <w:r>
        <w:rPr>
          <w:spacing w:val="-3"/>
        </w:rPr>
        <w:t xml:space="preserve">It </w:t>
      </w:r>
      <w:r>
        <w:t>also provides the ability to administer legacy CP procedures and</w:t>
      </w:r>
      <w:r>
        <w:rPr>
          <w:spacing w:val="-22"/>
        </w:rPr>
        <w:t xml:space="preserve"> </w:t>
      </w:r>
      <w:r>
        <w:t>devices.</w:t>
      </w:r>
    </w:p>
    <w:p w14:paraId="58D9EDCD" w14:textId="77777777" w:rsidR="007E586D" w:rsidRDefault="002652EA">
      <w:pPr>
        <w:pStyle w:val="BodyText"/>
        <w:spacing w:before="119" w:line="244" w:lineRule="auto"/>
        <w:ind w:left="940" w:right="122" w:hanging="360"/>
      </w:pPr>
      <w:r>
        <w:rPr>
          <w:noProof/>
          <w:position w:val="-5"/>
        </w:rPr>
        <w:drawing>
          <wp:inline distT="0" distB="0" distL="0" distR="0" wp14:anchorId="69A45FDE" wp14:editId="61FEBF15">
            <wp:extent cx="140207"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CP Flowsheets provides an electronic format for the traditional paper flowsheet maintained during each inpatient stay. </w:t>
      </w:r>
      <w:r>
        <w:rPr>
          <w:spacing w:val="-3"/>
        </w:rPr>
        <w:t xml:space="preserve">It </w:t>
      </w:r>
      <w:r>
        <w:t>provides functionality such as data entry</w:t>
      </w:r>
      <w:r>
        <w:rPr>
          <w:spacing w:val="-36"/>
        </w:rPr>
        <w:t xml:space="preserve"> </w:t>
      </w:r>
      <w:r>
        <w:t>and validation, and HL7 error mitigation for</w:t>
      </w:r>
      <w:r>
        <w:rPr>
          <w:spacing w:val="-3"/>
        </w:rPr>
        <w:t xml:space="preserve"> </w:t>
      </w:r>
      <w:r>
        <w:t>CP.</w:t>
      </w:r>
    </w:p>
    <w:p w14:paraId="3B84A910" w14:textId="77777777" w:rsidR="007E586D" w:rsidRDefault="007E586D">
      <w:pPr>
        <w:pStyle w:val="BodyText"/>
        <w:spacing w:before="6"/>
        <w:rPr>
          <w:sz w:val="26"/>
        </w:rPr>
      </w:pPr>
    </w:p>
    <w:p w14:paraId="6B56B19D" w14:textId="77777777" w:rsidR="007E586D" w:rsidRDefault="002652EA">
      <w:pPr>
        <w:pStyle w:val="Heading2"/>
      </w:pPr>
      <w:bookmarkStart w:id="1" w:name="_bookmark1"/>
      <w:bookmarkEnd w:id="1"/>
      <w:r>
        <w:t>Overview</w:t>
      </w:r>
    </w:p>
    <w:p w14:paraId="77E8B5F7" w14:textId="77777777" w:rsidR="007E586D" w:rsidRDefault="002652EA">
      <w:pPr>
        <w:pStyle w:val="BodyText"/>
        <w:spacing w:before="246" w:line="247" w:lineRule="auto"/>
        <w:ind w:left="220"/>
      </w:pPr>
      <w:r>
        <w:t>MD*1.0*16 provides an interface with which to collect and store patient observation information from Intensive Care Unit (ICU) monitoring devices.</w:t>
      </w:r>
    </w:p>
    <w:p w14:paraId="3599AE28" w14:textId="77777777" w:rsidR="007E586D" w:rsidRDefault="007E586D">
      <w:pPr>
        <w:pStyle w:val="BodyText"/>
        <w:spacing w:before="5"/>
      </w:pPr>
    </w:p>
    <w:p w14:paraId="63BAFDE2" w14:textId="34382A28" w:rsidR="007E586D" w:rsidRDefault="002652EA">
      <w:pPr>
        <w:pStyle w:val="BodyText"/>
        <w:spacing w:line="247" w:lineRule="auto"/>
        <w:ind w:left="220" w:right="98"/>
        <w:jc w:val="both"/>
      </w:pPr>
      <w:r>
        <w:t>MD*1.0*16 is also capable of publishing validated information retrieved from third party</w:t>
      </w:r>
      <w:r>
        <w:rPr>
          <w:spacing w:val="-28"/>
        </w:rPr>
        <w:t xml:space="preserve"> </w:t>
      </w:r>
      <w:r>
        <w:t>devices in the Clinical Reminders Index. This is accomplished using the CP Gateway Service and the new Clinical Observations (CliO) service</w:t>
      </w:r>
      <w:r>
        <w:rPr>
          <w:spacing w:val="-2"/>
        </w:rPr>
        <w:t xml:space="preserve"> </w:t>
      </w:r>
      <w:r>
        <w:t>infrastructure.</w:t>
      </w:r>
    </w:p>
    <w:p w14:paraId="17AAC0A3" w14:textId="77777777" w:rsidR="007E586D" w:rsidRDefault="007E586D">
      <w:pPr>
        <w:pStyle w:val="BodyText"/>
        <w:spacing w:before="2"/>
        <w:rPr>
          <w:sz w:val="21"/>
        </w:rPr>
      </w:pPr>
    </w:p>
    <w:p w14:paraId="0CACF885" w14:textId="77777777" w:rsidR="007E586D" w:rsidRDefault="002652EA">
      <w:pPr>
        <w:pStyle w:val="Heading1"/>
        <w:spacing w:before="0"/>
      </w:pPr>
      <w:bookmarkStart w:id="2" w:name="_bookmark2"/>
      <w:bookmarkEnd w:id="2"/>
      <w:r>
        <w:t>Patch MD*1.0*16 Features</w:t>
      </w:r>
    </w:p>
    <w:p w14:paraId="62C6CED8" w14:textId="77777777" w:rsidR="007E586D" w:rsidRDefault="002652EA">
      <w:pPr>
        <w:pStyle w:val="BodyText"/>
        <w:spacing w:before="247"/>
        <w:ind w:left="220"/>
        <w:jc w:val="both"/>
      </w:pPr>
      <w:r>
        <w:t>Patch MD*1.0*16 includes several features.</w:t>
      </w:r>
    </w:p>
    <w:p w14:paraId="7FFA2E13" w14:textId="77777777" w:rsidR="007E586D" w:rsidRDefault="007E586D">
      <w:pPr>
        <w:pStyle w:val="BodyText"/>
        <w:spacing w:before="9"/>
        <w:rPr>
          <w:sz w:val="21"/>
        </w:rPr>
      </w:pPr>
    </w:p>
    <w:p w14:paraId="3BC6878A" w14:textId="77777777" w:rsidR="007E586D" w:rsidRDefault="002652EA">
      <w:pPr>
        <w:pStyle w:val="Heading2"/>
      </w:pPr>
      <w:bookmarkStart w:id="3" w:name="_bookmark3"/>
      <w:bookmarkEnd w:id="3"/>
      <w:r>
        <w:t>Interface with Third Party Monitoring Devices</w:t>
      </w:r>
    </w:p>
    <w:p w14:paraId="4A4A7DB1" w14:textId="77777777" w:rsidR="007E586D" w:rsidRDefault="002652EA">
      <w:pPr>
        <w:pStyle w:val="BodyText"/>
        <w:spacing w:before="245" w:line="247" w:lineRule="auto"/>
        <w:ind w:left="220" w:right="295"/>
      </w:pPr>
      <w:r>
        <w:t>MD*1.0*16 provides an interface for the collection of patient observational data from monitoring devices. The collected data is stored automatically in the appropriate VistA database(s).</w:t>
      </w:r>
    </w:p>
    <w:p w14:paraId="26C4D0DC" w14:textId="77777777" w:rsidR="007E586D" w:rsidRDefault="007E586D">
      <w:pPr>
        <w:pStyle w:val="BodyText"/>
        <w:spacing w:before="11"/>
        <w:rPr>
          <w:sz w:val="20"/>
        </w:rPr>
      </w:pPr>
    </w:p>
    <w:p w14:paraId="678D4E6D" w14:textId="77777777" w:rsidR="007E586D" w:rsidRDefault="002652EA">
      <w:pPr>
        <w:pStyle w:val="Heading2"/>
      </w:pPr>
      <w:bookmarkStart w:id="4" w:name="_bookmark4"/>
      <w:bookmarkEnd w:id="4"/>
      <w:r>
        <w:t>Terminology</w:t>
      </w:r>
    </w:p>
    <w:p w14:paraId="3306A8E1" w14:textId="77777777" w:rsidR="007E586D" w:rsidRDefault="002652EA">
      <w:pPr>
        <w:pStyle w:val="BodyText"/>
        <w:spacing w:before="246" w:line="247" w:lineRule="auto"/>
        <w:ind w:left="220"/>
      </w:pPr>
      <w:r>
        <w:t>MD*1.0*16 provides standardized terminology with VA Unique Identifiers (VUIDs). This facilitates exporting CliO data to other VA systems that use standardized terminology.</w:t>
      </w:r>
    </w:p>
    <w:p w14:paraId="21898E31" w14:textId="77777777" w:rsidR="007E586D" w:rsidRDefault="007E586D">
      <w:pPr>
        <w:spacing w:line="247" w:lineRule="auto"/>
        <w:sectPr w:rsidR="007E586D">
          <w:footerReference w:type="default" r:id="rId12"/>
          <w:pgSz w:w="12240" w:h="15840"/>
          <w:pgMar w:top="1500" w:right="1340" w:bottom="1160" w:left="1220" w:header="0" w:footer="979" w:gutter="0"/>
          <w:cols w:space="720"/>
        </w:sectPr>
      </w:pPr>
    </w:p>
    <w:p w14:paraId="3520A819" w14:textId="77777777" w:rsidR="007E586D" w:rsidRDefault="002652EA">
      <w:pPr>
        <w:pStyle w:val="Heading2"/>
        <w:spacing w:before="65"/>
      </w:pPr>
      <w:bookmarkStart w:id="5" w:name="_bookmark5"/>
      <w:bookmarkEnd w:id="5"/>
      <w:r>
        <w:lastRenderedPageBreak/>
        <w:t>GUI Flowsheets</w:t>
      </w:r>
    </w:p>
    <w:p w14:paraId="40DD86B2" w14:textId="77777777" w:rsidR="007E586D" w:rsidRDefault="002652EA">
      <w:pPr>
        <w:pStyle w:val="BodyText"/>
        <w:spacing w:before="245" w:line="247" w:lineRule="auto"/>
        <w:ind w:left="220" w:right="295"/>
      </w:pPr>
      <w:r>
        <w:t>CP Flowsheets utilizes locally-customizable flowsheets to view, enter, and edit patient data entered manually or received via the CliO infrastructure. Ultimately, this application will provide the front-end for other clinical systems, such as the Renal Dialysis, and Intake and Output (I&amp;O) packages.</w:t>
      </w:r>
    </w:p>
    <w:p w14:paraId="0D853CAC" w14:textId="77777777" w:rsidR="007E586D" w:rsidRDefault="007E586D">
      <w:pPr>
        <w:pStyle w:val="BodyText"/>
        <w:spacing w:before="9"/>
        <w:rPr>
          <w:sz w:val="20"/>
        </w:rPr>
      </w:pPr>
    </w:p>
    <w:p w14:paraId="4B755C70" w14:textId="77777777" w:rsidR="007E586D" w:rsidRDefault="002652EA">
      <w:pPr>
        <w:pStyle w:val="Heading2"/>
      </w:pPr>
      <w:bookmarkStart w:id="6" w:name="_bookmark6"/>
      <w:bookmarkEnd w:id="6"/>
      <w:r>
        <w:t>ADT HL7 Message</w:t>
      </w:r>
    </w:p>
    <w:p w14:paraId="7068193D" w14:textId="77777777" w:rsidR="007E586D" w:rsidRDefault="002652EA">
      <w:pPr>
        <w:pStyle w:val="BodyText"/>
        <w:spacing w:before="246" w:line="247" w:lineRule="auto"/>
        <w:ind w:left="220"/>
      </w:pPr>
      <w:r>
        <w:t>CP Flowsheets introduces an Admission Discharge and Transfer (ADT) Health Level 7 (HL7) message feed. The ADT feed monitors the admitted, discharged, and transferred events from the Patient Information Management System (PIMS) and notifies interested patient medical monitoring devices.</w:t>
      </w:r>
    </w:p>
    <w:p w14:paraId="649D3038" w14:textId="77777777" w:rsidR="007E586D" w:rsidRDefault="007E586D">
      <w:pPr>
        <w:pStyle w:val="BodyText"/>
        <w:spacing w:before="9"/>
        <w:rPr>
          <w:sz w:val="20"/>
        </w:rPr>
      </w:pPr>
    </w:p>
    <w:p w14:paraId="7D4FC64E" w14:textId="77777777" w:rsidR="007E586D" w:rsidRDefault="002652EA">
      <w:pPr>
        <w:pStyle w:val="Heading2"/>
        <w:spacing w:before="1"/>
      </w:pPr>
      <w:bookmarkStart w:id="7" w:name="_bookmark7"/>
      <w:bookmarkEnd w:id="7"/>
      <w:r>
        <w:t>Manual Data Entry</w:t>
      </w:r>
    </w:p>
    <w:p w14:paraId="7877A91A" w14:textId="09FEE19C" w:rsidR="007E586D" w:rsidRDefault="002652EA">
      <w:pPr>
        <w:pStyle w:val="BodyText"/>
        <w:spacing w:before="245" w:line="247" w:lineRule="auto"/>
        <w:ind w:left="220" w:right="122"/>
      </w:pPr>
      <w:r>
        <w:t>CP Flowsheets allows you to manually enter data personally observed by clinical staff or collected by monitors that are not able to electronically send that information.</w:t>
      </w:r>
    </w:p>
    <w:p w14:paraId="219F3392" w14:textId="77777777" w:rsidR="007E586D" w:rsidRDefault="007E586D">
      <w:pPr>
        <w:pStyle w:val="BodyText"/>
        <w:rPr>
          <w:sz w:val="21"/>
        </w:rPr>
      </w:pPr>
    </w:p>
    <w:p w14:paraId="738A3BE2" w14:textId="77777777" w:rsidR="007E586D" w:rsidRDefault="002652EA">
      <w:pPr>
        <w:pStyle w:val="Heading2"/>
      </w:pPr>
      <w:bookmarkStart w:id="8" w:name="_bookmark8"/>
      <w:bookmarkEnd w:id="8"/>
      <w:r>
        <w:t>Data to CPRS</w:t>
      </w:r>
    </w:p>
    <w:p w14:paraId="192830C2" w14:textId="77777777" w:rsidR="007E586D" w:rsidRDefault="002652EA">
      <w:pPr>
        <w:pStyle w:val="BodyText"/>
        <w:spacing w:before="246" w:line="247" w:lineRule="auto"/>
        <w:ind w:left="220" w:right="136"/>
      </w:pPr>
      <w:r>
        <w:t>MD*1.0*16 is capable of publishing data to CPRS in two ways. Vitals observations entered into the CliO service architecture is directly viewable in Vitals/Vitals Lite in the Computerized Patient Record System (CPRS). All other observational data entered may be published in a Text Integration Utilities (TIU) note, which is then viewable in CPRS.</w:t>
      </w:r>
    </w:p>
    <w:p w14:paraId="35E34C6F" w14:textId="77777777" w:rsidR="007E586D" w:rsidRDefault="007E586D">
      <w:pPr>
        <w:pStyle w:val="BodyText"/>
        <w:spacing w:before="9"/>
        <w:rPr>
          <w:sz w:val="20"/>
        </w:rPr>
      </w:pPr>
    </w:p>
    <w:p w14:paraId="6BF7FC83" w14:textId="77777777" w:rsidR="007E586D" w:rsidRDefault="002652EA">
      <w:pPr>
        <w:pStyle w:val="Heading2"/>
      </w:pPr>
      <w:bookmarkStart w:id="9" w:name="_bookmark9"/>
      <w:bookmarkEnd w:id="9"/>
      <w:r>
        <w:t>GUI Console</w:t>
      </w:r>
    </w:p>
    <w:p w14:paraId="239F24A7" w14:textId="77777777" w:rsidR="007E586D" w:rsidRDefault="002652EA">
      <w:pPr>
        <w:pStyle w:val="BodyText"/>
        <w:spacing w:before="246" w:line="247" w:lineRule="auto"/>
        <w:ind w:left="220" w:right="122"/>
      </w:pPr>
      <w:r>
        <w:t>CP Console is a user-friendly GUI with which you can configure system parameters and patient medical monitoring devices, schedule background tasks and shifts, and design flowsheet templates to meet site-specific requirements.</w:t>
      </w:r>
    </w:p>
    <w:p w14:paraId="2B4DE646" w14:textId="77777777" w:rsidR="007E586D" w:rsidRDefault="007E586D">
      <w:pPr>
        <w:pStyle w:val="BodyText"/>
        <w:spacing w:before="9"/>
        <w:rPr>
          <w:sz w:val="20"/>
        </w:rPr>
      </w:pPr>
    </w:p>
    <w:p w14:paraId="6687C978" w14:textId="77777777" w:rsidR="007E586D" w:rsidRDefault="002652EA">
      <w:pPr>
        <w:pStyle w:val="Heading2"/>
        <w:spacing w:before="1"/>
      </w:pPr>
      <w:bookmarkStart w:id="10" w:name="_bookmark10"/>
      <w:bookmarkEnd w:id="10"/>
      <w:r>
        <w:t>Background Tasks</w:t>
      </w:r>
    </w:p>
    <w:p w14:paraId="0248E9B9" w14:textId="77777777" w:rsidR="007E586D" w:rsidRDefault="002652EA">
      <w:pPr>
        <w:pStyle w:val="BodyText"/>
        <w:spacing w:before="245" w:line="247" w:lineRule="auto"/>
        <w:ind w:left="220"/>
      </w:pPr>
      <w:r>
        <w:t>CP Console provides specific background tasks to purge and clean up the system with regard to processed flowsheet data and legacy CP studies.</w:t>
      </w:r>
    </w:p>
    <w:p w14:paraId="423B0B9D" w14:textId="77777777" w:rsidR="007E586D" w:rsidRDefault="007E586D">
      <w:pPr>
        <w:pStyle w:val="BodyText"/>
        <w:rPr>
          <w:sz w:val="21"/>
        </w:rPr>
      </w:pPr>
    </w:p>
    <w:p w14:paraId="6E3962B9" w14:textId="77777777" w:rsidR="007E586D" w:rsidRDefault="002652EA">
      <w:pPr>
        <w:pStyle w:val="Heading2"/>
      </w:pPr>
      <w:bookmarkStart w:id="11" w:name="_bookmark11"/>
      <w:bookmarkEnd w:id="11"/>
      <w:r>
        <w:t>Gateway Service</w:t>
      </w:r>
    </w:p>
    <w:p w14:paraId="2A8D3823" w14:textId="77777777" w:rsidR="007E586D" w:rsidRDefault="002652EA">
      <w:pPr>
        <w:pStyle w:val="BodyText"/>
        <w:spacing w:before="246" w:line="247" w:lineRule="auto"/>
        <w:ind w:left="220"/>
      </w:pPr>
      <w:r>
        <w:t>The new CP Gateway Service is a service that allows patient monitoring devices to send observational data to VistA.</w:t>
      </w:r>
    </w:p>
    <w:p w14:paraId="06AF63F8" w14:textId="77777777" w:rsidR="007E586D" w:rsidRDefault="007E586D">
      <w:pPr>
        <w:spacing w:line="247" w:lineRule="auto"/>
        <w:sectPr w:rsidR="007E586D">
          <w:footerReference w:type="default" r:id="rId13"/>
          <w:pgSz w:w="12240" w:h="15840"/>
          <w:pgMar w:top="1380" w:right="1340" w:bottom="1160" w:left="1220" w:header="0" w:footer="979" w:gutter="0"/>
          <w:cols w:space="720"/>
        </w:sectPr>
      </w:pPr>
    </w:p>
    <w:p w14:paraId="119ADEFD" w14:textId="77777777" w:rsidR="007E586D" w:rsidRDefault="002652EA">
      <w:pPr>
        <w:pStyle w:val="Heading1"/>
        <w:spacing w:before="68"/>
      </w:pPr>
      <w:bookmarkStart w:id="12" w:name="_bookmark12"/>
      <w:bookmarkEnd w:id="12"/>
      <w:r>
        <w:lastRenderedPageBreak/>
        <w:t>Implementation Considerations</w:t>
      </w:r>
    </w:p>
    <w:p w14:paraId="7D6944BB" w14:textId="77777777" w:rsidR="007E586D" w:rsidRDefault="007E586D">
      <w:pPr>
        <w:pStyle w:val="BodyText"/>
        <w:spacing w:before="7"/>
        <w:rPr>
          <w:rFonts w:ascii="Arial"/>
          <w:b/>
          <w:sz w:val="42"/>
        </w:rPr>
      </w:pPr>
    </w:p>
    <w:p w14:paraId="4A7EBC4F" w14:textId="77777777" w:rsidR="007E586D" w:rsidRDefault="002652EA">
      <w:pPr>
        <w:pStyle w:val="Heading2"/>
      </w:pPr>
      <w:bookmarkStart w:id="13" w:name="_bookmark13"/>
      <w:bookmarkEnd w:id="13"/>
      <w:r>
        <w:t>Installation</w:t>
      </w:r>
    </w:p>
    <w:p w14:paraId="7B0AFEA2" w14:textId="77777777" w:rsidR="007E586D" w:rsidRDefault="002652EA">
      <w:pPr>
        <w:spacing w:before="246" w:line="247" w:lineRule="auto"/>
        <w:ind w:left="220"/>
        <w:rPr>
          <w:sz w:val="24"/>
        </w:rPr>
      </w:pPr>
      <w:r>
        <w:rPr>
          <w:sz w:val="24"/>
        </w:rPr>
        <w:t xml:space="preserve">To install patch MD*1.0*16, follow the </w:t>
      </w:r>
      <w:r>
        <w:rPr>
          <w:i/>
          <w:sz w:val="24"/>
        </w:rPr>
        <w:t xml:space="preserve">Clinical Procedures (CP) V1.0 Flowsheets Module Installation Guide </w:t>
      </w:r>
      <w:r>
        <w:rPr>
          <w:sz w:val="24"/>
        </w:rPr>
        <w:t>carefully. Although part of CP, CP Flowsheets is independent of CP User, CP Manager, CP Gateway, and CP Hemodialysis.</w:t>
      </w:r>
    </w:p>
    <w:p w14:paraId="6FD7882E" w14:textId="77777777" w:rsidR="007E586D" w:rsidRDefault="002652EA">
      <w:pPr>
        <w:pStyle w:val="BodyText"/>
        <w:spacing w:before="55" w:line="242" w:lineRule="auto"/>
        <w:ind w:left="940" w:right="295" w:hanging="360"/>
      </w:pPr>
      <w:r>
        <w:rPr>
          <w:noProof/>
          <w:position w:val="-5"/>
        </w:rPr>
        <w:drawing>
          <wp:inline distT="0" distB="0" distL="0" distR="0" wp14:anchorId="04F57701" wp14:editId="57E303D4">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Vitals patches GMRV*5.0*22, GMRV*5.0*23, and MD*1.0*21 must be installed </w:t>
      </w:r>
      <w:r>
        <w:rPr>
          <w:spacing w:val="-3"/>
        </w:rPr>
        <w:t xml:space="preserve">prior </w:t>
      </w:r>
      <w:r>
        <w:t>to the installation of the MD*1.0*16</w:t>
      </w:r>
      <w:r>
        <w:rPr>
          <w:spacing w:val="-4"/>
        </w:rPr>
        <w:t xml:space="preserve"> </w:t>
      </w:r>
      <w:r>
        <w:t>software.</w:t>
      </w:r>
    </w:p>
    <w:p w14:paraId="3A904C51" w14:textId="77777777" w:rsidR="007E586D" w:rsidRDefault="002652EA">
      <w:pPr>
        <w:spacing w:before="124"/>
        <w:ind w:left="580"/>
        <w:rPr>
          <w:sz w:val="24"/>
        </w:rPr>
      </w:pPr>
      <w:r>
        <w:rPr>
          <w:noProof/>
          <w:position w:val="-5"/>
        </w:rPr>
        <w:drawing>
          <wp:inline distT="0" distB="0" distL="0" distR="0" wp14:anchorId="3B16CB23" wp14:editId="747BBF80">
            <wp:extent cx="140207"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rPr>
          <w:sz w:val="24"/>
        </w:rPr>
        <w:t xml:space="preserve">MD*1.0*16 includes </w:t>
      </w:r>
      <w:r>
        <w:rPr>
          <w:i/>
          <w:sz w:val="24"/>
        </w:rPr>
        <w:t xml:space="preserve">pre-install </w:t>
      </w:r>
      <w:r>
        <w:rPr>
          <w:sz w:val="24"/>
        </w:rPr>
        <w:t xml:space="preserve">routine MDPRE16 and </w:t>
      </w:r>
      <w:r>
        <w:rPr>
          <w:i/>
          <w:sz w:val="24"/>
        </w:rPr>
        <w:t xml:space="preserve">post-install </w:t>
      </w:r>
      <w:r>
        <w:rPr>
          <w:sz w:val="24"/>
        </w:rPr>
        <w:t>routine</w:t>
      </w:r>
      <w:r>
        <w:rPr>
          <w:spacing w:val="-6"/>
          <w:sz w:val="24"/>
        </w:rPr>
        <w:t xml:space="preserve"> </w:t>
      </w:r>
      <w:r>
        <w:rPr>
          <w:sz w:val="24"/>
        </w:rPr>
        <w:t>MDPOST16.</w:t>
      </w:r>
    </w:p>
    <w:p w14:paraId="4CCC7FCA" w14:textId="77777777" w:rsidR="007E586D" w:rsidRDefault="002652EA">
      <w:pPr>
        <w:pStyle w:val="BodyText"/>
        <w:spacing w:before="4"/>
        <w:ind w:left="940"/>
      </w:pPr>
      <w:r>
        <w:t>Verify that these routines are complete before attempting to use CP Flowsheets.</w:t>
      </w:r>
    </w:p>
    <w:p w14:paraId="5C4F4358" w14:textId="77777777" w:rsidR="007E586D" w:rsidRDefault="007E586D">
      <w:pPr>
        <w:pStyle w:val="BodyText"/>
        <w:rPr>
          <w:sz w:val="27"/>
        </w:rPr>
      </w:pPr>
    </w:p>
    <w:p w14:paraId="67D77470" w14:textId="77777777" w:rsidR="007E586D" w:rsidRDefault="002652EA">
      <w:pPr>
        <w:pStyle w:val="Heading2"/>
      </w:pPr>
      <w:bookmarkStart w:id="14" w:name="_bookmark14"/>
      <w:bookmarkEnd w:id="14"/>
      <w:r>
        <w:t>Validated Patient Monitoring Devices</w:t>
      </w:r>
    </w:p>
    <w:p w14:paraId="4F9AD4FD" w14:textId="77777777" w:rsidR="007E586D" w:rsidRDefault="002652EA">
      <w:pPr>
        <w:pStyle w:val="BodyText"/>
        <w:spacing w:before="246" w:line="247" w:lineRule="auto"/>
        <w:ind w:left="220"/>
      </w:pPr>
      <w:r>
        <w:t>A supported device is one that has its data elements mapped to the standard terminology of the CliO database. The following devices are currently supported:</w:t>
      </w:r>
    </w:p>
    <w:p w14:paraId="01E9C1C2" w14:textId="77777777" w:rsidR="007E586D" w:rsidRDefault="007E586D">
      <w:pPr>
        <w:pStyle w:val="BodyText"/>
        <w:spacing w:before="6"/>
        <w:rPr>
          <w:sz w:val="29"/>
        </w:rPr>
      </w:pPr>
    </w:p>
    <w:p w14:paraId="7FBAECC4" w14:textId="77777777" w:rsidR="007E586D" w:rsidRDefault="002652EA">
      <w:pPr>
        <w:pStyle w:val="BodyText"/>
        <w:spacing w:line="338" w:lineRule="auto"/>
        <w:ind w:left="580" w:right="5338"/>
      </w:pPr>
      <w:r>
        <w:rPr>
          <w:noProof/>
          <w:position w:val="-5"/>
        </w:rPr>
        <w:drawing>
          <wp:inline distT="0" distB="0" distL="0" distR="0" wp14:anchorId="4A6E7DC5" wp14:editId="0BDBDA8B">
            <wp:extent cx="140207"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Intesys Clinical</w:t>
      </w:r>
      <w:r>
        <w:rPr>
          <w:spacing w:val="1"/>
        </w:rPr>
        <w:t xml:space="preserve"> </w:t>
      </w:r>
      <w:r>
        <w:t xml:space="preserve">Suite </w:t>
      </w:r>
      <w:r>
        <w:rPr>
          <w:spacing w:val="-3"/>
        </w:rPr>
        <w:t>(Spacelabs)</w:t>
      </w:r>
      <w:r>
        <w:t xml:space="preserve"> </w:t>
      </w:r>
      <w:r>
        <w:rPr>
          <w:noProof/>
          <w:position w:val="-5"/>
        </w:rPr>
        <w:drawing>
          <wp:inline distT="0" distB="0" distL="0" distR="0" wp14:anchorId="0C5BB029" wp14:editId="3481C812">
            <wp:extent cx="140207"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PC1</w:t>
      </w:r>
      <w:r>
        <w:rPr>
          <w:spacing w:val="-1"/>
        </w:rPr>
        <w:t xml:space="preserve"> </w:t>
      </w:r>
      <w:r>
        <w:t>(Spacelabs)</w:t>
      </w:r>
    </w:p>
    <w:p w14:paraId="411A0B60" w14:textId="77777777" w:rsidR="007E586D" w:rsidRDefault="002652EA">
      <w:pPr>
        <w:pStyle w:val="BodyText"/>
        <w:spacing w:before="3"/>
        <w:ind w:left="580"/>
      </w:pPr>
      <w:r>
        <w:rPr>
          <w:noProof/>
          <w:position w:val="-5"/>
        </w:rPr>
        <w:drawing>
          <wp:inline distT="0" distB="0" distL="0" distR="0" wp14:anchorId="71E536B3" wp14:editId="01705AE8">
            <wp:extent cx="140207"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PC2</w:t>
      </w:r>
      <w:r>
        <w:rPr>
          <w:spacing w:val="-4"/>
        </w:rPr>
        <w:t xml:space="preserve"> </w:t>
      </w:r>
      <w:r>
        <w:t>(Spacelabs)</w:t>
      </w:r>
    </w:p>
    <w:p w14:paraId="1F332922" w14:textId="77777777" w:rsidR="007E586D" w:rsidRDefault="002652EA">
      <w:pPr>
        <w:pStyle w:val="BodyText"/>
        <w:spacing w:before="122"/>
        <w:ind w:left="580"/>
      </w:pPr>
      <w:r>
        <w:rPr>
          <w:noProof/>
          <w:position w:val="-5"/>
        </w:rPr>
        <w:drawing>
          <wp:inline distT="0" distB="0" distL="0" distR="0" wp14:anchorId="4E5C1CB8" wp14:editId="3EC69FA7">
            <wp:extent cx="140207"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Ultraview 1050</w:t>
      </w:r>
      <w:r>
        <w:rPr>
          <w:spacing w:val="-8"/>
        </w:rPr>
        <w:t xml:space="preserve"> </w:t>
      </w:r>
      <w:r>
        <w:t>(Spacelabs)</w:t>
      </w:r>
    </w:p>
    <w:p w14:paraId="08BDCD3B" w14:textId="77777777" w:rsidR="007E586D" w:rsidRDefault="002652EA">
      <w:pPr>
        <w:pStyle w:val="BodyText"/>
        <w:spacing w:before="123"/>
        <w:ind w:left="580"/>
      </w:pPr>
      <w:r>
        <w:rPr>
          <w:noProof/>
          <w:position w:val="-5"/>
        </w:rPr>
        <w:drawing>
          <wp:inline distT="0" distB="0" distL="0" distR="0" wp14:anchorId="64E7A2AE" wp14:editId="2558E553">
            <wp:extent cx="140207"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Ultraview 1600</w:t>
      </w:r>
      <w:r>
        <w:rPr>
          <w:spacing w:val="-8"/>
        </w:rPr>
        <w:t xml:space="preserve"> </w:t>
      </w:r>
      <w:r>
        <w:t>(Spacelabs)</w:t>
      </w:r>
    </w:p>
    <w:p w14:paraId="7476F5AC" w14:textId="77777777" w:rsidR="007E586D" w:rsidRDefault="002652EA">
      <w:pPr>
        <w:pStyle w:val="BodyText"/>
        <w:spacing w:before="122" w:line="338" w:lineRule="auto"/>
        <w:ind w:left="580" w:right="5787"/>
      </w:pPr>
      <w:r>
        <w:rPr>
          <w:noProof/>
          <w:position w:val="-5"/>
        </w:rPr>
        <w:drawing>
          <wp:inline distT="0" distB="0" distL="0" distR="0" wp14:anchorId="5E625B25" wp14:editId="7E4F8AE8">
            <wp:extent cx="140207" cy="18745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Ultraview</w:t>
      </w:r>
      <w:r>
        <w:rPr>
          <w:spacing w:val="-5"/>
        </w:rPr>
        <w:t xml:space="preserve"> </w:t>
      </w:r>
      <w:r>
        <w:t>1700</w:t>
      </w:r>
      <w:r>
        <w:rPr>
          <w:spacing w:val="-3"/>
        </w:rPr>
        <w:t xml:space="preserve"> </w:t>
      </w:r>
      <w:r>
        <w:t xml:space="preserve">(Spacelabs)  </w:t>
      </w:r>
      <w:r>
        <w:rPr>
          <w:noProof/>
          <w:position w:val="-5"/>
        </w:rPr>
        <w:drawing>
          <wp:inline distT="0" distB="0" distL="0" distR="0" wp14:anchorId="4C90D8C5" wp14:editId="6BD8EC62">
            <wp:extent cx="140207"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w:t>
      </w:r>
      <w:r>
        <w:rPr>
          <w:spacing w:val="2"/>
        </w:rPr>
        <w:t xml:space="preserve"> </w:t>
      </w:r>
      <w:r>
        <w:t>SL2200</w:t>
      </w:r>
      <w:r>
        <w:rPr>
          <w:spacing w:val="4"/>
        </w:rPr>
        <w:t xml:space="preserve"> </w:t>
      </w:r>
      <w:r>
        <w:rPr>
          <w:spacing w:val="-3"/>
        </w:rPr>
        <w:t>(Spacelabs)</w:t>
      </w:r>
      <w:r>
        <w:t xml:space="preserve"> </w:t>
      </w:r>
      <w:r>
        <w:rPr>
          <w:noProof/>
          <w:position w:val="-5"/>
        </w:rPr>
        <w:drawing>
          <wp:inline distT="0" distB="0" distL="0" distR="0" wp14:anchorId="7BF15E3D" wp14:editId="75B94710">
            <wp:extent cx="140207"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w:t>
      </w:r>
      <w:r>
        <w:rPr>
          <w:spacing w:val="2"/>
        </w:rPr>
        <w:t xml:space="preserve"> </w:t>
      </w:r>
      <w:r>
        <w:t>SL2400</w:t>
      </w:r>
      <w:r>
        <w:rPr>
          <w:spacing w:val="4"/>
        </w:rPr>
        <w:t xml:space="preserve"> </w:t>
      </w:r>
      <w:r>
        <w:rPr>
          <w:spacing w:val="-3"/>
        </w:rPr>
        <w:t>(Spacelabs)</w:t>
      </w:r>
      <w:r>
        <w:t xml:space="preserve"> </w:t>
      </w:r>
      <w:r>
        <w:rPr>
          <w:noProof/>
          <w:position w:val="-5"/>
        </w:rPr>
        <w:drawing>
          <wp:inline distT="0" distB="0" distL="0" distR="0" wp14:anchorId="5FE82938" wp14:editId="688245A6">
            <wp:extent cx="140207" cy="18745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w:t>
      </w:r>
      <w:r>
        <w:rPr>
          <w:spacing w:val="2"/>
        </w:rPr>
        <w:t xml:space="preserve"> </w:t>
      </w:r>
      <w:r>
        <w:t>SL2600</w:t>
      </w:r>
      <w:r>
        <w:rPr>
          <w:spacing w:val="5"/>
        </w:rPr>
        <w:t xml:space="preserve"> </w:t>
      </w:r>
      <w:r>
        <w:rPr>
          <w:spacing w:val="-3"/>
        </w:rPr>
        <w:t>(Spacelabs)</w:t>
      </w:r>
      <w:r>
        <w:t xml:space="preserve"> </w:t>
      </w:r>
      <w:r>
        <w:rPr>
          <w:noProof/>
          <w:position w:val="-5"/>
        </w:rPr>
        <w:drawing>
          <wp:inline distT="0" distB="0" distL="0" distR="0" wp14:anchorId="68B6D841" wp14:editId="4993257B">
            <wp:extent cx="140207" cy="18745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w:t>
      </w:r>
      <w:r>
        <w:rPr>
          <w:spacing w:val="2"/>
        </w:rPr>
        <w:t xml:space="preserve"> </w:t>
      </w:r>
      <w:r>
        <w:t>SL2700</w:t>
      </w:r>
      <w:r>
        <w:rPr>
          <w:spacing w:val="4"/>
        </w:rPr>
        <w:t xml:space="preserve"> </w:t>
      </w:r>
      <w:r>
        <w:rPr>
          <w:spacing w:val="-3"/>
        </w:rPr>
        <w:t>(Spacelabs)</w:t>
      </w:r>
      <w:r>
        <w:t xml:space="preserve"> </w:t>
      </w:r>
      <w:r>
        <w:rPr>
          <w:noProof/>
          <w:position w:val="-5"/>
        </w:rPr>
        <w:drawing>
          <wp:inline distT="0" distB="0" distL="0" distR="0" wp14:anchorId="2D11C0CB" wp14:editId="1D1DEECF">
            <wp:extent cx="140207" cy="18745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w:t>
      </w:r>
      <w:r>
        <w:rPr>
          <w:spacing w:val="2"/>
        </w:rPr>
        <w:t xml:space="preserve"> </w:t>
      </w:r>
      <w:r>
        <w:t>SL2800</w:t>
      </w:r>
      <w:r>
        <w:rPr>
          <w:spacing w:val="4"/>
        </w:rPr>
        <w:t xml:space="preserve"> </w:t>
      </w:r>
      <w:r>
        <w:rPr>
          <w:spacing w:val="-3"/>
        </w:rPr>
        <w:t>(Spacelabs)</w:t>
      </w:r>
      <w:r>
        <w:t xml:space="preserve"> </w:t>
      </w:r>
      <w:r>
        <w:rPr>
          <w:noProof/>
          <w:position w:val="-5"/>
        </w:rPr>
        <w:drawing>
          <wp:inline distT="0" distB="0" distL="0" distR="0" wp14:anchorId="205F447B" wp14:editId="01D2EEE4">
            <wp:extent cx="140207" cy="187451"/>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140207" cy="187451"/>
                    </a:xfrm>
                    <a:prstGeom prst="rect">
                      <a:avLst/>
                    </a:prstGeom>
                  </pic:spPr>
                </pic:pic>
              </a:graphicData>
            </a:graphic>
          </wp:inline>
        </w:drawing>
      </w:r>
      <w:r>
        <w:t xml:space="preserve"> </w:t>
      </w:r>
      <w:r>
        <w:rPr>
          <w:spacing w:val="19"/>
        </w:rPr>
        <w:t xml:space="preserve"> </w:t>
      </w:r>
      <w:r>
        <w:t>Ultraview SL3800</w:t>
      </w:r>
      <w:r>
        <w:rPr>
          <w:spacing w:val="5"/>
        </w:rPr>
        <w:t xml:space="preserve"> </w:t>
      </w:r>
      <w:r>
        <w:rPr>
          <w:spacing w:val="-3"/>
        </w:rPr>
        <w:t>(Spacelabs)</w:t>
      </w:r>
    </w:p>
    <w:p w14:paraId="12BBABE4" w14:textId="77777777" w:rsidR="007E586D" w:rsidRDefault="007E586D">
      <w:pPr>
        <w:pStyle w:val="BodyText"/>
        <w:rPr>
          <w:sz w:val="30"/>
        </w:rPr>
      </w:pPr>
    </w:p>
    <w:p w14:paraId="44BE0C97" w14:textId="77777777" w:rsidR="007E586D" w:rsidRDefault="007E586D">
      <w:pPr>
        <w:pStyle w:val="BodyText"/>
        <w:rPr>
          <w:sz w:val="30"/>
        </w:rPr>
      </w:pPr>
    </w:p>
    <w:p w14:paraId="49F5D0A0" w14:textId="77777777" w:rsidR="007E586D" w:rsidRDefault="007E586D">
      <w:pPr>
        <w:pStyle w:val="BodyText"/>
        <w:rPr>
          <w:sz w:val="30"/>
        </w:rPr>
      </w:pPr>
    </w:p>
    <w:p w14:paraId="765166CF" w14:textId="77777777" w:rsidR="007E586D" w:rsidRDefault="007E586D">
      <w:pPr>
        <w:pStyle w:val="BodyText"/>
        <w:rPr>
          <w:sz w:val="30"/>
        </w:rPr>
      </w:pPr>
    </w:p>
    <w:p w14:paraId="2BE2077D" w14:textId="77777777" w:rsidR="007E586D" w:rsidRDefault="007E586D">
      <w:pPr>
        <w:pStyle w:val="BodyText"/>
        <w:rPr>
          <w:sz w:val="30"/>
        </w:rPr>
      </w:pPr>
    </w:p>
    <w:p w14:paraId="19461CA8" w14:textId="77777777" w:rsidR="007E586D" w:rsidRDefault="007E586D">
      <w:pPr>
        <w:pStyle w:val="BodyText"/>
        <w:rPr>
          <w:sz w:val="30"/>
        </w:rPr>
      </w:pPr>
    </w:p>
    <w:p w14:paraId="31C60F21" w14:textId="77777777" w:rsidR="007E586D" w:rsidRDefault="007E586D">
      <w:pPr>
        <w:pStyle w:val="BodyText"/>
        <w:spacing w:before="2"/>
        <w:rPr>
          <w:sz w:val="32"/>
        </w:rPr>
      </w:pPr>
    </w:p>
    <w:p w14:paraId="163F4460" w14:textId="77777777" w:rsidR="007E586D" w:rsidRDefault="002652EA">
      <w:pPr>
        <w:tabs>
          <w:tab w:val="left" w:pos="2380"/>
          <w:tab w:val="left" w:pos="8045"/>
        </w:tabs>
        <w:ind w:left="220"/>
        <w:rPr>
          <w:sz w:val="20"/>
        </w:rPr>
      </w:pPr>
      <w:bookmarkStart w:id="15" w:name="_bookmark15"/>
      <w:bookmarkEnd w:id="15"/>
      <w:r>
        <w:rPr>
          <w:sz w:val="20"/>
        </w:rPr>
        <w:t>3</w:t>
      </w:r>
      <w:r>
        <w:rPr>
          <w:sz w:val="20"/>
        </w:rPr>
        <w:tab/>
        <w:t>Clinical Procedures (CP) V1.0</w:t>
      </w:r>
      <w:r>
        <w:rPr>
          <w:spacing w:val="-13"/>
          <w:sz w:val="20"/>
        </w:rPr>
        <w:t xml:space="preserve"> </w:t>
      </w:r>
      <w:r>
        <w:rPr>
          <w:sz w:val="20"/>
        </w:rPr>
        <w:t>Flowsheets</w:t>
      </w:r>
      <w:r>
        <w:rPr>
          <w:spacing w:val="-5"/>
          <w:sz w:val="20"/>
        </w:rPr>
        <w:t xml:space="preserve"> </w:t>
      </w:r>
      <w:r>
        <w:rPr>
          <w:sz w:val="20"/>
        </w:rPr>
        <w:t>Module</w:t>
      </w:r>
      <w:r>
        <w:rPr>
          <w:sz w:val="20"/>
        </w:rPr>
        <w:tab/>
        <w:t>May</w:t>
      </w:r>
      <w:r>
        <w:rPr>
          <w:spacing w:val="-3"/>
          <w:sz w:val="20"/>
        </w:rPr>
        <w:t xml:space="preserve"> </w:t>
      </w:r>
      <w:r>
        <w:rPr>
          <w:sz w:val="20"/>
        </w:rPr>
        <w:t>2011</w:t>
      </w:r>
    </w:p>
    <w:p w14:paraId="142ED31F" w14:textId="77777777" w:rsidR="007E586D" w:rsidRDefault="007E586D">
      <w:pPr>
        <w:rPr>
          <w:sz w:val="20"/>
        </w:rPr>
        <w:sectPr w:rsidR="007E586D">
          <w:footerReference w:type="default" r:id="rId14"/>
          <w:pgSz w:w="12240" w:h="15840"/>
          <w:pgMar w:top="1380" w:right="1340" w:bottom="1100" w:left="1220" w:header="0" w:footer="906" w:gutter="0"/>
          <w:cols w:space="720"/>
        </w:sectPr>
      </w:pPr>
    </w:p>
    <w:p w14:paraId="6366013C" w14:textId="77777777" w:rsidR="007E586D" w:rsidRDefault="002652EA">
      <w:pPr>
        <w:pStyle w:val="Heading2"/>
        <w:spacing w:before="185"/>
      </w:pPr>
      <w:r>
        <w:lastRenderedPageBreak/>
        <w:t>Additional Medical Monitoring Devices</w:t>
      </w:r>
    </w:p>
    <w:p w14:paraId="5B4A44BE" w14:textId="77777777" w:rsidR="007E586D" w:rsidRDefault="002652EA">
      <w:pPr>
        <w:pStyle w:val="BodyText"/>
        <w:spacing w:before="245" w:line="247" w:lineRule="auto"/>
        <w:ind w:left="220"/>
      </w:pPr>
      <w:r>
        <w:t>ICU devices will be added to the list of validated instruments as the devices are certified through the Hines Field Office.</w:t>
      </w:r>
    </w:p>
    <w:p w14:paraId="4B3C2715" w14:textId="77777777" w:rsidR="007E586D" w:rsidRDefault="007E586D">
      <w:pPr>
        <w:pStyle w:val="BodyText"/>
        <w:spacing w:before="5"/>
      </w:pPr>
    </w:p>
    <w:p w14:paraId="5DB42658" w14:textId="77777777" w:rsidR="007E586D" w:rsidRDefault="002652EA">
      <w:pPr>
        <w:spacing w:before="1" w:line="247" w:lineRule="auto"/>
        <w:ind w:left="220" w:right="122"/>
        <w:rPr>
          <w:sz w:val="24"/>
        </w:rPr>
      </w:pPr>
      <w:r>
        <w:rPr>
          <w:sz w:val="24"/>
        </w:rPr>
        <w:t xml:space="preserve">For sites that want to implement ICU devices, but do not have Clinical Procedures implemented, refer to the </w:t>
      </w:r>
      <w:r>
        <w:rPr>
          <w:i/>
          <w:sz w:val="24"/>
        </w:rPr>
        <w:t>Clinical Procedures (CP) V1.0 Flowsheets Module Implementation Guide</w:t>
      </w:r>
      <w:r>
        <w:rPr>
          <w:sz w:val="24"/>
        </w:rPr>
        <w:t>. You do not need to implement the legacy Clinical Procedures.</w:t>
      </w:r>
    </w:p>
    <w:p w14:paraId="632FF660" w14:textId="77777777" w:rsidR="007E586D" w:rsidRDefault="007E586D">
      <w:pPr>
        <w:pStyle w:val="BodyText"/>
        <w:spacing w:before="3"/>
      </w:pPr>
    </w:p>
    <w:p w14:paraId="420BBD1B" w14:textId="77777777" w:rsidR="007E586D" w:rsidRDefault="002652EA">
      <w:pPr>
        <w:pStyle w:val="BodyText"/>
        <w:spacing w:before="1" w:line="247" w:lineRule="auto"/>
        <w:ind w:left="220"/>
      </w:pPr>
      <w:r>
        <w:t>For sites that use legacy Clinical Procedures and want to implement the CP Flowsheets patch, continue using the legacy CP modules and use CP Console to configure the ICU devices.</w:t>
      </w:r>
    </w:p>
    <w:p w14:paraId="576294CA" w14:textId="77777777" w:rsidR="007E586D" w:rsidRDefault="002652EA">
      <w:pPr>
        <w:pStyle w:val="BodyText"/>
        <w:spacing w:before="123" w:line="247" w:lineRule="auto"/>
        <w:ind w:left="1588" w:right="900" w:hanging="648"/>
      </w:pPr>
      <w:r>
        <w:rPr>
          <w:b/>
        </w:rPr>
        <w:t xml:space="preserve">Note: </w:t>
      </w:r>
      <w:r>
        <w:t>The CP Manager application is no longer supported after the installation</w:t>
      </w:r>
      <w:r>
        <w:rPr>
          <w:spacing w:val="-25"/>
        </w:rPr>
        <w:t xml:space="preserve"> </w:t>
      </w:r>
      <w:r>
        <w:t>of MD*1.0*16. Use CP Console to perform the functions previously provided by CP</w:t>
      </w:r>
      <w:r>
        <w:rPr>
          <w:spacing w:val="-9"/>
        </w:rPr>
        <w:t xml:space="preserve"> </w:t>
      </w:r>
      <w:r>
        <w:t>Manager.</w:t>
      </w:r>
    </w:p>
    <w:p w14:paraId="7BF2FD5E" w14:textId="77777777" w:rsidR="007E586D" w:rsidRDefault="007E586D">
      <w:pPr>
        <w:spacing w:line="247" w:lineRule="auto"/>
        <w:sectPr w:rsidR="007E586D">
          <w:footerReference w:type="default" r:id="rId15"/>
          <w:pgSz w:w="12240" w:h="15840"/>
          <w:pgMar w:top="1500" w:right="1340" w:bottom="1160" w:left="1220" w:header="0" w:footer="979" w:gutter="0"/>
          <w:cols w:space="720"/>
        </w:sectPr>
      </w:pPr>
    </w:p>
    <w:p w14:paraId="33EF063F" w14:textId="77777777" w:rsidR="007E586D" w:rsidRDefault="007E586D">
      <w:pPr>
        <w:pStyle w:val="BodyText"/>
        <w:rPr>
          <w:sz w:val="20"/>
        </w:rPr>
      </w:pPr>
    </w:p>
    <w:p w14:paraId="73CF658B" w14:textId="77777777" w:rsidR="007E586D" w:rsidRDefault="007E586D">
      <w:pPr>
        <w:pStyle w:val="BodyText"/>
        <w:rPr>
          <w:sz w:val="20"/>
        </w:rPr>
      </w:pPr>
    </w:p>
    <w:p w14:paraId="76776A59" w14:textId="77777777" w:rsidR="007E586D" w:rsidRDefault="007E586D">
      <w:pPr>
        <w:pStyle w:val="BodyText"/>
        <w:spacing w:before="3"/>
      </w:pPr>
    </w:p>
    <w:p w14:paraId="5E37C50D" w14:textId="77777777" w:rsidR="007E586D" w:rsidRDefault="002652EA">
      <w:pPr>
        <w:pStyle w:val="Heading2"/>
        <w:spacing w:before="89"/>
        <w:ind w:left="100"/>
      </w:pPr>
      <w:bookmarkStart w:id="16" w:name="_bookmark16"/>
      <w:bookmarkEnd w:id="16"/>
      <w:r>
        <w:t>List of Outstanding Anomalies</w:t>
      </w:r>
    </w:p>
    <w:p w14:paraId="1C8F7325" w14:textId="77777777" w:rsidR="007E586D" w:rsidRDefault="002652EA">
      <w:pPr>
        <w:pStyle w:val="BodyText"/>
        <w:spacing w:before="246"/>
        <w:ind w:left="100"/>
      </w:pPr>
      <w:r>
        <w:t>A Request for Concurrence to Release Software with Known Anomalies was submitted containing the following anomalies:</w:t>
      </w:r>
    </w:p>
    <w:p w14:paraId="464109BD" w14:textId="77777777" w:rsidR="007E586D" w:rsidRDefault="007E586D">
      <w:pPr>
        <w:pStyle w:val="BodyText"/>
        <w:rPr>
          <w:sz w:val="20"/>
        </w:rPr>
      </w:pPr>
    </w:p>
    <w:p w14:paraId="481F7372" w14:textId="77777777" w:rsidR="007E586D" w:rsidRDefault="007E586D">
      <w:pPr>
        <w:pStyle w:val="BodyText"/>
        <w:spacing w:before="8"/>
        <w:rPr>
          <w:sz w:val="29"/>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2792"/>
        <w:gridCol w:w="989"/>
        <w:gridCol w:w="991"/>
        <w:gridCol w:w="1440"/>
        <w:gridCol w:w="4049"/>
        <w:gridCol w:w="1351"/>
      </w:tblGrid>
      <w:tr w:rsidR="007E586D" w14:paraId="30C444B1" w14:textId="77777777">
        <w:trPr>
          <w:trHeight w:val="542"/>
        </w:trPr>
        <w:tc>
          <w:tcPr>
            <w:tcW w:w="869" w:type="dxa"/>
            <w:shd w:val="clear" w:color="auto" w:fill="BEBEBE"/>
          </w:tcPr>
          <w:p w14:paraId="799CC9CE" w14:textId="77777777" w:rsidR="007E586D" w:rsidRDefault="002652EA">
            <w:pPr>
              <w:pStyle w:val="TableParagraph"/>
              <w:spacing w:line="292" w:lineRule="exact"/>
              <w:rPr>
                <w:b/>
                <w:sz w:val="24"/>
              </w:rPr>
            </w:pPr>
            <w:r>
              <w:rPr>
                <w:b/>
                <w:sz w:val="24"/>
              </w:rPr>
              <w:t>ID</w:t>
            </w:r>
          </w:p>
        </w:tc>
        <w:tc>
          <w:tcPr>
            <w:tcW w:w="2792" w:type="dxa"/>
            <w:shd w:val="clear" w:color="auto" w:fill="BEBEBE"/>
          </w:tcPr>
          <w:p w14:paraId="0EF6EB89" w14:textId="77777777" w:rsidR="007E586D" w:rsidRDefault="002652EA">
            <w:pPr>
              <w:pStyle w:val="TableParagraph"/>
              <w:spacing w:before="1"/>
              <w:rPr>
                <w:b/>
              </w:rPr>
            </w:pPr>
            <w:r>
              <w:rPr>
                <w:b/>
              </w:rPr>
              <w:t>Headline/Description</w:t>
            </w:r>
          </w:p>
        </w:tc>
        <w:tc>
          <w:tcPr>
            <w:tcW w:w="989" w:type="dxa"/>
            <w:shd w:val="clear" w:color="auto" w:fill="BEBEBE"/>
          </w:tcPr>
          <w:p w14:paraId="31B69873" w14:textId="77777777" w:rsidR="007E586D" w:rsidRDefault="002652EA">
            <w:pPr>
              <w:pStyle w:val="TableParagraph"/>
              <w:spacing w:before="1"/>
              <w:rPr>
                <w:b/>
              </w:rPr>
            </w:pPr>
            <w:r>
              <w:rPr>
                <w:b/>
              </w:rPr>
              <w:t>Severity</w:t>
            </w:r>
          </w:p>
        </w:tc>
        <w:tc>
          <w:tcPr>
            <w:tcW w:w="991" w:type="dxa"/>
            <w:shd w:val="clear" w:color="auto" w:fill="BEBEBE"/>
          </w:tcPr>
          <w:p w14:paraId="450337AA" w14:textId="77777777" w:rsidR="007E586D" w:rsidRDefault="002652EA">
            <w:pPr>
              <w:pStyle w:val="TableParagraph"/>
              <w:spacing w:before="1"/>
              <w:rPr>
                <w:b/>
              </w:rPr>
            </w:pPr>
            <w:r>
              <w:rPr>
                <w:b/>
              </w:rPr>
              <w:t>Priority</w:t>
            </w:r>
          </w:p>
        </w:tc>
        <w:tc>
          <w:tcPr>
            <w:tcW w:w="1440" w:type="dxa"/>
            <w:shd w:val="clear" w:color="auto" w:fill="BEBEBE"/>
          </w:tcPr>
          <w:p w14:paraId="277B3DF7" w14:textId="77777777" w:rsidR="007E586D" w:rsidRDefault="002652EA">
            <w:pPr>
              <w:pStyle w:val="TableParagraph"/>
              <w:spacing w:before="1"/>
              <w:rPr>
                <w:b/>
              </w:rPr>
            </w:pPr>
            <w:r>
              <w:rPr>
                <w:b/>
              </w:rPr>
              <w:t>Application</w:t>
            </w:r>
          </w:p>
        </w:tc>
        <w:tc>
          <w:tcPr>
            <w:tcW w:w="4049" w:type="dxa"/>
            <w:shd w:val="clear" w:color="auto" w:fill="BEBEBE"/>
          </w:tcPr>
          <w:p w14:paraId="3E04F1F7" w14:textId="77777777" w:rsidR="007E586D" w:rsidRDefault="002652EA">
            <w:pPr>
              <w:pStyle w:val="TableParagraph"/>
              <w:spacing w:before="1"/>
              <w:rPr>
                <w:b/>
              </w:rPr>
            </w:pPr>
            <w:r>
              <w:rPr>
                <w:b/>
              </w:rPr>
              <w:t>Workaround/</w:t>
            </w:r>
          </w:p>
          <w:p w14:paraId="5EC36446" w14:textId="77777777" w:rsidR="007E586D" w:rsidRDefault="002652EA">
            <w:pPr>
              <w:pStyle w:val="TableParagraph"/>
              <w:spacing w:before="3" w:line="250" w:lineRule="exact"/>
              <w:rPr>
                <w:b/>
              </w:rPr>
            </w:pPr>
            <w:r>
              <w:rPr>
                <w:b/>
              </w:rPr>
              <w:t>Comments</w:t>
            </w:r>
          </w:p>
        </w:tc>
        <w:tc>
          <w:tcPr>
            <w:tcW w:w="1351" w:type="dxa"/>
            <w:shd w:val="clear" w:color="auto" w:fill="BEBEBE"/>
          </w:tcPr>
          <w:p w14:paraId="08EABF94" w14:textId="77777777" w:rsidR="007E586D" w:rsidRDefault="002652EA">
            <w:pPr>
              <w:pStyle w:val="TableParagraph"/>
              <w:spacing w:before="1"/>
              <w:ind w:left="108"/>
              <w:rPr>
                <w:b/>
              </w:rPr>
            </w:pPr>
            <w:r>
              <w:rPr>
                <w:b/>
              </w:rPr>
              <w:t>Resolution</w:t>
            </w:r>
          </w:p>
        </w:tc>
      </w:tr>
      <w:tr w:rsidR="007E586D" w14:paraId="492FA51C" w14:textId="77777777">
        <w:trPr>
          <w:trHeight w:val="1286"/>
        </w:trPr>
        <w:tc>
          <w:tcPr>
            <w:tcW w:w="869" w:type="dxa"/>
          </w:tcPr>
          <w:p w14:paraId="748C0F6B" w14:textId="77777777" w:rsidR="007E586D" w:rsidRDefault="002652EA">
            <w:pPr>
              <w:pStyle w:val="TableParagraph"/>
              <w:spacing w:line="243" w:lineRule="exact"/>
              <w:rPr>
                <w:sz w:val="20"/>
              </w:rPr>
            </w:pPr>
            <w:r>
              <w:rPr>
                <w:sz w:val="20"/>
              </w:rPr>
              <w:t>CQ580</w:t>
            </w:r>
          </w:p>
        </w:tc>
        <w:tc>
          <w:tcPr>
            <w:tcW w:w="2792" w:type="dxa"/>
          </w:tcPr>
          <w:p w14:paraId="3C3862E6" w14:textId="77777777" w:rsidR="007E586D" w:rsidRDefault="002652EA">
            <w:pPr>
              <w:pStyle w:val="TableParagraph"/>
              <w:ind w:right="86"/>
              <w:rPr>
                <w:sz w:val="20"/>
              </w:rPr>
            </w:pPr>
            <w:r>
              <w:rPr>
                <w:sz w:val="20"/>
              </w:rPr>
              <w:t>The general comment given when entering Flowsheet data (shown on same line as location) does not appear on any reports.</w:t>
            </w:r>
          </w:p>
        </w:tc>
        <w:tc>
          <w:tcPr>
            <w:tcW w:w="989" w:type="dxa"/>
          </w:tcPr>
          <w:p w14:paraId="5A36E21A" w14:textId="77777777" w:rsidR="007E586D" w:rsidRDefault="002652EA">
            <w:pPr>
              <w:pStyle w:val="TableParagraph"/>
              <w:spacing w:line="243" w:lineRule="exact"/>
              <w:rPr>
                <w:sz w:val="20"/>
              </w:rPr>
            </w:pPr>
            <w:r>
              <w:rPr>
                <w:sz w:val="20"/>
              </w:rPr>
              <w:t>Low</w:t>
            </w:r>
          </w:p>
        </w:tc>
        <w:tc>
          <w:tcPr>
            <w:tcW w:w="991" w:type="dxa"/>
          </w:tcPr>
          <w:p w14:paraId="068CE367" w14:textId="77777777" w:rsidR="007E586D" w:rsidRDefault="002652EA">
            <w:pPr>
              <w:pStyle w:val="TableParagraph"/>
              <w:spacing w:line="243" w:lineRule="exact"/>
              <w:rPr>
                <w:sz w:val="20"/>
              </w:rPr>
            </w:pPr>
            <w:r>
              <w:rPr>
                <w:sz w:val="20"/>
              </w:rPr>
              <w:t>Low</w:t>
            </w:r>
          </w:p>
        </w:tc>
        <w:tc>
          <w:tcPr>
            <w:tcW w:w="1440" w:type="dxa"/>
          </w:tcPr>
          <w:p w14:paraId="65FCA5BB" w14:textId="77777777" w:rsidR="007E586D" w:rsidRDefault="002652EA">
            <w:pPr>
              <w:pStyle w:val="TableParagraph"/>
              <w:rPr>
                <w:sz w:val="20"/>
              </w:rPr>
            </w:pPr>
            <w:r>
              <w:rPr>
                <w:sz w:val="20"/>
              </w:rPr>
              <w:t>CP Flowsheet GUI</w:t>
            </w:r>
          </w:p>
        </w:tc>
        <w:tc>
          <w:tcPr>
            <w:tcW w:w="4049" w:type="dxa"/>
          </w:tcPr>
          <w:p w14:paraId="286EE36E" w14:textId="77777777" w:rsidR="007E586D" w:rsidRDefault="002652EA">
            <w:pPr>
              <w:pStyle w:val="TableParagraph"/>
              <w:ind w:right="125"/>
              <w:jc w:val="both"/>
              <w:rPr>
                <w:sz w:val="20"/>
              </w:rPr>
            </w:pPr>
            <w:r>
              <w:rPr>
                <w:sz w:val="20"/>
              </w:rPr>
              <w:t>User will be advised via training not to use the comment field. Severity Level low determined via discussion of defect with stakeholders and test sites. The design was to document</w:t>
            </w:r>
            <w:r>
              <w:rPr>
                <w:spacing w:val="-29"/>
                <w:sz w:val="20"/>
              </w:rPr>
              <w:t xml:space="preserve"> </w:t>
            </w:r>
            <w:r>
              <w:rPr>
                <w:sz w:val="20"/>
              </w:rPr>
              <w:t>process flow and not actual</w:t>
            </w:r>
            <w:r>
              <w:rPr>
                <w:spacing w:val="-3"/>
                <w:sz w:val="20"/>
              </w:rPr>
              <w:t xml:space="preserve"> </w:t>
            </w:r>
            <w:r>
              <w:rPr>
                <w:sz w:val="20"/>
              </w:rPr>
              <w:t>measurements.</w:t>
            </w:r>
          </w:p>
        </w:tc>
        <w:tc>
          <w:tcPr>
            <w:tcW w:w="1351" w:type="dxa"/>
          </w:tcPr>
          <w:p w14:paraId="4117CD66" w14:textId="77777777" w:rsidR="007E586D" w:rsidRDefault="002652EA">
            <w:pPr>
              <w:pStyle w:val="TableParagraph"/>
              <w:ind w:left="108"/>
              <w:rPr>
                <w:sz w:val="20"/>
              </w:rPr>
            </w:pPr>
            <w:r>
              <w:rPr>
                <w:sz w:val="20"/>
              </w:rPr>
              <w:t>Designated to patch 23</w:t>
            </w:r>
          </w:p>
        </w:tc>
      </w:tr>
      <w:tr w:rsidR="007E586D" w14:paraId="051FA9F9" w14:textId="77777777">
        <w:trPr>
          <w:trHeight w:val="1696"/>
        </w:trPr>
        <w:tc>
          <w:tcPr>
            <w:tcW w:w="869" w:type="dxa"/>
          </w:tcPr>
          <w:p w14:paraId="43DE01F5" w14:textId="77777777" w:rsidR="007E586D" w:rsidRDefault="002652EA">
            <w:pPr>
              <w:pStyle w:val="TableParagraph"/>
              <w:spacing w:line="243" w:lineRule="exact"/>
              <w:rPr>
                <w:sz w:val="20"/>
              </w:rPr>
            </w:pPr>
            <w:r>
              <w:rPr>
                <w:sz w:val="20"/>
              </w:rPr>
              <w:t>CQ681</w:t>
            </w:r>
          </w:p>
        </w:tc>
        <w:tc>
          <w:tcPr>
            <w:tcW w:w="2792" w:type="dxa"/>
          </w:tcPr>
          <w:p w14:paraId="36FDE53A" w14:textId="77777777" w:rsidR="007E586D" w:rsidRDefault="002652EA">
            <w:pPr>
              <w:pStyle w:val="TableParagraph"/>
              <w:spacing w:line="243" w:lineRule="exact"/>
              <w:rPr>
                <w:sz w:val="20"/>
              </w:rPr>
            </w:pPr>
            <w:r>
              <w:rPr>
                <w:sz w:val="20"/>
              </w:rPr>
              <w:t>Auto Refresh not working.</w:t>
            </w:r>
          </w:p>
        </w:tc>
        <w:tc>
          <w:tcPr>
            <w:tcW w:w="989" w:type="dxa"/>
          </w:tcPr>
          <w:p w14:paraId="454FB803" w14:textId="77777777" w:rsidR="007E586D" w:rsidRDefault="002652EA">
            <w:pPr>
              <w:pStyle w:val="TableParagraph"/>
              <w:spacing w:line="243" w:lineRule="exact"/>
              <w:rPr>
                <w:sz w:val="20"/>
              </w:rPr>
            </w:pPr>
            <w:r>
              <w:rPr>
                <w:sz w:val="20"/>
              </w:rPr>
              <w:t>Low</w:t>
            </w:r>
          </w:p>
        </w:tc>
        <w:tc>
          <w:tcPr>
            <w:tcW w:w="991" w:type="dxa"/>
          </w:tcPr>
          <w:p w14:paraId="1E53320B" w14:textId="77777777" w:rsidR="007E586D" w:rsidRDefault="002652EA">
            <w:pPr>
              <w:pStyle w:val="TableParagraph"/>
              <w:spacing w:line="243" w:lineRule="exact"/>
              <w:rPr>
                <w:sz w:val="20"/>
              </w:rPr>
            </w:pPr>
            <w:r>
              <w:rPr>
                <w:sz w:val="20"/>
              </w:rPr>
              <w:t>Low</w:t>
            </w:r>
          </w:p>
        </w:tc>
        <w:tc>
          <w:tcPr>
            <w:tcW w:w="1440" w:type="dxa"/>
          </w:tcPr>
          <w:p w14:paraId="78B3997F" w14:textId="375B853A" w:rsidR="007E586D" w:rsidRDefault="002652EA">
            <w:pPr>
              <w:pStyle w:val="TableParagraph"/>
              <w:rPr>
                <w:sz w:val="20"/>
              </w:rPr>
            </w:pPr>
            <w:r>
              <w:rPr>
                <w:sz w:val="20"/>
              </w:rPr>
              <w:t>CP Flowsheets GUI</w:t>
            </w:r>
          </w:p>
        </w:tc>
        <w:tc>
          <w:tcPr>
            <w:tcW w:w="4049" w:type="dxa"/>
          </w:tcPr>
          <w:p w14:paraId="1D14A49C" w14:textId="77777777" w:rsidR="007E586D" w:rsidRDefault="002652EA">
            <w:pPr>
              <w:pStyle w:val="TableParagraph"/>
              <w:ind w:right="50"/>
              <w:rPr>
                <w:sz w:val="20"/>
              </w:rPr>
            </w:pPr>
            <w:r>
              <w:rPr>
                <w:sz w:val="20"/>
              </w:rPr>
              <w:t>Impact is minimal because there is no user setting to apply an auto refresh, so users are unaware of the option. Functionality taken away due to system constraints on other functionality and development time needed to analyze functionality further. Training and User</w:t>
            </w:r>
          </w:p>
          <w:p w14:paraId="3BFBB7BC" w14:textId="77777777" w:rsidR="007E586D" w:rsidRDefault="002652EA">
            <w:pPr>
              <w:pStyle w:val="TableParagraph"/>
              <w:spacing w:line="213" w:lineRule="exact"/>
              <w:rPr>
                <w:sz w:val="20"/>
              </w:rPr>
            </w:pPr>
            <w:r>
              <w:rPr>
                <w:sz w:val="20"/>
              </w:rPr>
              <w:t>Manual reflect the use of the Manual.</w:t>
            </w:r>
          </w:p>
        </w:tc>
        <w:tc>
          <w:tcPr>
            <w:tcW w:w="1351" w:type="dxa"/>
          </w:tcPr>
          <w:p w14:paraId="42C47094" w14:textId="77777777" w:rsidR="007E586D" w:rsidRDefault="002652EA">
            <w:pPr>
              <w:pStyle w:val="TableParagraph"/>
              <w:ind w:left="108"/>
              <w:rPr>
                <w:sz w:val="20"/>
              </w:rPr>
            </w:pPr>
            <w:r>
              <w:rPr>
                <w:sz w:val="20"/>
              </w:rPr>
              <w:t>Designated to patch 23</w:t>
            </w:r>
          </w:p>
        </w:tc>
      </w:tr>
      <w:tr w:rsidR="007E586D" w14:paraId="26E57C35" w14:textId="77777777">
        <w:trPr>
          <w:trHeight w:val="1211"/>
        </w:trPr>
        <w:tc>
          <w:tcPr>
            <w:tcW w:w="869" w:type="dxa"/>
          </w:tcPr>
          <w:p w14:paraId="2AC85E85" w14:textId="77777777" w:rsidR="007E586D" w:rsidRDefault="002652EA">
            <w:pPr>
              <w:pStyle w:val="TableParagraph"/>
              <w:spacing w:line="243" w:lineRule="exact"/>
              <w:rPr>
                <w:sz w:val="20"/>
              </w:rPr>
            </w:pPr>
            <w:r>
              <w:rPr>
                <w:sz w:val="20"/>
              </w:rPr>
              <w:t>CQ705</w:t>
            </w:r>
          </w:p>
        </w:tc>
        <w:tc>
          <w:tcPr>
            <w:tcW w:w="2792" w:type="dxa"/>
          </w:tcPr>
          <w:p w14:paraId="63DEDC78" w14:textId="77777777" w:rsidR="007E586D" w:rsidRDefault="002652EA">
            <w:pPr>
              <w:pStyle w:val="TableParagraph"/>
              <w:rPr>
                <w:sz w:val="20"/>
              </w:rPr>
            </w:pPr>
            <w:r>
              <w:rPr>
                <w:sz w:val="20"/>
              </w:rPr>
              <w:t>Not all of the Column Headings match up with the selections in the Add Data screen of Flowsheets view</w:t>
            </w:r>
          </w:p>
        </w:tc>
        <w:tc>
          <w:tcPr>
            <w:tcW w:w="989" w:type="dxa"/>
          </w:tcPr>
          <w:p w14:paraId="77BCE4B9" w14:textId="77777777" w:rsidR="007E586D" w:rsidRDefault="002652EA">
            <w:pPr>
              <w:pStyle w:val="TableParagraph"/>
              <w:spacing w:line="243" w:lineRule="exact"/>
              <w:rPr>
                <w:sz w:val="20"/>
              </w:rPr>
            </w:pPr>
            <w:r>
              <w:rPr>
                <w:sz w:val="20"/>
              </w:rPr>
              <w:t>Low</w:t>
            </w:r>
          </w:p>
        </w:tc>
        <w:tc>
          <w:tcPr>
            <w:tcW w:w="991" w:type="dxa"/>
          </w:tcPr>
          <w:p w14:paraId="249F7416" w14:textId="77777777" w:rsidR="007E586D" w:rsidRDefault="002652EA">
            <w:pPr>
              <w:pStyle w:val="TableParagraph"/>
              <w:spacing w:line="243" w:lineRule="exact"/>
              <w:rPr>
                <w:sz w:val="20"/>
              </w:rPr>
            </w:pPr>
            <w:r>
              <w:rPr>
                <w:sz w:val="20"/>
              </w:rPr>
              <w:t>Low</w:t>
            </w:r>
          </w:p>
        </w:tc>
        <w:tc>
          <w:tcPr>
            <w:tcW w:w="1440" w:type="dxa"/>
          </w:tcPr>
          <w:p w14:paraId="1435329B" w14:textId="77777777" w:rsidR="007E586D" w:rsidRDefault="002652EA">
            <w:pPr>
              <w:pStyle w:val="TableParagraph"/>
              <w:rPr>
                <w:sz w:val="20"/>
              </w:rPr>
            </w:pPr>
            <w:r>
              <w:rPr>
                <w:sz w:val="20"/>
              </w:rPr>
              <w:t>CP Flowsheets GUI</w:t>
            </w:r>
          </w:p>
        </w:tc>
        <w:tc>
          <w:tcPr>
            <w:tcW w:w="4049" w:type="dxa"/>
          </w:tcPr>
          <w:p w14:paraId="57E32A24" w14:textId="77777777" w:rsidR="007E586D" w:rsidRDefault="002652EA">
            <w:pPr>
              <w:pStyle w:val="TableParagraph"/>
              <w:ind w:right="132"/>
              <w:rPr>
                <w:sz w:val="20"/>
              </w:rPr>
            </w:pPr>
            <w:r>
              <w:rPr>
                <w:sz w:val="20"/>
              </w:rPr>
              <w:t>Impact is minimal as it is not always</w:t>
            </w:r>
            <w:r>
              <w:rPr>
                <w:spacing w:val="-19"/>
                <w:sz w:val="20"/>
              </w:rPr>
              <w:t xml:space="preserve"> </w:t>
            </w:r>
            <w:r>
              <w:rPr>
                <w:sz w:val="20"/>
              </w:rPr>
              <w:t>noticeable by everyone. Training will point out the anomaly. This is only one screen and the information for the column selections is</w:t>
            </w:r>
            <w:r>
              <w:rPr>
                <w:spacing w:val="-17"/>
                <w:sz w:val="20"/>
              </w:rPr>
              <w:t xml:space="preserve"> </w:t>
            </w:r>
            <w:r>
              <w:rPr>
                <w:sz w:val="20"/>
              </w:rPr>
              <w:t>very</w:t>
            </w:r>
          </w:p>
          <w:p w14:paraId="40D48C02" w14:textId="77777777" w:rsidR="007E586D" w:rsidRDefault="002652EA">
            <w:pPr>
              <w:pStyle w:val="TableParagraph"/>
              <w:spacing w:line="216" w:lineRule="exact"/>
              <w:rPr>
                <w:sz w:val="20"/>
              </w:rPr>
            </w:pPr>
            <w:r>
              <w:rPr>
                <w:sz w:val="20"/>
              </w:rPr>
              <w:t>distinguishable from one column to the</w:t>
            </w:r>
            <w:r>
              <w:rPr>
                <w:spacing w:val="-26"/>
                <w:sz w:val="20"/>
              </w:rPr>
              <w:t xml:space="preserve"> </w:t>
            </w:r>
            <w:r>
              <w:rPr>
                <w:sz w:val="20"/>
              </w:rPr>
              <w:t>next.</w:t>
            </w:r>
          </w:p>
        </w:tc>
        <w:tc>
          <w:tcPr>
            <w:tcW w:w="1351" w:type="dxa"/>
          </w:tcPr>
          <w:p w14:paraId="350BF5E7" w14:textId="77777777" w:rsidR="007E586D" w:rsidRDefault="002652EA">
            <w:pPr>
              <w:pStyle w:val="TableParagraph"/>
              <w:ind w:left="108"/>
              <w:rPr>
                <w:sz w:val="20"/>
              </w:rPr>
            </w:pPr>
            <w:r>
              <w:rPr>
                <w:sz w:val="20"/>
              </w:rPr>
              <w:t>Designated to patch 23</w:t>
            </w:r>
          </w:p>
        </w:tc>
      </w:tr>
    </w:tbl>
    <w:p w14:paraId="4CDAB633" w14:textId="77777777" w:rsidR="002B37F2" w:rsidRDefault="002B37F2"/>
    <w:sectPr w:rsidR="002B37F2">
      <w:footerReference w:type="default" r:id="rId16"/>
      <w:pgSz w:w="15840" w:h="12240" w:orient="landscape"/>
      <w:pgMar w:top="1140" w:right="1400" w:bottom="1160" w:left="134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D9B5" w14:textId="77777777" w:rsidR="00F37E5E" w:rsidRDefault="00F37E5E">
      <w:r>
        <w:separator/>
      </w:r>
    </w:p>
  </w:endnote>
  <w:endnote w:type="continuationSeparator" w:id="0">
    <w:p w14:paraId="6E9FA195" w14:textId="77777777" w:rsidR="00F37E5E" w:rsidRDefault="00F3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16EE" w14:textId="77777777" w:rsidR="007E586D" w:rsidRDefault="00F37E5E">
    <w:pPr>
      <w:pStyle w:val="BodyText"/>
      <w:spacing w:line="14" w:lineRule="auto"/>
      <w:rPr>
        <w:sz w:val="20"/>
      </w:rPr>
    </w:pPr>
    <w:r>
      <w:pict w14:anchorId="0D468120">
        <v:shapetype id="_x0000_t202" coordsize="21600,21600" o:spt="202" path="m,l,21600r21600,l21600,xe">
          <v:stroke joinstyle="miter"/>
          <v:path gradientshapeok="t" o:connecttype="rect"/>
        </v:shapetype>
        <v:shape id="_x0000_s2071" type="#_x0000_t202" style="position:absolute;margin-left:71pt;margin-top:732.05pt;width:42.75pt;height:13.05pt;z-index:-252220416;mso-position-horizontal-relative:page;mso-position-vertical-relative:page" filled="f" stroked="f">
          <v:textbox inset="0,0,0,0">
            <w:txbxContent>
              <w:p w14:paraId="02D53E13" w14:textId="77777777" w:rsidR="007E586D" w:rsidRDefault="002652EA">
                <w:pPr>
                  <w:spacing w:before="10"/>
                  <w:ind w:left="20"/>
                  <w:rPr>
                    <w:sz w:val="20"/>
                  </w:rPr>
                </w:pPr>
                <w:r>
                  <w:rPr>
                    <w:sz w:val="20"/>
                  </w:rPr>
                  <w:t>May 2011</w:t>
                </w:r>
              </w:p>
            </w:txbxContent>
          </v:textbox>
          <w10:wrap anchorx="page" anchory="page"/>
        </v:shape>
      </w:pict>
    </w:r>
    <w:r>
      <w:pict w14:anchorId="64D46816">
        <v:shape id="_x0000_s2070" type="#_x0000_t202" style="position:absolute;margin-left:185.6pt;margin-top:732.05pt;width:204.95pt;height:24.8pt;z-index:-252219392;mso-position-horizontal-relative:page;mso-position-vertical-relative:page" filled="f" stroked="f">
          <v:textbox inset="0,0,0,0">
            <w:txbxContent>
              <w:p w14:paraId="29FBF68F" w14:textId="77777777" w:rsidR="007E586D" w:rsidRDefault="002652EA">
                <w:pPr>
                  <w:spacing w:before="10" w:line="244" w:lineRule="auto"/>
                  <w:ind w:left="1482" w:right="-7" w:hanging="1463"/>
                  <w:rPr>
                    <w:sz w:val="20"/>
                  </w:rPr>
                </w:pPr>
                <w:r>
                  <w:rPr>
                    <w:sz w:val="20"/>
                  </w:rPr>
                  <w:t>Clinical Procedures (CP) V1.0 Flowsheets Module Release Notes</w:t>
                </w:r>
              </w:p>
            </w:txbxContent>
          </v:textbox>
          <w10:wrap anchorx="page" anchory="page"/>
        </v:shape>
      </w:pict>
    </w:r>
    <w:r>
      <w:pict w14:anchorId="43AA0E6D">
        <v:shape id="_x0000_s2069" type="#_x0000_t202" style="position:absolute;margin-left:500.35pt;margin-top:732.05pt;width:4.8pt;height:13.05pt;z-index:-252218368;mso-position-horizontal-relative:page;mso-position-vertical-relative:page" filled="f" stroked="f">
          <v:textbox inset="0,0,0,0">
            <w:txbxContent>
              <w:p w14:paraId="10AC9E4D" w14:textId="77777777" w:rsidR="007E586D" w:rsidRDefault="002652EA">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AB6D" w14:textId="77777777" w:rsidR="007E586D" w:rsidRDefault="00F37E5E">
    <w:pPr>
      <w:pStyle w:val="BodyText"/>
      <w:spacing w:line="14" w:lineRule="auto"/>
      <w:rPr>
        <w:sz w:val="20"/>
      </w:rPr>
    </w:pPr>
    <w:r>
      <w:pict w14:anchorId="6DF83DCB">
        <v:shapetype id="_x0000_t202" coordsize="21600,21600" o:spt="202" path="m,l,21600r21600,l21600,xe">
          <v:stroke joinstyle="miter"/>
          <v:path gradientshapeok="t" o:connecttype="rect"/>
        </v:shapetype>
        <v:shape id="_x0000_s2068" type="#_x0000_t202" style="position:absolute;margin-left:71pt;margin-top:732.05pt;width:7.55pt;height:13.05pt;z-index:-252217344;mso-position-horizontal-relative:page;mso-position-vertical-relative:page" filled="f" stroked="f">
          <v:textbox inset="0,0,0,0">
            <w:txbxContent>
              <w:p w14:paraId="78D465AB" w14:textId="77777777" w:rsidR="007E586D" w:rsidRDefault="002652EA">
                <w:pPr>
                  <w:spacing w:before="10"/>
                  <w:ind w:left="20"/>
                  <w:rPr>
                    <w:sz w:val="20"/>
                  </w:rPr>
                </w:pPr>
                <w:r>
                  <w:rPr>
                    <w:sz w:val="20"/>
                  </w:rPr>
                  <w:t>ii</w:t>
                </w:r>
              </w:p>
            </w:txbxContent>
          </v:textbox>
          <w10:wrap anchorx="page" anchory="page"/>
        </v:shape>
      </w:pict>
    </w:r>
    <w:r>
      <w:pict w14:anchorId="6767788C">
        <v:shape id="_x0000_s2067" type="#_x0000_t202" style="position:absolute;margin-left:191pt;margin-top:732.05pt;width:204.75pt;height:24.8pt;z-index:-252216320;mso-position-horizontal-relative:page;mso-position-vertical-relative:page" filled="f" stroked="f">
          <v:textbox inset="0,0,0,0">
            <w:txbxContent>
              <w:p w14:paraId="38E2D52E" w14:textId="77777777" w:rsidR="007E586D" w:rsidRDefault="002652EA">
                <w:pPr>
                  <w:spacing w:before="10" w:line="244" w:lineRule="auto"/>
                  <w:ind w:left="1431" w:right="-11" w:hanging="1412"/>
                  <w:rPr>
                    <w:sz w:val="20"/>
                  </w:rPr>
                </w:pPr>
                <w:r>
                  <w:rPr>
                    <w:sz w:val="20"/>
                  </w:rPr>
                  <w:t>Clinical Procedures (CP) V1.0 Flowsheets Module Release Notes</w:t>
                </w:r>
              </w:p>
            </w:txbxContent>
          </v:textbox>
          <w10:wrap anchorx="page" anchory="page"/>
        </v:shape>
      </w:pict>
    </w:r>
    <w:r>
      <w:pict w14:anchorId="078890F8">
        <v:shape id="_x0000_s2066" type="#_x0000_t202" style="position:absolute;margin-left:479.1pt;margin-top:732.05pt;width:42.75pt;height:13.05pt;z-index:-252215296;mso-position-horizontal-relative:page;mso-position-vertical-relative:page" filled="f" stroked="f">
          <v:textbox inset="0,0,0,0">
            <w:txbxContent>
              <w:p w14:paraId="6BAB5817" w14:textId="77777777" w:rsidR="007E586D" w:rsidRDefault="002652EA">
                <w:pPr>
                  <w:spacing w:before="10"/>
                  <w:ind w:left="20"/>
                  <w:rPr>
                    <w:sz w:val="20"/>
                  </w:rPr>
                </w:pPr>
                <w:r>
                  <w:rPr>
                    <w:sz w:val="20"/>
                  </w:rPr>
                  <w:t>May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AF20" w14:textId="77777777" w:rsidR="007E586D" w:rsidRDefault="00F37E5E">
    <w:pPr>
      <w:pStyle w:val="BodyText"/>
      <w:spacing w:line="14" w:lineRule="auto"/>
      <w:rPr>
        <w:sz w:val="20"/>
      </w:rPr>
    </w:pPr>
    <w:r>
      <w:pict w14:anchorId="1D2E221C">
        <v:shapetype id="_x0000_t202" coordsize="21600,21600" o:spt="202" path="m,l,21600r21600,l21600,xe">
          <v:stroke joinstyle="miter"/>
          <v:path gradientshapeok="t" o:connecttype="rect"/>
        </v:shapetype>
        <v:shape id="_x0000_s2065" type="#_x0000_t202" style="position:absolute;margin-left:71pt;margin-top:732.05pt;width:42.75pt;height:13.05pt;z-index:-252214272;mso-position-horizontal-relative:page;mso-position-vertical-relative:page" filled="f" stroked="f">
          <v:textbox inset="0,0,0,0">
            <w:txbxContent>
              <w:p w14:paraId="11798DDB" w14:textId="77777777" w:rsidR="007E586D" w:rsidRDefault="002652EA">
                <w:pPr>
                  <w:spacing w:before="10"/>
                  <w:ind w:left="20"/>
                  <w:rPr>
                    <w:sz w:val="20"/>
                  </w:rPr>
                </w:pPr>
                <w:r>
                  <w:rPr>
                    <w:sz w:val="20"/>
                  </w:rPr>
                  <w:t>May 2011</w:t>
                </w:r>
              </w:p>
            </w:txbxContent>
          </v:textbox>
          <w10:wrap anchorx="page" anchory="page"/>
        </v:shape>
      </w:pict>
    </w:r>
    <w:r>
      <w:pict w14:anchorId="0DDF3F80">
        <v:shape id="_x0000_s2064" type="#_x0000_t202" style="position:absolute;margin-left:185.6pt;margin-top:732.05pt;width:204.75pt;height:24.8pt;z-index:-252213248;mso-position-horizontal-relative:page;mso-position-vertical-relative:page" filled="f" stroked="f">
          <v:textbox inset="0,0,0,0">
            <w:txbxContent>
              <w:p w14:paraId="6667FF39" w14:textId="77777777" w:rsidR="007E586D" w:rsidRDefault="002652EA">
                <w:pPr>
                  <w:spacing w:before="10" w:line="244" w:lineRule="auto"/>
                  <w:ind w:left="1482" w:right="-11" w:hanging="1463"/>
                  <w:rPr>
                    <w:sz w:val="20"/>
                  </w:rPr>
                </w:pPr>
                <w:r>
                  <w:rPr>
                    <w:sz w:val="20"/>
                  </w:rPr>
                  <w:t>Clinical Procedures (CP) V1.0 Flowsheets Module Release Notes</w:t>
                </w:r>
              </w:p>
            </w:txbxContent>
          </v:textbox>
          <w10:wrap anchorx="page" anchory="page"/>
        </v:shape>
      </w:pict>
    </w:r>
    <w:r>
      <w:pict w14:anchorId="4893D53C">
        <v:shape id="_x0000_s2063" type="#_x0000_t202" style="position:absolute;margin-left:494.8pt;margin-top:732.05pt;width:10.3pt;height:13.05pt;z-index:-252212224;mso-position-horizontal-relative:page;mso-position-vertical-relative:page" filled="f" stroked="f">
          <v:textbox inset="0,0,0,0">
            <w:txbxContent>
              <w:p w14:paraId="103BC56E" w14:textId="77777777" w:rsidR="007E586D" w:rsidRDefault="002652EA">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C7E7" w14:textId="77777777" w:rsidR="007E586D" w:rsidRDefault="00F37E5E">
    <w:pPr>
      <w:pStyle w:val="BodyText"/>
      <w:spacing w:line="14" w:lineRule="auto"/>
      <w:rPr>
        <w:sz w:val="20"/>
      </w:rPr>
    </w:pPr>
    <w:r>
      <w:pict w14:anchorId="6A68406D">
        <v:shapetype id="_x0000_t202" coordsize="21600,21600" o:spt="202" path="m,l,21600r21600,l21600,xe">
          <v:stroke joinstyle="miter"/>
          <v:path gradientshapeok="t" o:connecttype="rect"/>
        </v:shapetype>
        <v:shape id="_x0000_s2062" type="#_x0000_t202" style="position:absolute;margin-left:247.35pt;margin-top:732.4pt;width:58.8pt;height:13.05pt;z-index:-252211200;mso-position-horizontal-relative:page;mso-position-vertical-relative:page" filled="f" stroked="f">
          <v:textbox inset="0,0,0,0">
            <w:txbxContent>
              <w:p w14:paraId="23C59DB9" w14:textId="77777777" w:rsidR="007E586D" w:rsidRDefault="002652EA">
                <w:pPr>
                  <w:spacing w:before="10"/>
                  <w:ind w:left="20"/>
                  <w:rPr>
                    <w:sz w:val="20"/>
                  </w:rPr>
                </w:pPr>
                <w:r>
                  <w:rPr>
                    <w:sz w:val="20"/>
                  </w:rPr>
                  <w:t>Release Notes</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FDA5" w14:textId="77777777" w:rsidR="007E586D" w:rsidRDefault="00F37E5E">
    <w:pPr>
      <w:pStyle w:val="BodyText"/>
      <w:spacing w:line="14" w:lineRule="auto"/>
      <w:rPr>
        <w:sz w:val="20"/>
      </w:rPr>
    </w:pPr>
    <w:r>
      <w:pict w14:anchorId="3C7C8970">
        <v:shapetype id="_x0000_t202" coordsize="21600,21600" o:spt="202" path="m,l,21600r21600,l21600,xe">
          <v:stroke joinstyle="miter"/>
          <v:path gradientshapeok="t" o:connecttype="rect"/>
        </v:shapetype>
        <v:shape id="_x0000_s2061" type="#_x0000_t202" style="position:absolute;margin-left:71pt;margin-top:732.05pt;width:42.75pt;height:13.05pt;z-index:-252210176;mso-position-horizontal-relative:page;mso-position-vertical-relative:page" filled="f" stroked="f">
          <v:textbox inset="0,0,0,0">
            <w:txbxContent>
              <w:p w14:paraId="1B6D5885" w14:textId="77777777" w:rsidR="007E586D" w:rsidRDefault="002652EA">
                <w:pPr>
                  <w:spacing w:before="10"/>
                  <w:ind w:left="20"/>
                  <w:rPr>
                    <w:sz w:val="20"/>
                  </w:rPr>
                </w:pPr>
                <w:r>
                  <w:rPr>
                    <w:sz w:val="20"/>
                  </w:rPr>
                  <w:t>May 2011</w:t>
                </w:r>
              </w:p>
            </w:txbxContent>
          </v:textbox>
          <w10:wrap anchorx="page" anchory="page"/>
        </v:shape>
      </w:pict>
    </w:r>
    <w:r>
      <w:pict w14:anchorId="10B1607D">
        <v:shape id="_x0000_s2060" type="#_x0000_t202" style="position:absolute;margin-left:185.6pt;margin-top:732.05pt;width:204.75pt;height:24.8pt;z-index:-252209152;mso-position-horizontal-relative:page;mso-position-vertical-relative:page" filled="f" stroked="f">
          <v:textbox inset="0,0,0,0">
            <w:txbxContent>
              <w:p w14:paraId="38E050DE" w14:textId="77777777" w:rsidR="007E586D" w:rsidRDefault="002652EA">
                <w:pPr>
                  <w:spacing w:before="10" w:line="244" w:lineRule="auto"/>
                  <w:ind w:left="1482" w:right="-11" w:hanging="1463"/>
                  <w:rPr>
                    <w:sz w:val="20"/>
                  </w:rPr>
                </w:pPr>
                <w:r>
                  <w:rPr>
                    <w:sz w:val="20"/>
                  </w:rPr>
                  <w:t>Clinical Procedures (CP) V1.0 Flowsheets Module Release Notes</w:t>
                </w:r>
              </w:p>
            </w:txbxContent>
          </v:textbox>
          <w10:wrap anchorx="page" anchory="page"/>
        </v:shape>
      </w:pict>
    </w:r>
    <w:r>
      <w:pict w14:anchorId="7FCF43DE">
        <v:shape id="_x0000_s2059" type="#_x0000_t202" style="position:absolute;margin-left:498.05pt;margin-top:732.05pt;width:7pt;height:13.05pt;z-index:-252208128;mso-position-horizontal-relative:page;mso-position-vertical-relative:page" filled="f" stroked="f">
          <v:textbox inset="0,0,0,0">
            <w:txbxContent>
              <w:p w14:paraId="44C89700" w14:textId="77777777" w:rsidR="007E586D" w:rsidRDefault="002652EA">
                <w:pPr>
                  <w:spacing w:before="10"/>
                  <w:ind w:left="20"/>
                  <w:rPr>
                    <w:sz w:val="20"/>
                  </w:rPr>
                </w:pPr>
                <w:r>
                  <w:rPr>
                    <w:w w:val="99"/>
                    <w:sz w:val="20"/>
                  </w:rPr>
                  <w:t>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C5FB" w14:textId="77777777" w:rsidR="007E586D" w:rsidRDefault="00F37E5E">
    <w:pPr>
      <w:pStyle w:val="BodyText"/>
      <w:spacing w:line="14" w:lineRule="auto"/>
      <w:rPr>
        <w:sz w:val="20"/>
      </w:rPr>
    </w:pPr>
    <w:r>
      <w:pict w14:anchorId="4D6B9F26">
        <v:shapetype id="_x0000_t202" coordsize="21600,21600" o:spt="202" path="m,l,21600r21600,l21600,xe">
          <v:stroke joinstyle="miter"/>
          <v:path gradientshapeok="t" o:connecttype="rect"/>
        </v:shapetype>
        <v:shape id="_x0000_s2058" type="#_x0000_t202" style="position:absolute;margin-left:71pt;margin-top:732.05pt;width:7pt;height:13.05pt;z-index:-252207104;mso-position-horizontal-relative:page;mso-position-vertical-relative:page" filled="f" stroked="f">
          <v:textbox inset="0,0,0,0">
            <w:txbxContent>
              <w:p w14:paraId="16558CD2" w14:textId="77777777" w:rsidR="007E586D" w:rsidRDefault="002652EA">
                <w:pPr>
                  <w:spacing w:before="10"/>
                  <w:ind w:left="20"/>
                  <w:rPr>
                    <w:sz w:val="20"/>
                  </w:rPr>
                </w:pPr>
                <w:r>
                  <w:rPr>
                    <w:w w:val="99"/>
                    <w:sz w:val="20"/>
                  </w:rPr>
                  <w:t>2</w:t>
                </w:r>
              </w:p>
            </w:txbxContent>
          </v:textbox>
          <w10:wrap anchorx="page" anchory="page"/>
        </v:shape>
      </w:pict>
    </w:r>
    <w:r>
      <w:pict w14:anchorId="34C54641">
        <v:shape id="_x0000_s2057" type="#_x0000_t202" style="position:absolute;margin-left:191pt;margin-top:732.05pt;width:204.75pt;height:24.8pt;z-index:-252206080;mso-position-horizontal-relative:page;mso-position-vertical-relative:page" filled="f" stroked="f">
          <v:textbox inset="0,0,0,0">
            <w:txbxContent>
              <w:p w14:paraId="2CCB8B23" w14:textId="77777777" w:rsidR="007E586D" w:rsidRDefault="002652EA">
                <w:pPr>
                  <w:spacing w:before="10" w:line="244" w:lineRule="auto"/>
                  <w:ind w:left="1431" w:right="-11" w:hanging="1412"/>
                  <w:rPr>
                    <w:sz w:val="20"/>
                  </w:rPr>
                </w:pPr>
                <w:r>
                  <w:rPr>
                    <w:sz w:val="20"/>
                  </w:rPr>
                  <w:t>Clinical Procedures (CP) V1.0 Flowsheets Module Release Notes</w:t>
                </w:r>
              </w:p>
            </w:txbxContent>
          </v:textbox>
          <w10:wrap anchorx="page" anchory="page"/>
        </v:shape>
      </w:pict>
    </w:r>
    <w:r>
      <w:pict w14:anchorId="0F24F01A">
        <v:shape id="_x0000_s2056" type="#_x0000_t202" style="position:absolute;margin-left:479.1pt;margin-top:732.05pt;width:42.75pt;height:13.05pt;z-index:-252205056;mso-position-horizontal-relative:page;mso-position-vertical-relative:page" filled="f" stroked="f">
          <v:textbox inset="0,0,0,0">
            <w:txbxContent>
              <w:p w14:paraId="44C58A80" w14:textId="77777777" w:rsidR="007E586D" w:rsidRDefault="002652EA">
                <w:pPr>
                  <w:spacing w:before="10"/>
                  <w:ind w:left="20"/>
                  <w:rPr>
                    <w:sz w:val="20"/>
                  </w:rPr>
                </w:pPr>
                <w:r>
                  <w:rPr>
                    <w:sz w:val="20"/>
                  </w:rPr>
                  <w:t>May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1B33" w14:textId="77777777" w:rsidR="007E586D" w:rsidRDefault="00F37E5E">
    <w:pPr>
      <w:pStyle w:val="BodyText"/>
      <w:spacing w:line="14" w:lineRule="auto"/>
      <w:rPr>
        <w:sz w:val="20"/>
      </w:rPr>
    </w:pPr>
    <w:r>
      <w:pict w14:anchorId="171BC9AC">
        <v:shapetype id="_x0000_t202" coordsize="21600,21600" o:spt="202" path="m,l,21600r21600,l21600,xe">
          <v:stroke joinstyle="miter"/>
          <v:path gradientshapeok="t" o:connecttype="rect"/>
        </v:shapetype>
        <v:shape id="_x0000_s2055" type="#_x0000_t202" style="position:absolute;margin-left:249.6pt;margin-top:732.4pt;width:58.8pt;height:13.05pt;z-index:-252204032;mso-position-horizontal-relative:page;mso-position-vertical-relative:page" filled="f" stroked="f">
          <v:textbox inset="0,0,0,0">
            <w:txbxContent>
              <w:p w14:paraId="05943E80" w14:textId="77777777" w:rsidR="007E586D" w:rsidRDefault="002652EA">
                <w:pPr>
                  <w:spacing w:before="10"/>
                  <w:ind w:left="20"/>
                  <w:rPr>
                    <w:sz w:val="20"/>
                  </w:rPr>
                </w:pPr>
                <w:r>
                  <w:rPr>
                    <w:sz w:val="20"/>
                  </w:rPr>
                  <w:t>Release Notes</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5B04" w14:textId="77777777" w:rsidR="007E586D" w:rsidRDefault="00F37E5E">
    <w:pPr>
      <w:pStyle w:val="BodyText"/>
      <w:spacing w:line="14" w:lineRule="auto"/>
      <w:rPr>
        <w:sz w:val="20"/>
      </w:rPr>
    </w:pPr>
    <w:r>
      <w:pict w14:anchorId="2014961D">
        <v:shapetype id="_x0000_t202" coordsize="21600,21600" o:spt="202" path="m,l,21600r21600,l21600,xe">
          <v:stroke joinstyle="miter"/>
          <v:path gradientshapeok="t" o:connecttype="rect"/>
        </v:shapetype>
        <v:shape id="_x0000_s2054" type="#_x0000_t202" style="position:absolute;margin-left:71pt;margin-top:732.05pt;width:7pt;height:13.05pt;z-index:-252203008;mso-position-horizontal-relative:page;mso-position-vertical-relative:page" filled="f" stroked="f">
          <v:textbox inset="0,0,0,0">
            <w:txbxContent>
              <w:p w14:paraId="48C4978F" w14:textId="77777777" w:rsidR="007E586D" w:rsidRDefault="002652EA">
                <w:pPr>
                  <w:spacing w:before="10"/>
                  <w:ind w:left="20"/>
                  <w:rPr>
                    <w:sz w:val="20"/>
                  </w:rPr>
                </w:pPr>
                <w:r>
                  <w:rPr>
                    <w:w w:val="99"/>
                    <w:sz w:val="20"/>
                  </w:rPr>
                  <w:t>4</w:t>
                </w:r>
              </w:p>
            </w:txbxContent>
          </v:textbox>
          <w10:wrap anchorx="page" anchory="page"/>
        </v:shape>
      </w:pict>
    </w:r>
    <w:r>
      <w:pict w14:anchorId="50CFAD14">
        <v:shape id="_x0000_s2053" type="#_x0000_t202" style="position:absolute;margin-left:191pt;margin-top:732.05pt;width:204.75pt;height:24.8pt;z-index:-252201984;mso-position-horizontal-relative:page;mso-position-vertical-relative:page" filled="f" stroked="f">
          <v:textbox inset="0,0,0,0">
            <w:txbxContent>
              <w:p w14:paraId="7AC23F47" w14:textId="77777777" w:rsidR="007E586D" w:rsidRDefault="002652EA">
                <w:pPr>
                  <w:spacing w:before="10" w:line="244" w:lineRule="auto"/>
                  <w:ind w:left="1431" w:right="-11" w:hanging="1412"/>
                  <w:rPr>
                    <w:sz w:val="20"/>
                  </w:rPr>
                </w:pPr>
                <w:r>
                  <w:rPr>
                    <w:sz w:val="20"/>
                  </w:rPr>
                  <w:t>Clinical Procedures (CP) V1.0 Flowsheets Module Release Notes</w:t>
                </w:r>
              </w:p>
            </w:txbxContent>
          </v:textbox>
          <w10:wrap anchorx="page" anchory="page"/>
        </v:shape>
      </w:pict>
    </w:r>
    <w:r>
      <w:pict w14:anchorId="4A2FAA3D">
        <v:shape id="_x0000_s2052" type="#_x0000_t202" style="position:absolute;margin-left:479.1pt;margin-top:732.05pt;width:42.75pt;height:13.05pt;z-index:-252200960;mso-position-horizontal-relative:page;mso-position-vertical-relative:page" filled="f" stroked="f">
          <v:textbox inset="0,0,0,0">
            <w:txbxContent>
              <w:p w14:paraId="3FE24351" w14:textId="77777777" w:rsidR="007E586D" w:rsidRDefault="002652EA">
                <w:pPr>
                  <w:spacing w:before="10"/>
                  <w:ind w:left="20"/>
                  <w:rPr>
                    <w:sz w:val="20"/>
                  </w:rPr>
                </w:pPr>
                <w:r>
                  <w:rPr>
                    <w:sz w:val="20"/>
                  </w:rPr>
                  <w:t>May 2011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3345" w14:textId="77777777" w:rsidR="007E586D" w:rsidRDefault="00F37E5E">
    <w:pPr>
      <w:pStyle w:val="BodyText"/>
      <w:spacing w:line="14" w:lineRule="auto"/>
      <w:rPr>
        <w:sz w:val="20"/>
      </w:rPr>
    </w:pPr>
    <w:r>
      <w:pict w14:anchorId="21A2B510">
        <v:shapetype id="_x0000_t202" coordsize="21600,21600" o:spt="202" path="m,l,21600r21600,l21600,xe">
          <v:stroke joinstyle="miter"/>
          <v:path gradientshapeok="t" o:connecttype="rect"/>
        </v:shapetype>
        <v:shape id="_x0000_s2051" type="#_x0000_t202" style="position:absolute;margin-left:71pt;margin-top:552.05pt;width:42.8pt;height:13.05pt;z-index:-252199936;mso-position-horizontal-relative:page;mso-position-vertical-relative:page" filled="f" stroked="f">
          <v:textbox inset="0,0,0,0">
            <w:txbxContent>
              <w:p w14:paraId="59552C32" w14:textId="77777777" w:rsidR="007E586D" w:rsidRDefault="002652EA">
                <w:pPr>
                  <w:spacing w:before="10"/>
                  <w:ind w:left="20"/>
                  <w:rPr>
                    <w:sz w:val="20"/>
                  </w:rPr>
                </w:pPr>
                <w:r>
                  <w:rPr>
                    <w:sz w:val="20"/>
                  </w:rPr>
                  <w:t>May 2011</w:t>
                </w:r>
              </w:p>
            </w:txbxContent>
          </v:textbox>
          <w10:wrap anchorx="page" anchory="page"/>
        </v:shape>
      </w:pict>
    </w:r>
    <w:r>
      <w:pict w14:anchorId="7A08E48D">
        <v:shape id="_x0000_s2050" type="#_x0000_t202" style="position:absolute;margin-left:275.4pt;margin-top:552.05pt;width:204.75pt;height:24.8pt;z-index:-252198912;mso-position-horizontal-relative:page;mso-position-vertical-relative:page" filled="f" stroked="f">
          <v:textbox inset="0,0,0,0">
            <w:txbxContent>
              <w:p w14:paraId="4ED6E7CE" w14:textId="77777777" w:rsidR="007E586D" w:rsidRDefault="002652EA">
                <w:pPr>
                  <w:spacing w:before="10"/>
                  <w:ind w:left="20"/>
                  <w:rPr>
                    <w:sz w:val="20"/>
                  </w:rPr>
                </w:pPr>
                <w:r>
                  <w:rPr>
                    <w:sz w:val="20"/>
                  </w:rPr>
                  <w:t>Clinical Procedures (CP) V1.0 Flowsheets Module</w:t>
                </w:r>
              </w:p>
              <w:p w14:paraId="25879A9C" w14:textId="77777777" w:rsidR="007E586D" w:rsidRDefault="002652EA">
                <w:pPr>
                  <w:spacing w:before="6"/>
                  <w:ind w:left="1692"/>
                  <w:rPr>
                    <w:sz w:val="20"/>
                  </w:rPr>
                </w:pPr>
                <w:r>
                  <w:rPr>
                    <w:sz w:val="20"/>
                  </w:rPr>
                  <w:t>Release Notes</w:t>
                </w:r>
              </w:p>
            </w:txbxContent>
          </v:textbox>
          <w10:wrap anchorx="page" anchory="page"/>
        </v:shape>
      </w:pict>
    </w:r>
    <w:r>
      <w:pict w14:anchorId="4234E8D6">
        <v:shape id="_x0000_s2049" type="#_x0000_t202" style="position:absolute;margin-left:683.1pt;margin-top:552.05pt;width:7pt;height:13.05pt;z-index:-252197888;mso-position-horizontal-relative:page;mso-position-vertical-relative:page" filled="f" stroked="f">
          <v:textbox inset="0,0,0,0">
            <w:txbxContent>
              <w:p w14:paraId="50F5BBEF" w14:textId="77777777" w:rsidR="007E586D" w:rsidRDefault="002652EA">
                <w:pPr>
                  <w:spacing w:before="10"/>
                  <w:ind w:left="20"/>
                  <w:rPr>
                    <w:sz w:val="20"/>
                  </w:rPr>
                </w:pPr>
                <w:r>
                  <w:rPr>
                    <w:w w:val="99"/>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660F" w14:textId="77777777" w:rsidR="00F37E5E" w:rsidRDefault="00F37E5E">
      <w:r>
        <w:separator/>
      </w:r>
    </w:p>
  </w:footnote>
  <w:footnote w:type="continuationSeparator" w:id="0">
    <w:p w14:paraId="4744B637" w14:textId="77777777" w:rsidR="00F37E5E" w:rsidRDefault="00F3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586D"/>
    <w:rsid w:val="002652EA"/>
    <w:rsid w:val="002B37F2"/>
    <w:rsid w:val="006F2AA4"/>
    <w:rsid w:val="007E586D"/>
    <w:rsid w:val="00F3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3268131"/>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8"/>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220"/>
    </w:pPr>
    <w:rPr>
      <w:sz w:val="24"/>
      <w:szCs w:val="24"/>
    </w:rPr>
  </w:style>
  <w:style w:type="paragraph" w:styleId="TOC2">
    <w:name w:val="toc 2"/>
    <w:basedOn w:val="Normal"/>
    <w:uiPriority w:val="1"/>
    <w:qFormat/>
    <w:pPr>
      <w:spacing w:before="6"/>
      <w:ind w:left="465"/>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Release Notes - Patch MD*1*16</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MD*1*16</dc:title>
  <dc:subject>Clinical Procedures</dc:subject>
  <dc:creator/>
  <cp:keywords>CP Gateway Service, CP Console, CP Flowsheets</cp:keywords>
  <cp:lastModifiedBy>Dept of Veterans Affairs</cp:lastModifiedBy>
  <cp:revision>3</cp:revision>
  <dcterms:created xsi:type="dcterms:W3CDTF">2020-04-30T20:40:00Z</dcterms:created>
  <dcterms:modified xsi:type="dcterms:W3CDTF">2021-08-19T18:27:00Z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2011-05-12T00:00:00Z</vt:filetime>
  </property>
  <property fmtid="{D5CDD505-2E9C-101B-9397-08002B2CF9AE}" pid="3" name="Creator">
    <vt:lpwstr>Microsoft® Office Word 2007</vt:lpwstr>
  </property>
  <property fmtid="{D5CDD505-2E9C-101B-9397-08002B2CF9AE}" pid="4" name="LastSaved">
    <vt:filetime>2020-04-30T00:00:00Z</vt:filetime>
  </property>
</Properties>
</file>