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C47D" w14:textId="77777777" w:rsidR="005703B5" w:rsidRDefault="005703B5" w:rsidP="005703B5">
      <w:pPr>
        <w:tabs>
          <w:tab w:val="clear" w:pos="720"/>
          <w:tab w:val="left" w:pos="1275"/>
        </w:tabs>
        <w:ind w:right="162"/>
        <w:rPr>
          <w:rFonts w:ascii="Arial" w:hAnsi="Arial"/>
          <w:bCs/>
          <w:sz w:val="24"/>
        </w:rPr>
      </w:pPr>
      <w:r>
        <w:rPr>
          <w:rFonts w:ascii="Arial" w:hAnsi="Arial"/>
          <w:bCs/>
          <w:sz w:val="24"/>
        </w:rPr>
        <w:tab/>
      </w:r>
    </w:p>
    <w:p w14:paraId="1AD2B2EC" w14:textId="77777777" w:rsidR="005703B5" w:rsidRPr="00CD2961" w:rsidRDefault="00000000" w:rsidP="005703B5">
      <w:pPr>
        <w:ind w:right="162"/>
        <w:rPr>
          <w:rFonts w:ascii="Arial" w:hAnsi="Arial"/>
          <w:bCs/>
          <w:sz w:val="24"/>
        </w:rPr>
      </w:pPr>
      <w:r>
        <w:rPr>
          <w:rFonts w:ascii="Arial" w:hAnsi="Arial"/>
          <w:bCs/>
        </w:rPr>
        <w:pict w14:anchorId="28BAB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 Title Page" style="width:274.05pt;height:169.8pt">
            <v:imagedata r:id="rId7" o:title="VistA02small"/>
          </v:shape>
        </w:pict>
      </w:r>
    </w:p>
    <w:p w14:paraId="2026D477" w14:textId="77777777" w:rsidR="005703B5" w:rsidRPr="00CD2961" w:rsidRDefault="005703B5" w:rsidP="005703B5">
      <w:pPr>
        <w:ind w:right="162"/>
        <w:rPr>
          <w:rFonts w:ascii="Arial" w:hAnsi="Arial"/>
          <w:bCs/>
          <w:sz w:val="24"/>
        </w:rPr>
      </w:pPr>
    </w:p>
    <w:p w14:paraId="0CB18CB6" w14:textId="77777777" w:rsidR="005703B5" w:rsidRPr="00CD2961" w:rsidRDefault="005703B5" w:rsidP="005703B5">
      <w:pPr>
        <w:ind w:right="162"/>
        <w:rPr>
          <w:rFonts w:ascii="Arial" w:hAnsi="Arial"/>
          <w:bCs/>
          <w:sz w:val="24"/>
        </w:rPr>
      </w:pPr>
    </w:p>
    <w:p w14:paraId="126FCD6E" w14:textId="77777777" w:rsidR="005703B5" w:rsidRPr="00CD2961" w:rsidRDefault="005703B5" w:rsidP="005703B5">
      <w:pPr>
        <w:ind w:right="162"/>
        <w:rPr>
          <w:rFonts w:ascii="Arial" w:hAnsi="Arial"/>
          <w:bCs/>
          <w:sz w:val="24"/>
        </w:rPr>
      </w:pPr>
    </w:p>
    <w:p w14:paraId="6628A7FC" w14:textId="77777777" w:rsidR="005703B5" w:rsidRPr="00CD2961" w:rsidRDefault="005703B5" w:rsidP="005703B5">
      <w:pPr>
        <w:ind w:right="162"/>
        <w:rPr>
          <w:rFonts w:ascii="Arial" w:hAnsi="Arial"/>
          <w:b/>
          <w:sz w:val="48"/>
        </w:rPr>
      </w:pPr>
    </w:p>
    <w:p w14:paraId="40C16323" w14:textId="77777777" w:rsidR="005703B5" w:rsidRPr="00CD2961" w:rsidRDefault="005703B5" w:rsidP="005703B5">
      <w:pPr>
        <w:ind w:right="162"/>
        <w:rPr>
          <w:rFonts w:ascii="Arial" w:hAnsi="Arial"/>
          <w:b/>
          <w:sz w:val="48"/>
        </w:rPr>
      </w:pPr>
    </w:p>
    <w:p w14:paraId="56050177" w14:textId="77777777" w:rsidR="005703B5" w:rsidRPr="00CD2961" w:rsidRDefault="005703B5" w:rsidP="005703B5">
      <w:pPr>
        <w:ind w:right="162"/>
        <w:rPr>
          <w:rFonts w:ascii="Arial" w:hAnsi="Arial"/>
          <w:b/>
          <w:sz w:val="48"/>
        </w:rPr>
      </w:pPr>
    </w:p>
    <w:p w14:paraId="19162493" w14:textId="77777777" w:rsidR="005703B5" w:rsidRPr="00CD2961" w:rsidRDefault="005703B5" w:rsidP="005703B5">
      <w:pPr>
        <w:ind w:right="162"/>
        <w:rPr>
          <w:sz w:val="48"/>
        </w:rPr>
      </w:pPr>
      <w:r w:rsidRPr="00CD2961">
        <w:rPr>
          <w:rFonts w:ascii="Arial" w:hAnsi="Arial"/>
          <w:b/>
          <w:sz w:val="48"/>
        </w:rPr>
        <w:t>Computerized Patient Record System (CPRS)</w:t>
      </w:r>
    </w:p>
    <w:p w14:paraId="0185D5ED" w14:textId="77777777" w:rsidR="00483057" w:rsidRPr="00483057" w:rsidRDefault="00483057" w:rsidP="00483057">
      <w:pPr>
        <w:rPr>
          <w:b/>
          <w:bCs/>
          <w:smallCaps/>
          <w:sz w:val="40"/>
          <w:szCs w:val="40"/>
        </w:rPr>
      </w:pPr>
      <w:r w:rsidRPr="00483057">
        <w:rPr>
          <w:b/>
          <w:bCs/>
          <w:smallCaps/>
          <w:sz w:val="40"/>
          <w:szCs w:val="40"/>
        </w:rPr>
        <w:t>Patch# OR*3.0*270 Release Notes</w:t>
      </w:r>
    </w:p>
    <w:p w14:paraId="066C9342" w14:textId="77777777" w:rsidR="00483057" w:rsidRDefault="00483057" w:rsidP="00483057">
      <w:pPr>
        <w:rPr>
          <w:b/>
          <w:bCs/>
          <w:smallCaps/>
          <w:sz w:val="40"/>
        </w:rPr>
      </w:pPr>
    </w:p>
    <w:p w14:paraId="0E59FA43" w14:textId="6E974578" w:rsidR="00483057" w:rsidRDefault="00DF5FC4" w:rsidP="00483057">
      <w:pPr>
        <w:pBdr>
          <w:top w:val="thickThinSmallGap" w:sz="24" w:space="1" w:color="auto"/>
        </w:pBdr>
        <w:rPr>
          <w:b/>
          <w:bCs/>
          <w:smallCaps/>
          <w:sz w:val="40"/>
        </w:rPr>
      </w:pPr>
      <w:r>
        <w:rPr>
          <w:b/>
          <w:bCs/>
          <w:smallCaps/>
          <w:sz w:val="40"/>
        </w:rPr>
        <w:t>January 2007</w:t>
      </w:r>
      <w:r w:rsidR="00BC58F2">
        <w:rPr>
          <w:b/>
          <w:bCs/>
          <w:smallCaps/>
          <w:sz w:val="40"/>
        </w:rPr>
        <w:t xml:space="preserve"> </w:t>
      </w:r>
    </w:p>
    <w:p w14:paraId="2CE28C8E" w14:textId="77777777" w:rsidR="005703B5" w:rsidRPr="00CD2961" w:rsidRDefault="005703B5" w:rsidP="005703B5">
      <w:pPr>
        <w:ind w:right="162"/>
        <w:rPr>
          <w:b/>
        </w:rPr>
      </w:pPr>
    </w:p>
    <w:p w14:paraId="0A36DE3D" w14:textId="77777777" w:rsidR="005703B5" w:rsidRPr="00CD2961" w:rsidRDefault="005703B5" w:rsidP="005703B5">
      <w:pPr>
        <w:ind w:right="158"/>
        <w:rPr>
          <w:b/>
        </w:rPr>
      </w:pPr>
    </w:p>
    <w:p w14:paraId="75F88E1E" w14:textId="77777777" w:rsidR="005703B5" w:rsidRPr="00CD2961" w:rsidRDefault="005703B5" w:rsidP="005703B5">
      <w:pPr>
        <w:ind w:right="158"/>
        <w:rPr>
          <w:b/>
        </w:rPr>
      </w:pPr>
    </w:p>
    <w:p w14:paraId="5B710B6F" w14:textId="77777777" w:rsidR="005703B5" w:rsidRPr="00CD2961" w:rsidRDefault="005703B5" w:rsidP="005703B5">
      <w:pPr>
        <w:ind w:right="158"/>
        <w:rPr>
          <w:b/>
        </w:rPr>
      </w:pPr>
    </w:p>
    <w:p w14:paraId="1AD088F4" w14:textId="77777777" w:rsidR="005703B5" w:rsidRPr="00CD2961" w:rsidRDefault="005703B5" w:rsidP="005703B5">
      <w:pPr>
        <w:ind w:right="158"/>
        <w:rPr>
          <w:rFonts w:ascii="Arial" w:hAnsi="Arial"/>
        </w:rPr>
      </w:pPr>
      <w:r w:rsidRPr="00CD2961">
        <w:rPr>
          <w:rFonts w:ascii="Arial" w:hAnsi="Arial"/>
        </w:rPr>
        <w:t>Department of Veterans Affairs</w:t>
      </w:r>
    </w:p>
    <w:p w14:paraId="4D22B422" w14:textId="77777777" w:rsidR="005703B5" w:rsidRPr="00CD2961" w:rsidRDefault="005703B5" w:rsidP="005703B5">
      <w:pPr>
        <w:ind w:right="158"/>
        <w:rPr>
          <w:rFonts w:ascii="Arial" w:hAnsi="Arial"/>
        </w:rPr>
      </w:pPr>
      <w:r w:rsidRPr="00CD2961">
        <w:rPr>
          <w:rFonts w:ascii="Arial" w:hAnsi="Arial"/>
        </w:rPr>
        <w:t>Health Data Systems</w:t>
      </w:r>
    </w:p>
    <w:p w14:paraId="47655EBB" w14:textId="77777777" w:rsidR="005703B5" w:rsidRDefault="005703B5" w:rsidP="005703B5">
      <w:pPr>
        <w:ind w:right="158"/>
        <w:rPr>
          <w:rFonts w:ascii="Arial" w:hAnsi="Arial"/>
        </w:rPr>
      </w:pPr>
      <w:r w:rsidRPr="00CD2961">
        <w:rPr>
          <w:rFonts w:ascii="Arial" w:hAnsi="Arial"/>
        </w:rPr>
        <w:t>Computerized Patient Record System Product Line</w:t>
      </w:r>
    </w:p>
    <w:p w14:paraId="16F018BB" w14:textId="77777777" w:rsidR="005703B5" w:rsidRPr="00F03015" w:rsidRDefault="00560F7B" w:rsidP="00F03015">
      <w:pPr>
        <w:pStyle w:val="CPRSH4"/>
        <w:rPr>
          <w:sz w:val="28"/>
          <w:szCs w:val="28"/>
          <w:u w:val="none"/>
        </w:rPr>
      </w:pPr>
      <w:r>
        <w:br w:type="page"/>
      </w:r>
      <w:bookmarkStart w:id="0" w:name="_Toc102960957"/>
      <w:r w:rsidR="005703B5" w:rsidRPr="00F03015">
        <w:rPr>
          <w:sz w:val="28"/>
          <w:szCs w:val="28"/>
          <w:u w:val="none"/>
        </w:rPr>
        <w:lastRenderedPageBreak/>
        <w:t>Revision History</w:t>
      </w:r>
      <w:bookmarkEnd w:id="0"/>
      <w:r w:rsidR="005703B5" w:rsidRPr="00F03015">
        <w:rPr>
          <w:sz w:val="28"/>
          <w:szCs w:val="28"/>
          <w:u w:val="none"/>
        </w:rPr>
        <w:t xml:space="preserve"> </w:t>
      </w:r>
    </w:p>
    <w:p w14:paraId="13F18DE3" w14:textId="77777777" w:rsidR="005703B5" w:rsidRPr="00CD2961" w:rsidRDefault="005703B5" w:rsidP="005703B5">
      <w:pPr>
        <w:pStyle w:val="CPRSH2BodyChar"/>
      </w:pPr>
      <w:r w:rsidRPr="00CD2961">
        <w:t>The most recent entries in this list are linked to the location in the manual they describe. Click on a link or page number to go to that section.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080"/>
        <w:gridCol w:w="2880"/>
        <w:gridCol w:w="1530"/>
        <w:gridCol w:w="1620"/>
      </w:tblGrid>
      <w:tr w:rsidR="005703B5" w:rsidRPr="00CD2961" w14:paraId="6F8290CC" w14:textId="77777777">
        <w:trPr>
          <w:trHeight w:val="431"/>
        </w:trPr>
        <w:tc>
          <w:tcPr>
            <w:tcW w:w="1170" w:type="dxa"/>
            <w:tcBorders>
              <w:bottom w:val="single" w:sz="4" w:space="0" w:color="auto"/>
            </w:tcBorders>
          </w:tcPr>
          <w:p w14:paraId="34DCE9AC" w14:textId="77777777" w:rsidR="005703B5" w:rsidRPr="00CD2961" w:rsidRDefault="005703B5" w:rsidP="005703B5">
            <w:pPr>
              <w:shd w:val="clear" w:color="auto" w:fill="auto"/>
              <w:ind w:left="0" w:right="-108"/>
              <w:jc w:val="center"/>
              <w:rPr>
                <w:rFonts w:ascii="Arial" w:hAnsi="Arial"/>
                <w:b/>
                <w:sz w:val="24"/>
              </w:rPr>
            </w:pPr>
            <w:r w:rsidRPr="00CD2961">
              <w:rPr>
                <w:rFonts w:ascii="Arial" w:hAnsi="Arial"/>
                <w:b/>
                <w:sz w:val="24"/>
              </w:rPr>
              <w:t>Date</w:t>
            </w:r>
          </w:p>
        </w:tc>
        <w:tc>
          <w:tcPr>
            <w:tcW w:w="1440" w:type="dxa"/>
            <w:tcBorders>
              <w:bottom w:val="single" w:sz="4" w:space="0" w:color="auto"/>
            </w:tcBorders>
          </w:tcPr>
          <w:p w14:paraId="19FD4BC5" w14:textId="77777777" w:rsidR="005703B5" w:rsidRPr="00CD2961" w:rsidRDefault="005703B5" w:rsidP="005703B5">
            <w:pPr>
              <w:shd w:val="clear" w:color="auto" w:fill="auto"/>
              <w:tabs>
                <w:tab w:val="clear" w:pos="720"/>
              </w:tabs>
              <w:ind w:left="0" w:right="-108"/>
              <w:jc w:val="center"/>
              <w:rPr>
                <w:rFonts w:ascii="Arial" w:hAnsi="Arial"/>
                <w:b/>
                <w:sz w:val="24"/>
              </w:rPr>
            </w:pPr>
            <w:r w:rsidRPr="00CD2961">
              <w:rPr>
                <w:rFonts w:ascii="Arial" w:hAnsi="Arial"/>
                <w:b/>
                <w:sz w:val="24"/>
              </w:rPr>
              <w:t>Patch</w:t>
            </w:r>
          </w:p>
        </w:tc>
        <w:tc>
          <w:tcPr>
            <w:tcW w:w="1080" w:type="dxa"/>
            <w:tcBorders>
              <w:bottom w:val="single" w:sz="4" w:space="0" w:color="auto"/>
            </w:tcBorders>
          </w:tcPr>
          <w:p w14:paraId="255087B4" w14:textId="77777777" w:rsidR="005703B5" w:rsidRPr="00CD2961" w:rsidRDefault="005703B5" w:rsidP="005703B5">
            <w:pPr>
              <w:shd w:val="clear" w:color="auto" w:fill="auto"/>
              <w:tabs>
                <w:tab w:val="clear" w:pos="720"/>
                <w:tab w:val="left" w:pos="702"/>
              </w:tabs>
              <w:ind w:left="0" w:right="-108"/>
              <w:jc w:val="center"/>
              <w:rPr>
                <w:rFonts w:ascii="Arial" w:hAnsi="Arial"/>
                <w:b/>
                <w:sz w:val="24"/>
              </w:rPr>
            </w:pPr>
            <w:r w:rsidRPr="00CD2961">
              <w:rPr>
                <w:rFonts w:ascii="Arial" w:hAnsi="Arial"/>
                <w:b/>
                <w:sz w:val="24"/>
              </w:rPr>
              <w:t>Page</w:t>
            </w:r>
          </w:p>
        </w:tc>
        <w:tc>
          <w:tcPr>
            <w:tcW w:w="2880" w:type="dxa"/>
            <w:tcBorders>
              <w:bottom w:val="single" w:sz="4" w:space="0" w:color="auto"/>
            </w:tcBorders>
          </w:tcPr>
          <w:p w14:paraId="1D72D4A4" w14:textId="77777777" w:rsidR="005703B5" w:rsidRPr="00CD2961" w:rsidRDefault="005703B5" w:rsidP="005703B5">
            <w:pPr>
              <w:shd w:val="clear" w:color="auto" w:fill="auto"/>
              <w:ind w:left="0" w:right="432"/>
              <w:jc w:val="center"/>
              <w:rPr>
                <w:rFonts w:ascii="Arial" w:hAnsi="Arial"/>
                <w:b/>
                <w:sz w:val="24"/>
              </w:rPr>
            </w:pPr>
            <w:r w:rsidRPr="00CD2961">
              <w:rPr>
                <w:rFonts w:ascii="Arial" w:hAnsi="Arial"/>
                <w:b/>
                <w:sz w:val="24"/>
              </w:rPr>
              <w:t>Change</w:t>
            </w:r>
          </w:p>
        </w:tc>
        <w:tc>
          <w:tcPr>
            <w:tcW w:w="1530" w:type="dxa"/>
            <w:tcBorders>
              <w:bottom w:val="single" w:sz="4" w:space="0" w:color="auto"/>
            </w:tcBorders>
          </w:tcPr>
          <w:p w14:paraId="59545FA8" w14:textId="77777777" w:rsidR="005703B5" w:rsidRPr="00CD2961" w:rsidRDefault="005703B5" w:rsidP="005703B5">
            <w:pPr>
              <w:shd w:val="clear" w:color="auto" w:fill="auto"/>
              <w:tabs>
                <w:tab w:val="clear" w:pos="720"/>
              </w:tabs>
              <w:ind w:left="0"/>
              <w:jc w:val="center"/>
              <w:rPr>
                <w:rFonts w:ascii="Arial" w:hAnsi="Arial"/>
                <w:b/>
                <w:sz w:val="24"/>
              </w:rPr>
            </w:pPr>
            <w:r w:rsidRPr="00CD2961">
              <w:rPr>
                <w:rFonts w:ascii="Arial" w:hAnsi="Arial"/>
                <w:b/>
                <w:sz w:val="24"/>
              </w:rPr>
              <w:t>Project Manager</w:t>
            </w:r>
          </w:p>
        </w:tc>
        <w:tc>
          <w:tcPr>
            <w:tcW w:w="1620" w:type="dxa"/>
            <w:tcBorders>
              <w:bottom w:val="single" w:sz="4" w:space="0" w:color="auto"/>
            </w:tcBorders>
          </w:tcPr>
          <w:p w14:paraId="14E6A632" w14:textId="77777777" w:rsidR="005703B5" w:rsidRPr="00CD2961" w:rsidRDefault="005703B5" w:rsidP="005703B5">
            <w:pPr>
              <w:shd w:val="clear" w:color="auto" w:fill="auto"/>
              <w:tabs>
                <w:tab w:val="clear" w:pos="720"/>
              </w:tabs>
              <w:ind w:left="0"/>
              <w:jc w:val="center"/>
              <w:rPr>
                <w:rFonts w:ascii="Arial" w:hAnsi="Arial"/>
                <w:b/>
                <w:sz w:val="24"/>
              </w:rPr>
            </w:pPr>
            <w:r w:rsidRPr="00CD2961">
              <w:rPr>
                <w:rFonts w:ascii="Arial" w:hAnsi="Arial"/>
                <w:b/>
                <w:sz w:val="24"/>
              </w:rPr>
              <w:t>Technical Writer</w:t>
            </w:r>
          </w:p>
        </w:tc>
      </w:tr>
      <w:tr w:rsidR="00C07C22" w:rsidRPr="00424CB0" w14:paraId="4F150B86" w14:textId="77777777" w:rsidTr="007B4C00">
        <w:trPr>
          <w:trHeight w:val="962"/>
        </w:trPr>
        <w:tc>
          <w:tcPr>
            <w:tcW w:w="1170" w:type="dxa"/>
            <w:tcBorders>
              <w:bottom w:val="single" w:sz="4" w:space="0" w:color="auto"/>
            </w:tcBorders>
          </w:tcPr>
          <w:p w14:paraId="7EF9CAA1" w14:textId="77777777" w:rsidR="00C07C22" w:rsidRPr="00CF4FA2" w:rsidRDefault="00C07C22" w:rsidP="00C07C22">
            <w:pPr>
              <w:shd w:val="clear" w:color="auto" w:fill="auto"/>
              <w:ind w:left="0" w:right="-108"/>
              <w:rPr>
                <w:bCs/>
              </w:rPr>
            </w:pPr>
            <w:r>
              <w:rPr>
                <w:bCs/>
              </w:rPr>
              <w:t>1/16</w:t>
            </w:r>
            <w:r w:rsidRPr="00CF4FA2">
              <w:rPr>
                <w:bCs/>
              </w:rPr>
              <w:t>/07</w:t>
            </w:r>
          </w:p>
        </w:tc>
        <w:tc>
          <w:tcPr>
            <w:tcW w:w="1440" w:type="dxa"/>
            <w:tcBorders>
              <w:bottom w:val="single" w:sz="4" w:space="0" w:color="auto"/>
            </w:tcBorders>
          </w:tcPr>
          <w:p w14:paraId="4FDF91AD" w14:textId="77777777" w:rsidR="00C07C22" w:rsidRPr="00CF4FA2" w:rsidRDefault="00C07C22" w:rsidP="00C07C22">
            <w:pPr>
              <w:shd w:val="clear" w:color="auto" w:fill="auto"/>
              <w:tabs>
                <w:tab w:val="clear" w:pos="720"/>
              </w:tabs>
              <w:ind w:left="0" w:right="-108"/>
              <w:rPr>
                <w:bCs/>
              </w:rPr>
            </w:pPr>
            <w:r w:rsidRPr="00CF4FA2">
              <w:rPr>
                <w:bCs/>
              </w:rPr>
              <w:t>OR*3.0*270</w:t>
            </w:r>
          </w:p>
        </w:tc>
        <w:tc>
          <w:tcPr>
            <w:tcW w:w="1080" w:type="dxa"/>
            <w:tcBorders>
              <w:bottom w:val="single" w:sz="4" w:space="0" w:color="auto"/>
            </w:tcBorders>
          </w:tcPr>
          <w:p w14:paraId="4EE4782F" w14:textId="77777777" w:rsidR="00C07C22" w:rsidRPr="00CF4FA2" w:rsidRDefault="00C07C22" w:rsidP="00C07C22">
            <w:pPr>
              <w:shd w:val="clear" w:color="auto" w:fill="auto"/>
              <w:tabs>
                <w:tab w:val="clear" w:pos="720"/>
                <w:tab w:val="left" w:pos="702"/>
              </w:tabs>
              <w:ind w:left="0" w:right="-108"/>
              <w:rPr>
                <w:bCs/>
              </w:rPr>
            </w:pPr>
            <w:r>
              <w:rPr>
                <w:bCs/>
              </w:rPr>
              <w:t>6</w:t>
            </w:r>
          </w:p>
        </w:tc>
        <w:tc>
          <w:tcPr>
            <w:tcW w:w="2880" w:type="dxa"/>
            <w:tcBorders>
              <w:bottom w:val="single" w:sz="4" w:space="0" w:color="auto"/>
            </w:tcBorders>
          </w:tcPr>
          <w:p w14:paraId="2DE370DA" w14:textId="77777777" w:rsidR="00C07C22" w:rsidRPr="00CF4FA2" w:rsidRDefault="00C07C22" w:rsidP="00C07C22">
            <w:pPr>
              <w:ind w:left="54"/>
              <w:rPr>
                <w:bCs/>
              </w:rPr>
            </w:pPr>
            <w:r>
              <w:rPr>
                <w:bCs/>
              </w:rPr>
              <w:t>Revised link to the patient safety alert and altered some language concerning the BCMA patch release.</w:t>
            </w:r>
          </w:p>
        </w:tc>
        <w:tc>
          <w:tcPr>
            <w:tcW w:w="1530" w:type="dxa"/>
            <w:tcBorders>
              <w:bottom w:val="single" w:sz="4" w:space="0" w:color="auto"/>
            </w:tcBorders>
          </w:tcPr>
          <w:p w14:paraId="096D2381" w14:textId="77777777" w:rsidR="00C07C22" w:rsidRPr="00E8448C" w:rsidRDefault="00C07C22" w:rsidP="00C07C22">
            <w:pPr>
              <w:ind w:left="54"/>
              <w:rPr>
                <w:bCs/>
              </w:rPr>
            </w:pPr>
            <w:r w:rsidRPr="008E1A6C">
              <w:rPr>
                <w:bCs/>
                <w:highlight w:val="yellow"/>
              </w:rPr>
              <w:t>REDACTED</w:t>
            </w:r>
          </w:p>
        </w:tc>
        <w:tc>
          <w:tcPr>
            <w:tcW w:w="1620" w:type="dxa"/>
            <w:tcBorders>
              <w:bottom w:val="single" w:sz="4" w:space="0" w:color="auto"/>
            </w:tcBorders>
          </w:tcPr>
          <w:p w14:paraId="3AF7CA34" w14:textId="77777777" w:rsidR="00C07C22" w:rsidRPr="00CF4FA2" w:rsidRDefault="00C07C22" w:rsidP="00C07C22">
            <w:pPr>
              <w:ind w:left="54"/>
              <w:rPr>
                <w:bCs/>
              </w:rPr>
            </w:pPr>
            <w:r w:rsidRPr="008E1A6C">
              <w:rPr>
                <w:bCs/>
                <w:highlight w:val="yellow"/>
              </w:rPr>
              <w:t>REDACTED</w:t>
            </w:r>
          </w:p>
        </w:tc>
      </w:tr>
      <w:tr w:rsidR="00C07C22" w:rsidRPr="00424CB0" w14:paraId="6EC98231" w14:textId="77777777" w:rsidTr="00397B79">
        <w:trPr>
          <w:trHeight w:val="962"/>
        </w:trPr>
        <w:tc>
          <w:tcPr>
            <w:tcW w:w="1170" w:type="dxa"/>
            <w:tcBorders>
              <w:bottom w:val="single" w:sz="4" w:space="0" w:color="auto"/>
            </w:tcBorders>
          </w:tcPr>
          <w:p w14:paraId="7567FD53" w14:textId="77777777" w:rsidR="00C07C22" w:rsidRPr="00CF4FA2" w:rsidRDefault="00C07C22" w:rsidP="00C07C22">
            <w:pPr>
              <w:shd w:val="clear" w:color="auto" w:fill="auto"/>
              <w:ind w:left="0" w:right="-108"/>
              <w:rPr>
                <w:bCs/>
              </w:rPr>
            </w:pPr>
            <w:r>
              <w:rPr>
                <w:bCs/>
              </w:rPr>
              <w:t>1/11</w:t>
            </w:r>
            <w:r w:rsidRPr="00CF4FA2">
              <w:rPr>
                <w:bCs/>
              </w:rPr>
              <w:t>/07</w:t>
            </w:r>
          </w:p>
        </w:tc>
        <w:tc>
          <w:tcPr>
            <w:tcW w:w="1440" w:type="dxa"/>
            <w:tcBorders>
              <w:bottom w:val="single" w:sz="4" w:space="0" w:color="auto"/>
            </w:tcBorders>
          </w:tcPr>
          <w:p w14:paraId="316E5DB4" w14:textId="77777777" w:rsidR="00C07C22" w:rsidRPr="00CF4FA2" w:rsidRDefault="00C07C22" w:rsidP="00C07C22">
            <w:pPr>
              <w:shd w:val="clear" w:color="auto" w:fill="auto"/>
              <w:tabs>
                <w:tab w:val="clear" w:pos="720"/>
              </w:tabs>
              <w:ind w:left="0" w:right="-108"/>
              <w:rPr>
                <w:bCs/>
              </w:rPr>
            </w:pPr>
            <w:r w:rsidRPr="00CF4FA2">
              <w:rPr>
                <w:bCs/>
              </w:rPr>
              <w:t>OR*3.0*270</w:t>
            </w:r>
          </w:p>
        </w:tc>
        <w:tc>
          <w:tcPr>
            <w:tcW w:w="1080" w:type="dxa"/>
            <w:tcBorders>
              <w:bottom w:val="single" w:sz="4" w:space="0" w:color="auto"/>
            </w:tcBorders>
          </w:tcPr>
          <w:p w14:paraId="720D824D" w14:textId="77777777" w:rsidR="00C07C22" w:rsidRPr="00CF4FA2" w:rsidRDefault="00C07C22" w:rsidP="00C07C22">
            <w:pPr>
              <w:shd w:val="clear" w:color="auto" w:fill="auto"/>
              <w:tabs>
                <w:tab w:val="clear" w:pos="720"/>
                <w:tab w:val="left" w:pos="702"/>
              </w:tabs>
              <w:ind w:left="0" w:right="-108"/>
              <w:rPr>
                <w:bCs/>
              </w:rPr>
            </w:pPr>
            <w:r>
              <w:rPr>
                <w:bCs/>
              </w:rPr>
              <w:t>6</w:t>
            </w:r>
          </w:p>
        </w:tc>
        <w:tc>
          <w:tcPr>
            <w:tcW w:w="2880" w:type="dxa"/>
            <w:tcBorders>
              <w:bottom w:val="single" w:sz="4" w:space="0" w:color="auto"/>
            </w:tcBorders>
          </w:tcPr>
          <w:p w14:paraId="0B4CC1DB" w14:textId="77777777" w:rsidR="00C07C22" w:rsidRPr="00CF4FA2" w:rsidRDefault="00C07C22" w:rsidP="00C07C22">
            <w:pPr>
              <w:ind w:left="54"/>
              <w:rPr>
                <w:bCs/>
              </w:rPr>
            </w:pPr>
            <w:r w:rsidRPr="00CF4FA2">
              <w:rPr>
                <w:bCs/>
              </w:rPr>
              <w:t>Added</w:t>
            </w:r>
            <w:r>
              <w:rPr>
                <w:bCs/>
              </w:rPr>
              <w:t xml:space="preserve"> an action that might address the </w:t>
            </w:r>
            <w:proofErr w:type="spellStart"/>
            <w:r>
              <w:rPr>
                <w:bCs/>
              </w:rPr>
              <w:t>Sentillion</w:t>
            </w:r>
            <w:proofErr w:type="spellEnd"/>
            <w:r>
              <w:rPr>
                <w:bCs/>
              </w:rPr>
              <w:t xml:space="preserve"> known issue.</w:t>
            </w:r>
          </w:p>
        </w:tc>
        <w:tc>
          <w:tcPr>
            <w:tcW w:w="1530" w:type="dxa"/>
            <w:tcBorders>
              <w:bottom w:val="single" w:sz="4" w:space="0" w:color="auto"/>
            </w:tcBorders>
          </w:tcPr>
          <w:p w14:paraId="1AB5A808" w14:textId="77777777" w:rsidR="00C07C22" w:rsidRPr="00E8448C" w:rsidRDefault="00C07C22" w:rsidP="00C07C22">
            <w:pPr>
              <w:ind w:left="54"/>
              <w:rPr>
                <w:bCs/>
              </w:rPr>
            </w:pPr>
            <w:r w:rsidRPr="008E1A6C">
              <w:rPr>
                <w:bCs/>
                <w:highlight w:val="yellow"/>
              </w:rPr>
              <w:t>REDACTED</w:t>
            </w:r>
          </w:p>
        </w:tc>
        <w:tc>
          <w:tcPr>
            <w:tcW w:w="1620" w:type="dxa"/>
            <w:tcBorders>
              <w:bottom w:val="single" w:sz="4" w:space="0" w:color="auto"/>
            </w:tcBorders>
          </w:tcPr>
          <w:p w14:paraId="45FBFA98" w14:textId="77777777" w:rsidR="00C07C22" w:rsidRPr="00CF4FA2" w:rsidRDefault="00C07C22" w:rsidP="00C07C22">
            <w:pPr>
              <w:ind w:left="54"/>
              <w:rPr>
                <w:bCs/>
              </w:rPr>
            </w:pPr>
            <w:r w:rsidRPr="008E1A6C">
              <w:rPr>
                <w:bCs/>
                <w:highlight w:val="yellow"/>
              </w:rPr>
              <w:t>REDACTED</w:t>
            </w:r>
          </w:p>
        </w:tc>
      </w:tr>
      <w:tr w:rsidR="00C07C22" w:rsidRPr="00424CB0" w14:paraId="43D6B11B" w14:textId="77777777" w:rsidTr="00397B79">
        <w:trPr>
          <w:trHeight w:val="962"/>
        </w:trPr>
        <w:tc>
          <w:tcPr>
            <w:tcW w:w="1170" w:type="dxa"/>
            <w:tcBorders>
              <w:bottom w:val="single" w:sz="4" w:space="0" w:color="auto"/>
            </w:tcBorders>
          </w:tcPr>
          <w:p w14:paraId="43947DFF" w14:textId="77777777" w:rsidR="00C07C22" w:rsidRPr="00CF4FA2" w:rsidRDefault="00C07C22" w:rsidP="00C07C22">
            <w:pPr>
              <w:shd w:val="clear" w:color="auto" w:fill="auto"/>
              <w:ind w:left="0" w:right="-108"/>
              <w:rPr>
                <w:bCs/>
              </w:rPr>
            </w:pPr>
            <w:r w:rsidRPr="00CF4FA2">
              <w:rPr>
                <w:bCs/>
              </w:rPr>
              <w:t>1/8/07</w:t>
            </w:r>
          </w:p>
        </w:tc>
        <w:tc>
          <w:tcPr>
            <w:tcW w:w="1440" w:type="dxa"/>
            <w:tcBorders>
              <w:bottom w:val="single" w:sz="4" w:space="0" w:color="auto"/>
            </w:tcBorders>
          </w:tcPr>
          <w:p w14:paraId="32B28491" w14:textId="77777777" w:rsidR="00C07C22" w:rsidRPr="00CF4FA2" w:rsidRDefault="00C07C22" w:rsidP="00C07C22">
            <w:pPr>
              <w:shd w:val="clear" w:color="auto" w:fill="auto"/>
              <w:tabs>
                <w:tab w:val="clear" w:pos="720"/>
              </w:tabs>
              <w:ind w:left="0" w:right="-108"/>
              <w:rPr>
                <w:bCs/>
              </w:rPr>
            </w:pPr>
            <w:r w:rsidRPr="00CF4FA2">
              <w:rPr>
                <w:bCs/>
              </w:rPr>
              <w:t>OR*3.0*270</w:t>
            </w:r>
          </w:p>
        </w:tc>
        <w:tc>
          <w:tcPr>
            <w:tcW w:w="1080" w:type="dxa"/>
            <w:tcBorders>
              <w:bottom w:val="single" w:sz="4" w:space="0" w:color="auto"/>
            </w:tcBorders>
          </w:tcPr>
          <w:p w14:paraId="05947BDB" w14:textId="77777777" w:rsidR="00C07C22" w:rsidRPr="00CF4FA2" w:rsidRDefault="00C07C22" w:rsidP="00C07C22">
            <w:pPr>
              <w:shd w:val="clear" w:color="auto" w:fill="auto"/>
              <w:tabs>
                <w:tab w:val="clear" w:pos="720"/>
                <w:tab w:val="left" w:pos="702"/>
              </w:tabs>
              <w:ind w:left="0" w:right="-108"/>
              <w:rPr>
                <w:bCs/>
              </w:rPr>
            </w:pPr>
            <w:r>
              <w:rPr>
                <w:bCs/>
              </w:rPr>
              <w:t>6</w:t>
            </w:r>
          </w:p>
        </w:tc>
        <w:tc>
          <w:tcPr>
            <w:tcW w:w="2880" w:type="dxa"/>
            <w:tcBorders>
              <w:bottom w:val="single" w:sz="4" w:space="0" w:color="auto"/>
            </w:tcBorders>
          </w:tcPr>
          <w:p w14:paraId="2C60377C" w14:textId="77777777" w:rsidR="00C07C22" w:rsidRPr="00CF4FA2" w:rsidRDefault="00C07C22" w:rsidP="00C07C22">
            <w:pPr>
              <w:ind w:left="54"/>
              <w:rPr>
                <w:bCs/>
              </w:rPr>
            </w:pPr>
            <w:r w:rsidRPr="00CF4FA2">
              <w:rPr>
                <w:bCs/>
              </w:rPr>
              <w:t>Added a statement about reactivating CCOW for BCMA.</w:t>
            </w:r>
          </w:p>
        </w:tc>
        <w:tc>
          <w:tcPr>
            <w:tcW w:w="1530" w:type="dxa"/>
            <w:tcBorders>
              <w:bottom w:val="single" w:sz="4" w:space="0" w:color="auto"/>
            </w:tcBorders>
          </w:tcPr>
          <w:p w14:paraId="023D48FF" w14:textId="77777777" w:rsidR="00C07C22" w:rsidRPr="00E8448C" w:rsidRDefault="00C07C22" w:rsidP="00C07C22">
            <w:pPr>
              <w:ind w:left="54"/>
              <w:rPr>
                <w:bCs/>
              </w:rPr>
            </w:pPr>
            <w:r w:rsidRPr="008E1A6C">
              <w:rPr>
                <w:bCs/>
                <w:highlight w:val="yellow"/>
              </w:rPr>
              <w:t>REDACTED</w:t>
            </w:r>
          </w:p>
        </w:tc>
        <w:tc>
          <w:tcPr>
            <w:tcW w:w="1620" w:type="dxa"/>
            <w:tcBorders>
              <w:bottom w:val="single" w:sz="4" w:space="0" w:color="auto"/>
            </w:tcBorders>
          </w:tcPr>
          <w:p w14:paraId="042613EA" w14:textId="77777777" w:rsidR="00C07C22" w:rsidRPr="00CF4FA2" w:rsidRDefault="00C07C22" w:rsidP="00C07C22">
            <w:pPr>
              <w:ind w:left="54"/>
              <w:rPr>
                <w:bCs/>
              </w:rPr>
            </w:pPr>
            <w:r w:rsidRPr="008E1A6C">
              <w:rPr>
                <w:bCs/>
                <w:highlight w:val="yellow"/>
              </w:rPr>
              <w:t>REDACTED</w:t>
            </w:r>
          </w:p>
        </w:tc>
      </w:tr>
      <w:tr w:rsidR="00C07C22" w:rsidRPr="00424CB0" w14:paraId="1068AA1F" w14:textId="77777777" w:rsidTr="00483057">
        <w:trPr>
          <w:trHeight w:val="962"/>
        </w:trPr>
        <w:tc>
          <w:tcPr>
            <w:tcW w:w="1170" w:type="dxa"/>
            <w:tcBorders>
              <w:bottom w:val="single" w:sz="4" w:space="0" w:color="auto"/>
            </w:tcBorders>
          </w:tcPr>
          <w:p w14:paraId="1E553304" w14:textId="77777777" w:rsidR="00C07C22" w:rsidRPr="00E8448C" w:rsidRDefault="00C07C22" w:rsidP="00C07C22">
            <w:pPr>
              <w:shd w:val="clear" w:color="auto" w:fill="auto"/>
              <w:ind w:left="0" w:right="-108"/>
              <w:rPr>
                <w:bCs/>
              </w:rPr>
            </w:pPr>
            <w:r>
              <w:rPr>
                <w:bCs/>
              </w:rPr>
              <w:t>12/7/06</w:t>
            </w:r>
          </w:p>
        </w:tc>
        <w:tc>
          <w:tcPr>
            <w:tcW w:w="1440" w:type="dxa"/>
            <w:tcBorders>
              <w:bottom w:val="single" w:sz="4" w:space="0" w:color="auto"/>
            </w:tcBorders>
          </w:tcPr>
          <w:p w14:paraId="4592DF51" w14:textId="77777777" w:rsidR="00C07C22" w:rsidRPr="00E8448C" w:rsidRDefault="00C07C22" w:rsidP="00C07C22">
            <w:pPr>
              <w:shd w:val="clear" w:color="auto" w:fill="auto"/>
              <w:tabs>
                <w:tab w:val="clear" w:pos="720"/>
              </w:tabs>
              <w:ind w:left="0" w:right="-108"/>
              <w:rPr>
                <w:bCs/>
              </w:rPr>
            </w:pPr>
            <w:r>
              <w:rPr>
                <w:bCs/>
              </w:rPr>
              <w:t>OR*3.0*270</w:t>
            </w:r>
          </w:p>
        </w:tc>
        <w:tc>
          <w:tcPr>
            <w:tcW w:w="1080" w:type="dxa"/>
            <w:tcBorders>
              <w:bottom w:val="single" w:sz="4" w:space="0" w:color="auto"/>
            </w:tcBorders>
          </w:tcPr>
          <w:p w14:paraId="2E8E0F7A" w14:textId="77777777" w:rsidR="00C07C22" w:rsidRPr="00E8448C" w:rsidRDefault="00C07C22" w:rsidP="00C07C22">
            <w:pPr>
              <w:shd w:val="clear" w:color="auto" w:fill="auto"/>
              <w:tabs>
                <w:tab w:val="clear" w:pos="720"/>
                <w:tab w:val="left" w:pos="702"/>
              </w:tabs>
              <w:ind w:left="0" w:right="-108"/>
              <w:rPr>
                <w:bCs/>
              </w:rPr>
            </w:pPr>
            <w:r w:rsidRPr="00E8448C">
              <w:rPr>
                <w:bCs/>
              </w:rPr>
              <w:t>n/a</w:t>
            </w:r>
          </w:p>
        </w:tc>
        <w:tc>
          <w:tcPr>
            <w:tcW w:w="2880" w:type="dxa"/>
            <w:tcBorders>
              <w:bottom w:val="single" w:sz="4" w:space="0" w:color="auto"/>
            </w:tcBorders>
          </w:tcPr>
          <w:p w14:paraId="1AF48820" w14:textId="77777777" w:rsidR="00C07C22" w:rsidRPr="00E8448C" w:rsidRDefault="00C07C22" w:rsidP="00C07C22">
            <w:pPr>
              <w:ind w:left="54"/>
              <w:rPr>
                <w:bCs/>
              </w:rPr>
            </w:pPr>
            <w:r w:rsidRPr="00E8448C">
              <w:rPr>
                <w:bCs/>
              </w:rPr>
              <w:t>Initial version.</w:t>
            </w:r>
          </w:p>
        </w:tc>
        <w:tc>
          <w:tcPr>
            <w:tcW w:w="1530" w:type="dxa"/>
            <w:tcBorders>
              <w:bottom w:val="single" w:sz="4" w:space="0" w:color="auto"/>
            </w:tcBorders>
          </w:tcPr>
          <w:p w14:paraId="3216EE12" w14:textId="77777777" w:rsidR="00C07C22" w:rsidRPr="00E8448C" w:rsidRDefault="00C07C22" w:rsidP="00C07C22">
            <w:pPr>
              <w:ind w:left="54"/>
              <w:rPr>
                <w:bCs/>
              </w:rPr>
            </w:pPr>
            <w:r w:rsidRPr="008E1A6C">
              <w:rPr>
                <w:bCs/>
                <w:highlight w:val="yellow"/>
              </w:rPr>
              <w:t>REDACTED</w:t>
            </w:r>
          </w:p>
        </w:tc>
        <w:tc>
          <w:tcPr>
            <w:tcW w:w="1620" w:type="dxa"/>
            <w:tcBorders>
              <w:bottom w:val="single" w:sz="4" w:space="0" w:color="auto"/>
            </w:tcBorders>
          </w:tcPr>
          <w:p w14:paraId="34B7F617" w14:textId="77777777" w:rsidR="00C07C22" w:rsidRPr="00E8448C" w:rsidRDefault="00C07C22" w:rsidP="00C07C22">
            <w:pPr>
              <w:ind w:left="54"/>
              <w:rPr>
                <w:bCs/>
              </w:rPr>
            </w:pPr>
            <w:r w:rsidRPr="008E1A6C">
              <w:rPr>
                <w:bCs/>
                <w:highlight w:val="yellow"/>
              </w:rPr>
              <w:t>REDACTED</w:t>
            </w:r>
          </w:p>
        </w:tc>
      </w:tr>
    </w:tbl>
    <w:p w14:paraId="1A5331F8" w14:textId="77777777" w:rsidR="002C06B4" w:rsidRDefault="002C06B4"/>
    <w:p w14:paraId="04B0AE3F" w14:textId="77777777" w:rsidR="00534E87" w:rsidRPr="00F03015" w:rsidRDefault="00F03015" w:rsidP="00F03015">
      <w:pPr>
        <w:pStyle w:val="NormalWeb"/>
        <w:rPr>
          <w:rFonts w:ascii="Arial" w:hAnsi="Arial" w:cs="Arial"/>
          <w:b/>
          <w:sz w:val="28"/>
          <w:szCs w:val="28"/>
        </w:rPr>
      </w:pPr>
      <w:r>
        <w:rPr>
          <w:rFonts w:ascii="Arial" w:hAnsi="Arial" w:cs="Arial"/>
          <w:b/>
          <w:sz w:val="28"/>
          <w:szCs w:val="28"/>
        </w:rPr>
        <w:br w:type="page"/>
      </w:r>
      <w:r w:rsidR="00C80735" w:rsidRPr="00F03015">
        <w:rPr>
          <w:rFonts w:ascii="Arial" w:hAnsi="Arial" w:cs="Arial"/>
          <w:b/>
          <w:sz w:val="28"/>
          <w:szCs w:val="28"/>
        </w:rPr>
        <w:lastRenderedPageBreak/>
        <w:t>Table of Contents</w:t>
      </w:r>
    </w:p>
    <w:p w14:paraId="09194E61" w14:textId="67151E74" w:rsidR="005759AB" w:rsidRDefault="00E8448C">
      <w:pPr>
        <w:pStyle w:val="TOC2"/>
        <w:tabs>
          <w:tab w:val="right" w:leader="dot" w:pos="8630"/>
        </w:tabs>
        <w:rPr>
          <w:noProof/>
          <w:sz w:val="24"/>
          <w:szCs w:val="24"/>
        </w:rPr>
      </w:pPr>
      <w:r>
        <w:fldChar w:fldCharType="begin"/>
      </w:r>
      <w:r>
        <w:instrText xml:space="preserve"> TOC \o "1-3" \h \z \t "CPRS H1,1,CPRS H2,2,CPRS H3,3" </w:instrText>
      </w:r>
      <w:r>
        <w:fldChar w:fldCharType="separate"/>
      </w:r>
      <w:hyperlink w:anchor="_Toc156284894" w:history="1">
        <w:r w:rsidR="005759AB" w:rsidRPr="002E3192">
          <w:rPr>
            <w:rStyle w:val="Hyperlink"/>
            <w:smallCaps/>
            <w:noProof/>
          </w:rPr>
          <w:t>Purpose</w:t>
        </w:r>
        <w:r w:rsidR="005759AB">
          <w:rPr>
            <w:noProof/>
            <w:webHidden/>
          </w:rPr>
          <w:tab/>
        </w:r>
        <w:r w:rsidR="005759AB">
          <w:rPr>
            <w:noProof/>
            <w:webHidden/>
          </w:rPr>
          <w:fldChar w:fldCharType="begin"/>
        </w:r>
        <w:r w:rsidR="005759AB">
          <w:rPr>
            <w:noProof/>
            <w:webHidden/>
          </w:rPr>
          <w:instrText xml:space="preserve"> PAGEREF _Toc156284894 \h </w:instrText>
        </w:r>
        <w:r w:rsidR="005759AB">
          <w:rPr>
            <w:noProof/>
            <w:webHidden/>
          </w:rPr>
        </w:r>
        <w:r w:rsidR="005759AB">
          <w:rPr>
            <w:noProof/>
            <w:webHidden/>
          </w:rPr>
          <w:fldChar w:fldCharType="separate"/>
        </w:r>
        <w:r w:rsidR="00D85CE8">
          <w:rPr>
            <w:noProof/>
            <w:webHidden/>
          </w:rPr>
          <w:t>4</w:t>
        </w:r>
        <w:r w:rsidR="005759AB">
          <w:rPr>
            <w:noProof/>
            <w:webHidden/>
          </w:rPr>
          <w:fldChar w:fldCharType="end"/>
        </w:r>
      </w:hyperlink>
    </w:p>
    <w:p w14:paraId="2AE08827" w14:textId="057F8CD3" w:rsidR="005759AB" w:rsidRDefault="00000000">
      <w:pPr>
        <w:pStyle w:val="TOC2"/>
        <w:tabs>
          <w:tab w:val="right" w:leader="dot" w:pos="8630"/>
        </w:tabs>
        <w:rPr>
          <w:noProof/>
          <w:sz w:val="24"/>
          <w:szCs w:val="24"/>
        </w:rPr>
      </w:pPr>
      <w:hyperlink w:anchor="_Toc156284895" w:history="1">
        <w:r w:rsidR="005759AB" w:rsidRPr="002E3192">
          <w:rPr>
            <w:rStyle w:val="Hyperlink"/>
            <w:smallCaps/>
            <w:noProof/>
          </w:rPr>
          <w:t>Installation Requirements</w:t>
        </w:r>
        <w:r w:rsidR="005759AB">
          <w:rPr>
            <w:noProof/>
            <w:webHidden/>
          </w:rPr>
          <w:tab/>
        </w:r>
        <w:r w:rsidR="005759AB">
          <w:rPr>
            <w:noProof/>
            <w:webHidden/>
          </w:rPr>
          <w:fldChar w:fldCharType="begin"/>
        </w:r>
        <w:r w:rsidR="005759AB">
          <w:rPr>
            <w:noProof/>
            <w:webHidden/>
          </w:rPr>
          <w:instrText xml:space="preserve"> PAGEREF _Toc156284895 \h </w:instrText>
        </w:r>
        <w:r w:rsidR="005759AB">
          <w:rPr>
            <w:noProof/>
            <w:webHidden/>
          </w:rPr>
        </w:r>
        <w:r w:rsidR="005759AB">
          <w:rPr>
            <w:noProof/>
            <w:webHidden/>
          </w:rPr>
          <w:fldChar w:fldCharType="separate"/>
        </w:r>
        <w:r w:rsidR="00D85CE8">
          <w:rPr>
            <w:noProof/>
            <w:webHidden/>
          </w:rPr>
          <w:t>4</w:t>
        </w:r>
        <w:r w:rsidR="005759AB">
          <w:rPr>
            <w:noProof/>
            <w:webHidden/>
          </w:rPr>
          <w:fldChar w:fldCharType="end"/>
        </w:r>
      </w:hyperlink>
    </w:p>
    <w:p w14:paraId="02D3FA64" w14:textId="7DBBBAF3" w:rsidR="005759AB" w:rsidRDefault="00000000">
      <w:pPr>
        <w:pStyle w:val="TOC3"/>
        <w:tabs>
          <w:tab w:val="right" w:leader="dot" w:pos="8630"/>
        </w:tabs>
        <w:rPr>
          <w:noProof/>
          <w:sz w:val="24"/>
          <w:szCs w:val="24"/>
        </w:rPr>
      </w:pPr>
      <w:hyperlink w:anchor="_Toc156284896" w:history="1">
        <w:r w:rsidR="005759AB" w:rsidRPr="002E3192">
          <w:rPr>
            <w:rStyle w:val="Hyperlink"/>
            <w:noProof/>
          </w:rPr>
          <w:t>Required Patches</w:t>
        </w:r>
        <w:r w:rsidR="005759AB">
          <w:rPr>
            <w:noProof/>
            <w:webHidden/>
          </w:rPr>
          <w:tab/>
        </w:r>
        <w:r w:rsidR="005759AB">
          <w:rPr>
            <w:noProof/>
            <w:webHidden/>
          </w:rPr>
          <w:fldChar w:fldCharType="begin"/>
        </w:r>
        <w:r w:rsidR="005759AB">
          <w:rPr>
            <w:noProof/>
            <w:webHidden/>
          </w:rPr>
          <w:instrText xml:space="preserve"> PAGEREF _Toc156284896 \h </w:instrText>
        </w:r>
        <w:r w:rsidR="005759AB">
          <w:rPr>
            <w:noProof/>
            <w:webHidden/>
          </w:rPr>
        </w:r>
        <w:r w:rsidR="005759AB">
          <w:rPr>
            <w:noProof/>
            <w:webHidden/>
          </w:rPr>
          <w:fldChar w:fldCharType="separate"/>
        </w:r>
        <w:r w:rsidR="00D85CE8">
          <w:rPr>
            <w:noProof/>
            <w:webHidden/>
          </w:rPr>
          <w:t>4</w:t>
        </w:r>
        <w:r w:rsidR="005759AB">
          <w:rPr>
            <w:noProof/>
            <w:webHidden/>
          </w:rPr>
          <w:fldChar w:fldCharType="end"/>
        </w:r>
      </w:hyperlink>
    </w:p>
    <w:p w14:paraId="193986FA" w14:textId="68E1C84A" w:rsidR="005759AB" w:rsidRDefault="00000000">
      <w:pPr>
        <w:pStyle w:val="TOC2"/>
        <w:tabs>
          <w:tab w:val="right" w:leader="dot" w:pos="8630"/>
        </w:tabs>
        <w:rPr>
          <w:noProof/>
          <w:sz w:val="24"/>
          <w:szCs w:val="24"/>
        </w:rPr>
      </w:pPr>
      <w:hyperlink w:anchor="_Toc156284897" w:history="1">
        <w:r w:rsidR="005759AB" w:rsidRPr="002E3192">
          <w:rPr>
            <w:rStyle w:val="Hyperlink"/>
            <w:bCs/>
            <w:smallCaps/>
            <w:noProof/>
          </w:rPr>
          <w:t>Patient Safety Issue (PSI)</w:t>
        </w:r>
        <w:r w:rsidR="005759AB">
          <w:rPr>
            <w:noProof/>
            <w:webHidden/>
          </w:rPr>
          <w:tab/>
        </w:r>
        <w:r w:rsidR="005759AB">
          <w:rPr>
            <w:noProof/>
            <w:webHidden/>
          </w:rPr>
          <w:fldChar w:fldCharType="begin"/>
        </w:r>
        <w:r w:rsidR="005759AB">
          <w:rPr>
            <w:noProof/>
            <w:webHidden/>
          </w:rPr>
          <w:instrText xml:space="preserve"> PAGEREF _Toc156284897 \h </w:instrText>
        </w:r>
        <w:r w:rsidR="005759AB">
          <w:rPr>
            <w:noProof/>
            <w:webHidden/>
          </w:rPr>
        </w:r>
        <w:r w:rsidR="005759AB">
          <w:rPr>
            <w:noProof/>
            <w:webHidden/>
          </w:rPr>
          <w:fldChar w:fldCharType="separate"/>
        </w:r>
        <w:r w:rsidR="00D85CE8">
          <w:rPr>
            <w:noProof/>
            <w:webHidden/>
          </w:rPr>
          <w:t>4</w:t>
        </w:r>
        <w:r w:rsidR="005759AB">
          <w:rPr>
            <w:noProof/>
            <w:webHidden/>
          </w:rPr>
          <w:fldChar w:fldCharType="end"/>
        </w:r>
      </w:hyperlink>
    </w:p>
    <w:p w14:paraId="4EFBE496" w14:textId="469EB262" w:rsidR="005759AB" w:rsidRDefault="00000000">
      <w:pPr>
        <w:pStyle w:val="TOC2"/>
        <w:tabs>
          <w:tab w:val="right" w:leader="dot" w:pos="8630"/>
        </w:tabs>
        <w:rPr>
          <w:noProof/>
          <w:sz w:val="24"/>
          <w:szCs w:val="24"/>
        </w:rPr>
      </w:pPr>
      <w:hyperlink w:anchor="_Toc156284898" w:history="1">
        <w:r w:rsidR="005759AB" w:rsidRPr="002E3192">
          <w:rPr>
            <w:rStyle w:val="Hyperlink"/>
            <w:noProof/>
          </w:rPr>
          <w:t>Reactivating CCOW with BCMA</w:t>
        </w:r>
        <w:r w:rsidR="005759AB">
          <w:rPr>
            <w:noProof/>
            <w:webHidden/>
          </w:rPr>
          <w:tab/>
        </w:r>
        <w:r w:rsidR="005759AB">
          <w:rPr>
            <w:noProof/>
            <w:webHidden/>
          </w:rPr>
          <w:fldChar w:fldCharType="begin"/>
        </w:r>
        <w:r w:rsidR="005759AB">
          <w:rPr>
            <w:noProof/>
            <w:webHidden/>
          </w:rPr>
          <w:instrText xml:space="preserve"> PAGEREF _Toc156284898 \h </w:instrText>
        </w:r>
        <w:r w:rsidR="005759AB">
          <w:rPr>
            <w:noProof/>
            <w:webHidden/>
          </w:rPr>
        </w:r>
        <w:r w:rsidR="005759AB">
          <w:rPr>
            <w:noProof/>
            <w:webHidden/>
          </w:rPr>
          <w:fldChar w:fldCharType="separate"/>
        </w:r>
        <w:r w:rsidR="00D85CE8">
          <w:rPr>
            <w:noProof/>
            <w:webHidden/>
          </w:rPr>
          <w:t>6</w:t>
        </w:r>
        <w:r w:rsidR="005759AB">
          <w:rPr>
            <w:noProof/>
            <w:webHidden/>
          </w:rPr>
          <w:fldChar w:fldCharType="end"/>
        </w:r>
      </w:hyperlink>
    </w:p>
    <w:p w14:paraId="307D2F13" w14:textId="72C63B40" w:rsidR="005759AB" w:rsidRDefault="00000000">
      <w:pPr>
        <w:pStyle w:val="TOC2"/>
        <w:tabs>
          <w:tab w:val="right" w:leader="dot" w:pos="8630"/>
        </w:tabs>
        <w:rPr>
          <w:noProof/>
          <w:sz w:val="24"/>
          <w:szCs w:val="24"/>
        </w:rPr>
      </w:pPr>
      <w:hyperlink w:anchor="_Toc156284899" w:history="1">
        <w:r w:rsidR="005759AB" w:rsidRPr="002E3192">
          <w:rPr>
            <w:rStyle w:val="Hyperlink"/>
            <w:noProof/>
          </w:rPr>
          <w:t>Known Sentillion CCOW Issue</w:t>
        </w:r>
        <w:r w:rsidR="005759AB">
          <w:rPr>
            <w:noProof/>
            <w:webHidden/>
          </w:rPr>
          <w:tab/>
        </w:r>
        <w:r w:rsidR="005759AB">
          <w:rPr>
            <w:noProof/>
            <w:webHidden/>
          </w:rPr>
          <w:fldChar w:fldCharType="begin"/>
        </w:r>
        <w:r w:rsidR="005759AB">
          <w:rPr>
            <w:noProof/>
            <w:webHidden/>
          </w:rPr>
          <w:instrText xml:space="preserve"> PAGEREF _Toc156284899 \h </w:instrText>
        </w:r>
        <w:r w:rsidR="005759AB">
          <w:rPr>
            <w:noProof/>
            <w:webHidden/>
          </w:rPr>
        </w:r>
        <w:r w:rsidR="005759AB">
          <w:rPr>
            <w:noProof/>
            <w:webHidden/>
          </w:rPr>
          <w:fldChar w:fldCharType="separate"/>
        </w:r>
        <w:r w:rsidR="00D85CE8">
          <w:rPr>
            <w:noProof/>
            <w:webHidden/>
          </w:rPr>
          <w:t>6</w:t>
        </w:r>
        <w:r w:rsidR="005759AB">
          <w:rPr>
            <w:noProof/>
            <w:webHidden/>
          </w:rPr>
          <w:fldChar w:fldCharType="end"/>
        </w:r>
      </w:hyperlink>
    </w:p>
    <w:p w14:paraId="4D83CAE9" w14:textId="77777777" w:rsidR="00534E87" w:rsidRDefault="00E8448C">
      <w:pPr>
        <w:sectPr w:rsidR="00534E87" w:rsidSect="00534E87">
          <w:footerReference w:type="default" r:id="rId8"/>
          <w:pgSz w:w="12240" w:h="15840"/>
          <w:pgMar w:top="1440" w:right="1800" w:bottom="1440" w:left="1800" w:header="720" w:footer="720" w:gutter="0"/>
          <w:cols w:space="720"/>
          <w:titlePg/>
          <w:docGrid w:linePitch="360"/>
        </w:sectPr>
      </w:pPr>
      <w:r>
        <w:fldChar w:fldCharType="end"/>
      </w:r>
    </w:p>
    <w:p w14:paraId="540C32C5" w14:textId="77777777" w:rsidR="00560F7B" w:rsidRDefault="00560F7B" w:rsidP="00534E87">
      <w:pPr>
        <w:pStyle w:val="CPRSH2"/>
        <w:rPr>
          <w:smallCaps/>
        </w:rPr>
      </w:pPr>
      <w:bookmarkStart w:id="1" w:name="_Toc156284894"/>
      <w:r>
        <w:rPr>
          <w:smallCaps/>
        </w:rPr>
        <w:lastRenderedPageBreak/>
        <w:t>Purpose</w:t>
      </w:r>
      <w:bookmarkEnd w:id="1"/>
    </w:p>
    <w:p w14:paraId="73049F82" w14:textId="77777777" w:rsidR="00EF17F6" w:rsidRPr="00EF17F6" w:rsidRDefault="00E84436" w:rsidP="00EF17F6">
      <w:pPr>
        <w:pStyle w:val="CPRSH3Body"/>
      </w:pPr>
      <w:r>
        <w:t xml:space="preserve">OR*3.0*270 is a </w:t>
      </w:r>
      <w:r w:rsidR="00EF17F6" w:rsidRPr="00EF17F6">
        <w:t xml:space="preserve">patch to address </w:t>
      </w:r>
      <w:r w:rsidR="00464EFF">
        <w:t>on</w:t>
      </w:r>
      <w:r>
        <w:t>e patient safety issue, PSI-06-1</w:t>
      </w:r>
      <w:r w:rsidR="00464EFF">
        <w:t>45</w:t>
      </w:r>
      <w:r>
        <w:t xml:space="preserve"> in CPRS GUI v.26</w:t>
      </w:r>
      <w:r w:rsidR="00464EFF">
        <w:t>.</w:t>
      </w:r>
    </w:p>
    <w:p w14:paraId="1368264E" w14:textId="77777777" w:rsidR="00560F7B" w:rsidRPr="00560F7B" w:rsidRDefault="00560F7B" w:rsidP="00560F7B">
      <w:pPr>
        <w:pStyle w:val="CPRSH2BodyChar"/>
      </w:pPr>
    </w:p>
    <w:p w14:paraId="1D923D5A" w14:textId="77777777" w:rsidR="00534E87" w:rsidRDefault="00534E87" w:rsidP="00534E87">
      <w:pPr>
        <w:pStyle w:val="CPRSH2"/>
        <w:rPr>
          <w:smallCaps/>
        </w:rPr>
      </w:pPr>
      <w:bookmarkStart w:id="2" w:name="_Toc156284895"/>
      <w:r>
        <w:rPr>
          <w:smallCaps/>
        </w:rPr>
        <w:t>Installation Requirements</w:t>
      </w:r>
      <w:bookmarkEnd w:id="2"/>
    </w:p>
    <w:p w14:paraId="0E487652" w14:textId="77777777" w:rsidR="00534E87" w:rsidRDefault="00534E87" w:rsidP="00534E87">
      <w:pPr>
        <w:pStyle w:val="CPRSH3"/>
      </w:pPr>
      <w:bookmarkStart w:id="3" w:name="_Toc156284896"/>
      <w:r>
        <w:t>Required Patches</w:t>
      </w:r>
      <w:bookmarkEnd w:id="3"/>
    </w:p>
    <w:p w14:paraId="0CEFEC5A" w14:textId="77777777" w:rsidR="00534E87" w:rsidRDefault="00534E87" w:rsidP="00534E87">
      <w:pPr>
        <w:pStyle w:val="CPRSH3Body"/>
      </w:pPr>
      <w:r>
        <w:t>B</w:t>
      </w:r>
      <w:r w:rsidR="005720FC">
        <w:t>efore you can install OR*3.0*270</w:t>
      </w:r>
      <w:r>
        <w:t>, you must install the following required patches:</w:t>
      </w:r>
    </w:p>
    <w:p w14:paraId="6B4AF3E3" w14:textId="77777777" w:rsidR="00534E87" w:rsidRPr="009D0BE2" w:rsidRDefault="00E84436" w:rsidP="009D0BE2">
      <w:pPr>
        <w:pStyle w:val="CPRSBullets"/>
      </w:pPr>
      <w:r w:rsidRPr="009D0BE2">
        <w:t>OR*3.0*258</w:t>
      </w:r>
    </w:p>
    <w:p w14:paraId="357B3856" w14:textId="77777777" w:rsidR="00C80735" w:rsidRPr="00AB3F75" w:rsidRDefault="00C80735" w:rsidP="00464EFF">
      <w:pPr>
        <w:pStyle w:val="CPRSNote"/>
        <w:rPr>
          <w:b/>
          <w:sz w:val="16"/>
          <w:szCs w:val="16"/>
        </w:rPr>
      </w:pPr>
    </w:p>
    <w:p w14:paraId="532D123C" w14:textId="77777777" w:rsidR="00534E87" w:rsidRDefault="00464EFF" w:rsidP="00464EFF">
      <w:pPr>
        <w:pStyle w:val="CPRSNote"/>
      </w:pPr>
      <w:r w:rsidRPr="00464EFF">
        <w:rPr>
          <w:b/>
        </w:rPr>
        <w:t>Note:</w:t>
      </w:r>
      <w:r>
        <w:tab/>
        <w:t>Internet Explorer 4.0 (IE4) or later is REQU</w:t>
      </w:r>
      <w:r w:rsidR="00E32653">
        <w:t>IRED in order for GUI version 26.69</w:t>
      </w:r>
      <w:r>
        <w:t xml:space="preserve"> to run. However IE 5.5 or later with 128-bit encryption is required for PKI functionality.</w:t>
      </w:r>
    </w:p>
    <w:p w14:paraId="03215D38" w14:textId="77777777" w:rsidR="00AB3F75" w:rsidRPr="00AB3F75" w:rsidRDefault="00AB3F75" w:rsidP="00AB3F75">
      <w:pPr>
        <w:pStyle w:val="CPRSH3Body"/>
      </w:pPr>
    </w:p>
    <w:p w14:paraId="3201E385" w14:textId="77777777" w:rsidR="00560F7B" w:rsidRPr="00560F7B" w:rsidRDefault="00E84436" w:rsidP="00560F7B">
      <w:pPr>
        <w:pStyle w:val="CPRSH2"/>
        <w:rPr>
          <w:bCs/>
          <w:smallCaps/>
        </w:rPr>
      </w:pPr>
      <w:bookmarkStart w:id="4" w:name="_Toc156284897"/>
      <w:r>
        <w:rPr>
          <w:bCs/>
          <w:smallCaps/>
        </w:rPr>
        <w:t>Patient Safety Issue (PSI</w:t>
      </w:r>
      <w:r w:rsidR="00560F7B" w:rsidRPr="00560F7B">
        <w:rPr>
          <w:bCs/>
          <w:smallCaps/>
        </w:rPr>
        <w:t>)</w:t>
      </w:r>
      <w:bookmarkEnd w:id="4"/>
    </w:p>
    <w:p w14:paraId="0D822550" w14:textId="77777777" w:rsidR="00462CA8" w:rsidRPr="00462CA8" w:rsidRDefault="00483057" w:rsidP="00462CA8">
      <w:pPr>
        <w:pStyle w:val="CPRSBullets"/>
        <w:rPr>
          <w:rFonts w:eastAsia="MS Mincho"/>
        </w:rPr>
      </w:pPr>
      <w:r w:rsidRPr="009D0BE2">
        <w:rPr>
          <w:rFonts w:eastAsia="MS Mincho"/>
          <w:b/>
        </w:rPr>
        <w:t>PSI-06-145: Mismatched Patient Name and Data with CCOW Error (</w:t>
      </w:r>
      <w:r w:rsidRPr="009D0BE2">
        <w:rPr>
          <w:b/>
        </w:rPr>
        <w:t xml:space="preserve">Remedy </w:t>
      </w:r>
      <w:r w:rsidR="007E74D5" w:rsidRPr="007E74D5">
        <w:rPr>
          <w:b/>
        </w:rPr>
        <w:t>166913</w:t>
      </w:r>
      <w:r w:rsidR="007E74D5">
        <w:rPr>
          <w:b/>
        </w:rPr>
        <w:t>,</w:t>
      </w:r>
      <w:r w:rsidR="007E74D5" w:rsidRPr="007E74D5">
        <w:rPr>
          <w:b/>
        </w:rPr>
        <w:t xml:space="preserve"> </w:t>
      </w:r>
      <w:r w:rsidRPr="009D0BE2">
        <w:rPr>
          <w:b/>
        </w:rPr>
        <w:t>163113, 162746)</w:t>
      </w:r>
      <w:r w:rsidRPr="009D0BE2">
        <w:rPr>
          <w:rFonts w:eastAsia="MS Mincho"/>
          <w:b/>
        </w:rPr>
        <w:t xml:space="preserve"> </w:t>
      </w:r>
      <w:bookmarkStart w:id="5" w:name="OLE_LINK1"/>
      <w:bookmarkStart w:id="6" w:name="OLE_LINK2"/>
      <w:r w:rsidR="00462CA8">
        <w:rPr>
          <w:rFonts w:eastAsia="MS Mincho"/>
        </w:rPr>
        <w:t xml:space="preserve">– </w:t>
      </w:r>
      <w:r w:rsidR="00462CA8" w:rsidRPr="00462CA8">
        <w:rPr>
          <w:rFonts w:eastAsia="MS Mincho"/>
        </w:rPr>
        <w:t>Under certain circumstances</w:t>
      </w:r>
      <w:r w:rsidR="00DE44E7">
        <w:rPr>
          <w:rFonts w:eastAsia="MS Mincho"/>
        </w:rPr>
        <w:t xml:space="preserve"> when using CPRS in context with another application or CPRS session</w:t>
      </w:r>
      <w:r w:rsidR="00462CA8" w:rsidRPr="00462CA8">
        <w:rPr>
          <w:rFonts w:eastAsia="MS Mincho"/>
        </w:rPr>
        <w:t xml:space="preserve">, it is possible </w:t>
      </w:r>
      <w:r w:rsidR="00DE44E7">
        <w:rPr>
          <w:rFonts w:eastAsia="MS Mincho"/>
        </w:rPr>
        <w:t>that the patient named</w:t>
      </w:r>
      <w:r w:rsidR="00462CA8">
        <w:rPr>
          <w:rFonts w:eastAsia="MS Mincho"/>
        </w:rPr>
        <w:t xml:space="preserve"> on the P</w:t>
      </w:r>
      <w:r w:rsidR="00462CA8" w:rsidRPr="00462CA8">
        <w:rPr>
          <w:rFonts w:eastAsia="MS Mincho"/>
        </w:rPr>
        <w:t xml:space="preserve">atient </w:t>
      </w:r>
      <w:r w:rsidR="00462CA8">
        <w:rPr>
          <w:rFonts w:eastAsia="MS Mincho"/>
        </w:rPr>
        <w:t xml:space="preserve">Inquiry </w:t>
      </w:r>
      <w:r w:rsidR="00462CA8" w:rsidRPr="00462CA8">
        <w:rPr>
          <w:rFonts w:eastAsia="MS Mincho"/>
        </w:rPr>
        <w:t xml:space="preserve">button (upper left of toolbar) is a different patient from the </w:t>
      </w:r>
      <w:r w:rsidR="00DE44E7">
        <w:rPr>
          <w:rFonts w:eastAsia="MS Mincho"/>
        </w:rPr>
        <w:t xml:space="preserve">patient whose </w:t>
      </w:r>
      <w:r w:rsidR="00462CA8" w:rsidRPr="00462CA8">
        <w:rPr>
          <w:rFonts w:eastAsia="MS Mincho"/>
        </w:rPr>
        <w:t xml:space="preserve">data </w:t>
      </w:r>
      <w:r w:rsidR="00DE44E7">
        <w:rPr>
          <w:rFonts w:eastAsia="MS Mincho"/>
        </w:rPr>
        <w:t xml:space="preserve">is displayed in the rest of CPRS. </w:t>
      </w:r>
      <w:r w:rsidR="00462CA8" w:rsidRPr="00462CA8">
        <w:rPr>
          <w:rFonts w:eastAsia="MS Mincho"/>
        </w:rPr>
        <w:t>T</w:t>
      </w:r>
      <w:r w:rsidR="00DE44E7">
        <w:rPr>
          <w:rFonts w:eastAsia="MS Mincho"/>
        </w:rPr>
        <w:t>he user has no way of knowing this. This error has been produced in the following scenarios:</w:t>
      </w:r>
    </w:p>
    <w:bookmarkEnd w:id="5"/>
    <w:bookmarkEnd w:id="6"/>
    <w:p w14:paraId="54DE16D3" w14:textId="77777777" w:rsidR="00AD1BF0" w:rsidRDefault="00DE44E7" w:rsidP="00DE44E7">
      <w:pPr>
        <w:pStyle w:val="CPRSBulletsSub2"/>
        <w:rPr>
          <w:rFonts w:eastAsia="MS Mincho"/>
        </w:rPr>
      </w:pPr>
      <w:r w:rsidRPr="00DE44E7">
        <w:rPr>
          <w:rFonts w:eastAsia="MS Mincho"/>
          <w:b/>
        </w:rPr>
        <w:t>Scenario 1:</w:t>
      </w:r>
      <w:r w:rsidRPr="00DE44E7">
        <w:rPr>
          <w:rFonts w:eastAsia="MS Mincho"/>
        </w:rPr>
        <w:t xml:space="preserve">  </w:t>
      </w:r>
      <w:r w:rsidR="00AD1BF0">
        <w:rPr>
          <w:rFonts w:eastAsia="MS Mincho"/>
        </w:rPr>
        <w:t>This scenario can occur under the following conditions</w:t>
      </w:r>
    </w:p>
    <w:p w14:paraId="671E6F4C" w14:textId="77777777" w:rsidR="00AD1BF0" w:rsidRDefault="00AD1BF0" w:rsidP="00AD1BF0">
      <w:pPr>
        <w:pStyle w:val="CPRSBulletssub3"/>
        <w:rPr>
          <w:rFonts w:eastAsia="MS Mincho"/>
        </w:rPr>
      </w:pPr>
      <w:r>
        <w:rPr>
          <w:rFonts w:eastAsia="MS Mincho"/>
        </w:rPr>
        <w:t>The user is processing alerts</w:t>
      </w:r>
      <w:r w:rsidR="008214EA">
        <w:rPr>
          <w:rFonts w:eastAsia="MS Mincho"/>
        </w:rPr>
        <w:t xml:space="preserve"> in CPRS</w:t>
      </w:r>
    </w:p>
    <w:p w14:paraId="15A09DDD" w14:textId="77777777" w:rsidR="00AD1BF0" w:rsidRDefault="00AD1BF0" w:rsidP="00AD1BF0">
      <w:pPr>
        <w:pStyle w:val="CPRSBulletssub3"/>
        <w:rPr>
          <w:rFonts w:eastAsia="MS Mincho"/>
        </w:rPr>
      </w:pPr>
      <w:r>
        <w:rPr>
          <w:rFonts w:eastAsia="MS Mincho"/>
        </w:rPr>
        <w:t xml:space="preserve">A CCOW-enabled application, such as </w:t>
      </w:r>
      <w:r w:rsidRPr="00DE44E7">
        <w:rPr>
          <w:rFonts w:eastAsia="MS Mincho"/>
        </w:rPr>
        <w:t>B</w:t>
      </w:r>
      <w:r>
        <w:rPr>
          <w:rFonts w:eastAsia="MS Mincho"/>
        </w:rPr>
        <w:t xml:space="preserve">ar </w:t>
      </w:r>
      <w:r w:rsidRPr="00DE44E7">
        <w:rPr>
          <w:rFonts w:eastAsia="MS Mincho"/>
        </w:rPr>
        <w:t>C</w:t>
      </w:r>
      <w:r>
        <w:rPr>
          <w:rFonts w:eastAsia="MS Mincho"/>
        </w:rPr>
        <w:t xml:space="preserve">ode </w:t>
      </w:r>
      <w:r w:rsidRPr="00DE44E7">
        <w:rPr>
          <w:rFonts w:eastAsia="MS Mincho"/>
        </w:rPr>
        <w:t>M</w:t>
      </w:r>
      <w:r>
        <w:rPr>
          <w:rFonts w:eastAsia="MS Mincho"/>
        </w:rPr>
        <w:t xml:space="preserve">edication </w:t>
      </w:r>
      <w:r w:rsidRPr="00DE44E7">
        <w:rPr>
          <w:rFonts w:eastAsia="MS Mincho"/>
        </w:rPr>
        <w:t>A</w:t>
      </w:r>
      <w:r>
        <w:rPr>
          <w:rFonts w:eastAsia="MS Mincho"/>
        </w:rPr>
        <w:t>dministration (BCMA)</w:t>
      </w:r>
      <w:r w:rsidRPr="00DE44E7">
        <w:rPr>
          <w:rFonts w:eastAsia="MS Mincho"/>
        </w:rPr>
        <w:t>, Vitals, C</w:t>
      </w:r>
      <w:r>
        <w:rPr>
          <w:rFonts w:eastAsia="MS Mincho"/>
        </w:rPr>
        <w:t xml:space="preserve">linical </w:t>
      </w:r>
      <w:r w:rsidRPr="00DE44E7">
        <w:rPr>
          <w:rFonts w:eastAsia="MS Mincho"/>
        </w:rPr>
        <w:t>C</w:t>
      </w:r>
      <w:r>
        <w:rPr>
          <w:rFonts w:eastAsia="MS Mincho"/>
        </w:rPr>
        <w:t>ase Registries (CCR)</w:t>
      </w:r>
      <w:r w:rsidRPr="00DE44E7">
        <w:rPr>
          <w:rFonts w:eastAsia="MS Mincho"/>
        </w:rPr>
        <w:t xml:space="preserve">, </w:t>
      </w:r>
      <w:r>
        <w:rPr>
          <w:rFonts w:eastAsia="MS Mincho"/>
        </w:rPr>
        <w:t xml:space="preserve">a </w:t>
      </w:r>
      <w:r w:rsidRPr="00DE44E7">
        <w:rPr>
          <w:rFonts w:eastAsia="MS Mincho"/>
        </w:rPr>
        <w:t>second linked copy of CPRS, etc</w:t>
      </w:r>
      <w:r>
        <w:rPr>
          <w:rFonts w:eastAsia="MS Mincho"/>
        </w:rPr>
        <w:t xml:space="preserve">., </w:t>
      </w:r>
      <w:r w:rsidR="00DE44E7" w:rsidRPr="00DE44E7">
        <w:rPr>
          <w:rFonts w:eastAsia="MS Mincho"/>
        </w:rPr>
        <w:t>is running on the desktop alongside CPRS</w:t>
      </w:r>
      <w:r>
        <w:rPr>
          <w:rFonts w:eastAsia="MS Mincho"/>
        </w:rPr>
        <w:t xml:space="preserve"> </w:t>
      </w:r>
    </w:p>
    <w:p w14:paraId="4DD4E64D" w14:textId="77777777" w:rsidR="008214EA" w:rsidRDefault="00AD1BF0" w:rsidP="00AD1BF0">
      <w:pPr>
        <w:pStyle w:val="CPRSBulletssub3"/>
        <w:rPr>
          <w:rFonts w:eastAsia="MS Mincho"/>
        </w:rPr>
      </w:pPr>
      <w:r>
        <w:rPr>
          <w:rFonts w:eastAsia="MS Mincho"/>
        </w:rPr>
        <w:t xml:space="preserve">The applications are sharing context with CPRS so the patients in the applications are synchronized while </w:t>
      </w:r>
      <w:r w:rsidR="00DE44E7" w:rsidRPr="00DE44E7">
        <w:rPr>
          <w:rFonts w:eastAsia="MS Mincho"/>
        </w:rPr>
        <w:t>the user</w:t>
      </w:r>
      <w:r w:rsidR="008214EA">
        <w:rPr>
          <w:rFonts w:eastAsia="MS Mincho"/>
        </w:rPr>
        <w:t xml:space="preserve"> is processing alerts in CPRS. </w:t>
      </w:r>
    </w:p>
    <w:p w14:paraId="7B93E898" w14:textId="77777777" w:rsidR="008214EA" w:rsidRDefault="00DE44E7" w:rsidP="00AD1BF0">
      <w:pPr>
        <w:pStyle w:val="CPRSBulletssub3"/>
        <w:rPr>
          <w:rFonts w:eastAsia="MS Mincho"/>
        </w:rPr>
      </w:pPr>
      <w:r w:rsidRPr="00DE44E7">
        <w:rPr>
          <w:rFonts w:eastAsia="MS Mincho"/>
        </w:rPr>
        <w:t xml:space="preserve">The other application in the background is unable to process a patient change caused by selection of a particular alert without certain consequences (items will be left unsigned, current process will be left incomplete, </w:t>
      </w:r>
      <w:proofErr w:type="spellStart"/>
      <w:r w:rsidRPr="00DE44E7">
        <w:rPr>
          <w:rFonts w:eastAsia="MS Mincho"/>
        </w:rPr>
        <w:t>etc</w:t>
      </w:r>
      <w:proofErr w:type="spellEnd"/>
      <w:r w:rsidRPr="00DE44E7">
        <w:rPr>
          <w:rFonts w:eastAsia="MS Mincho"/>
        </w:rPr>
        <w:t>)</w:t>
      </w:r>
      <w:r w:rsidR="008214EA">
        <w:rPr>
          <w:rFonts w:eastAsia="MS Mincho"/>
        </w:rPr>
        <w:t xml:space="preserve">. </w:t>
      </w:r>
    </w:p>
    <w:p w14:paraId="744EFA23" w14:textId="77777777" w:rsidR="008214EA" w:rsidRDefault="008214EA" w:rsidP="008214EA">
      <w:pPr>
        <w:pStyle w:val="CPRSBulletsBody"/>
        <w:rPr>
          <w:rFonts w:eastAsia="MS Mincho"/>
        </w:rPr>
      </w:pPr>
    </w:p>
    <w:p w14:paraId="14DF18B6" w14:textId="77777777" w:rsidR="008214EA" w:rsidRDefault="008214EA" w:rsidP="00255F0A">
      <w:pPr>
        <w:pStyle w:val="CPRSBulletsBody"/>
        <w:ind w:left="1800"/>
        <w:rPr>
          <w:rFonts w:eastAsia="MS Mincho"/>
        </w:rPr>
      </w:pPr>
      <w:r>
        <w:rPr>
          <w:rFonts w:eastAsia="MS Mincho"/>
        </w:rPr>
        <w:t>When the application cannot handle the patient change, s</w:t>
      </w:r>
      <w:r w:rsidR="00DE44E7" w:rsidRPr="00DE44E7">
        <w:rPr>
          <w:rFonts w:eastAsia="MS Mincho"/>
        </w:rPr>
        <w:t>tandard CCOW behavior is to alert the user to the inability of that application to change patients, and t</w:t>
      </w:r>
      <w:r>
        <w:rPr>
          <w:rFonts w:eastAsia="MS Mincho"/>
        </w:rPr>
        <w:t>o provide 3 choices to the user:</w:t>
      </w:r>
    </w:p>
    <w:p w14:paraId="4DC3CBAB" w14:textId="77777777" w:rsidR="008214EA" w:rsidRDefault="008214EA" w:rsidP="008214EA">
      <w:pPr>
        <w:pStyle w:val="CPRSBulletssub3"/>
        <w:rPr>
          <w:rFonts w:eastAsia="MS Mincho"/>
        </w:rPr>
      </w:pPr>
      <w:r>
        <w:rPr>
          <w:rFonts w:eastAsia="MS Mincho"/>
        </w:rPr>
        <w:t>The user can choose OK</w:t>
      </w:r>
      <w:r w:rsidR="00DE44E7" w:rsidRPr="00DE44E7">
        <w:rPr>
          <w:rFonts w:eastAsia="MS Mincho"/>
        </w:rPr>
        <w:t xml:space="preserve">, and continue with the patient change in both applications, despite the known consequences.  </w:t>
      </w:r>
    </w:p>
    <w:p w14:paraId="6B6938E2" w14:textId="77777777" w:rsidR="008214EA" w:rsidRDefault="008214EA" w:rsidP="008214EA">
      <w:pPr>
        <w:pStyle w:val="CPRSBulletssub3"/>
        <w:rPr>
          <w:rFonts w:eastAsia="MS Mincho"/>
        </w:rPr>
      </w:pPr>
      <w:r>
        <w:rPr>
          <w:rFonts w:eastAsia="MS Mincho"/>
        </w:rPr>
        <w:t xml:space="preserve">The user can choose Cancel to </w:t>
      </w:r>
      <w:r w:rsidR="00DE44E7" w:rsidRPr="00DE44E7">
        <w:rPr>
          <w:rFonts w:eastAsia="MS Mincho"/>
        </w:rPr>
        <w:t>leave both applications in the</w:t>
      </w:r>
      <w:r>
        <w:rPr>
          <w:rFonts w:eastAsia="MS Mincho"/>
        </w:rPr>
        <w:t xml:space="preserve"> existing patient. No changes occur.</w:t>
      </w:r>
      <w:r w:rsidR="00DE44E7" w:rsidRPr="00DE44E7">
        <w:rPr>
          <w:rFonts w:eastAsia="MS Mincho"/>
        </w:rPr>
        <w:t xml:space="preserve">  </w:t>
      </w:r>
    </w:p>
    <w:p w14:paraId="3EB8272B" w14:textId="77777777" w:rsidR="008214EA" w:rsidRDefault="008214EA" w:rsidP="008214EA">
      <w:pPr>
        <w:pStyle w:val="CPRSBulletssub3"/>
        <w:rPr>
          <w:rFonts w:eastAsia="MS Mincho"/>
        </w:rPr>
      </w:pPr>
      <w:r>
        <w:rPr>
          <w:rFonts w:eastAsia="MS Mincho"/>
        </w:rPr>
        <w:lastRenderedPageBreak/>
        <w:t>The user can choose Break link</w:t>
      </w:r>
      <w:r w:rsidR="00DE44E7" w:rsidRPr="00DE44E7">
        <w:rPr>
          <w:rFonts w:eastAsia="MS Mincho"/>
        </w:rPr>
        <w:t xml:space="preserve">.  </w:t>
      </w:r>
      <w:r>
        <w:rPr>
          <w:rFonts w:eastAsia="MS Mincho"/>
        </w:rPr>
        <w:t>In this case, t</w:t>
      </w:r>
      <w:r w:rsidR="00DE44E7" w:rsidRPr="00DE44E7">
        <w:rPr>
          <w:rFonts w:eastAsia="MS Mincho"/>
        </w:rPr>
        <w:t xml:space="preserve">he correct behavior would be to leave the CCOW context, change to the newly selected patient, show a broken link, and not affect the background application, which remains linked in context with the existing patient.  </w:t>
      </w:r>
    </w:p>
    <w:p w14:paraId="39C37A35" w14:textId="77777777" w:rsidR="008214EA" w:rsidRDefault="008214EA" w:rsidP="008214EA">
      <w:pPr>
        <w:pStyle w:val="CPRSBulletsBody"/>
        <w:rPr>
          <w:rFonts w:eastAsia="MS Mincho"/>
        </w:rPr>
      </w:pPr>
    </w:p>
    <w:p w14:paraId="1B341813" w14:textId="77777777" w:rsidR="00DE44E7" w:rsidRDefault="00DE44E7" w:rsidP="00255F0A">
      <w:pPr>
        <w:pStyle w:val="CPRSBulletsBody"/>
        <w:ind w:left="1800"/>
        <w:rPr>
          <w:rFonts w:eastAsia="MS Mincho"/>
        </w:rPr>
      </w:pPr>
      <w:r w:rsidRPr="00DE44E7">
        <w:rPr>
          <w:rFonts w:eastAsia="MS Mincho"/>
        </w:rPr>
        <w:t xml:space="preserve">Currently, in v26.68 and all earlier released versions, </w:t>
      </w:r>
      <w:r w:rsidR="008214EA">
        <w:rPr>
          <w:rFonts w:eastAsia="MS Mincho"/>
        </w:rPr>
        <w:t>choosing Break link</w:t>
      </w:r>
      <w:r w:rsidRPr="00DE44E7">
        <w:rPr>
          <w:rFonts w:eastAsia="MS Mincho"/>
        </w:rPr>
        <w:t xml:space="preserve"> is malfunctioning, but only while processing alerts with another application linked to context in the background.  </w:t>
      </w:r>
      <w:r w:rsidR="008214EA">
        <w:rPr>
          <w:rFonts w:eastAsia="MS Mincho"/>
        </w:rPr>
        <w:t xml:space="preserve">If the user chooses Break Link, </w:t>
      </w:r>
      <w:r w:rsidRPr="00DE44E7">
        <w:rPr>
          <w:rFonts w:eastAsia="MS Mincho"/>
        </w:rPr>
        <w:t xml:space="preserve">it appears that CPRS has indeed changed to the newly selected patient, </w:t>
      </w:r>
      <w:r w:rsidR="008214EA" w:rsidRPr="008214EA">
        <w:rPr>
          <w:rFonts w:eastAsia="MS Mincho"/>
          <w:b/>
        </w:rPr>
        <w:t xml:space="preserve">but </w:t>
      </w:r>
      <w:r w:rsidRPr="008214EA">
        <w:rPr>
          <w:rFonts w:eastAsia="MS Mincho"/>
          <w:b/>
        </w:rPr>
        <w:t>only the</w:t>
      </w:r>
      <w:r w:rsidR="008214EA" w:rsidRPr="008214EA">
        <w:rPr>
          <w:rFonts w:eastAsia="MS Mincho"/>
          <w:b/>
        </w:rPr>
        <w:t xml:space="preserve"> information on the Patient Inquiry</w:t>
      </w:r>
      <w:r w:rsidRPr="008214EA">
        <w:rPr>
          <w:rFonts w:eastAsia="MS Mincho"/>
          <w:b/>
        </w:rPr>
        <w:t xml:space="preserve"> but</w:t>
      </w:r>
      <w:r w:rsidR="008214EA" w:rsidRPr="008214EA">
        <w:rPr>
          <w:rFonts w:eastAsia="MS Mincho"/>
          <w:b/>
        </w:rPr>
        <w:t>ton has actually been changed.</w:t>
      </w:r>
      <w:r w:rsidR="008214EA">
        <w:rPr>
          <w:rFonts w:eastAsia="MS Mincho"/>
        </w:rPr>
        <w:t xml:space="preserve"> </w:t>
      </w:r>
      <w:r w:rsidRPr="00DE44E7">
        <w:rPr>
          <w:rFonts w:eastAsia="MS Mincho"/>
        </w:rPr>
        <w:t>All other information in the chart remains that of the</w:t>
      </w:r>
      <w:r w:rsidR="008214EA">
        <w:rPr>
          <w:rFonts w:eastAsia="MS Mincho"/>
        </w:rPr>
        <w:t xml:space="preserve"> previously selected patient.  Break Link</w:t>
      </w:r>
      <w:r w:rsidRPr="00DE44E7">
        <w:rPr>
          <w:rFonts w:eastAsia="MS Mincho"/>
        </w:rPr>
        <w:t xml:space="preserve"> is already functioning correctly on a patient change initiated by </w:t>
      </w:r>
      <w:r w:rsidR="008214EA">
        <w:rPr>
          <w:rFonts w:eastAsia="MS Mincho"/>
        </w:rPr>
        <w:t>the menu item “File/Select patient”, or by the “Select new patient”</w:t>
      </w:r>
      <w:r w:rsidRPr="00DE44E7">
        <w:rPr>
          <w:rFonts w:eastAsia="MS Mincho"/>
        </w:rPr>
        <w:t xml:space="preserve"> button on the patient demographics screen.</w:t>
      </w:r>
    </w:p>
    <w:p w14:paraId="388C5C0E" w14:textId="77777777" w:rsidR="008214EA" w:rsidRPr="00DE44E7" w:rsidRDefault="008214EA" w:rsidP="008214EA">
      <w:pPr>
        <w:pStyle w:val="CPRSBulletsBody"/>
        <w:rPr>
          <w:rFonts w:eastAsia="MS Mincho"/>
        </w:rPr>
      </w:pPr>
    </w:p>
    <w:p w14:paraId="7BB4660A" w14:textId="77777777" w:rsidR="00282855" w:rsidRDefault="00282855" w:rsidP="00282855">
      <w:pPr>
        <w:pStyle w:val="CPRSBulletsSub2"/>
      </w:pPr>
      <w:r w:rsidRPr="00282855">
        <w:rPr>
          <w:b/>
        </w:rPr>
        <w:t>Scenario 2:</w:t>
      </w:r>
      <w:r>
        <w:t xml:space="preserve">  If a CCOW connectivity error occurs between the Vergence Locator on the desktop and the CCOW vault, when and only when the patient selection screen is visible, CPRS v26.68 does not respond correctly to this error condition after the usual CCOW error message is displayed to the user.  </w:t>
      </w:r>
    </w:p>
    <w:p w14:paraId="52BB8F7C" w14:textId="77777777" w:rsidR="00282855" w:rsidRDefault="00282855" w:rsidP="00282855">
      <w:pPr>
        <w:pStyle w:val="CPRSBulletssub3"/>
      </w:pPr>
      <w:r>
        <w:t xml:space="preserve">If this is the first patient being selected on startup and </w:t>
      </w:r>
      <w:r w:rsidR="007C1FB3">
        <w:t>this</w:t>
      </w:r>
      <w:r w:rsidR="005720FC">
        <w:t xml:space="preserve"> error occurs, the selected patient’s information will not display on Patient Inquiry</w:t>
      </w:r>
      <w:r>
        <w:t xml:space="preserve"> button</w:t>
      </w:r>
      <w:r w:rsidR="005720FC">
        <w:t xml:space="preserve">; the button </w:t>
      </w:r>
      <w:r>
        <w:t>rema</w:t>
      </w:r>
      <w:r w:rsidR="005720FC">
        <w:t>ins</w:t>
      </w:r>
      <w:r w:rsidR="007C1FB3">
        <w:t xml:space="preserve"> in a “no patient selected”</w:t>
      </w:r>
      <w:r>
        <w:t xml:space="preserve"> state, despite the population of all other chart information for that patient.</w:t>
      </w:r>
    </w:p>
    <w:p w14:paraId="007C59A6" w14:textId="77777777" w:rsidR="00282855" w:rsidRDefault="00282855" w:rsidP="00282855">
      <w:pPr>
        <w:pStyle w:val="CPRSBulletssub3"/>
      </w:pPr>
      <w:r>
        <w:t xml:space="preserve">If </w:t>
      </w:r>
      <w:r w:rsidR="005720FC">
        <w:t xml:space="preserve">a CCOW error while the </w:t>
      </w:r>
      <w:r>
        <w:t>selection of a second or subseque</w:t>
      </w:r>
      <w:r w:rsidR="005720FC">
        <w:t>nt patient is in progress, the P</w:t>
      </w:r>
      <w:r>
        <w:t xml:space="preserve">atient </w:t>
      </w:r>
      <w:r w:rsidR="005720FC">
        <w:t>Inquiry</w:t>
      </w:r>
      <w:r>
        <w:t xml:space="preserve"> button will still contain the informa</w:t>
      </w:r>
      <w:r w:rsidR="005720FC">
        <w:t xml:space="preserve">tion for the previous patient. </w:t>
      </w:r>
      <w:r>
        <w:t>All other chart information will be that of the newly selected patient.</w:t>
      </w:r>
    </w:p>
    <w:p w14:paraId="3D87E15D" w14:textId="77777777" w:rsidR="007C1FB3" w:rsidRDefault="007C1FB3" w:rsidP="007C1FB3">
      <w:pPr>
        <w:pStyle w:val="cprs1numberedlistnote"/>
      </w:pPr>
    </w:p>
    <w:p w14:paraId="20DD7F22" w14:textId="77777777" w:rsidR="00206DB7" w:rsidRDefault="00206DB7" w:rsidP="00206DB7">
      <w:pPr>
        <w:pStyle w:val="CPRSBulletsSub2"/>
        <w:rPr>
          <w:rFonts w:eastAsia="MS Mincho"/>
        </w:rPr>
      </w:pPr>
      <w:r w:rsidRPr="00282855">
        <w:rPr>
          <w:rFonts w:eastAsia="MS Mincho"/>
          <w:b/>
        </w:rPr>
        <w:t>Related Menu Defect:</w:t>
      </w:r>
      <w:r w:rsidRPr="00206DB7">
        <w:rPr>
          <w:rFonts w:eastAsia="MS Mincho"/>
        </w:rPr>
        <w:t xml:space="preserve">  If a CCOW error is encountered at any time while using CPRS, the user receives a message that CCOW encountered an error, and will be disabled for the rem</w:t>
      </w:r>
      <w:r w:rsidR="006F4FA0">
        <w:rPr>
          <w:rFonts w:eastAsia="MS Mincho"/>
        </w:rPr>
        <w:t>ainder of the current session. The “File/Break Link” and “File/Rejoin Link”</w:t>
      </w:r>
      <w:r w:rsidRPr="00206DB7">
        <w:rPr>
          <w:rFonts w:eastAsia="MS Mincho"/>
        </w:rPr>
        <w:t xml:space="preserve"> menu items are greyed out and dis</w:t>
      </w:r>
      <w:r w:rsidR="006F4FA0">
        <w:rPr>
          <w:rFonts w:eastAsia="MS Mincho"/>
        </w:rPr>
        <w:t xml:space="preserve">abled after this error occurs. </w:t>
      </w:r>
      <w:r w:rsidRPr="00206DB7">
        <w:rPr>
          <w:rFonts w:eastAsia="MS Mincho"/>
        </w:rPr>
        <w:t>In v26.68, selecting a new patient after one of these errors inadvertently results in these menus being completely or partially re-ena</w:t>
      </w:r>
      <w:r w:rsidR="006F4FA0">
        <w:rPr>
          <w:rFonts w:eastAsia="MS Mincho"/>
        </w:rPr>
        <w:t xml:space="preserve">bled.  </w:t>
      </w:r>
    </w:p>
    <w:p w14:paraId="6C631231" w14:textId="77777777" w:rsidR="00483057" w:rsidRDefault="00483057" w:rsidP="00483057">
      <w:pPr>
        <w:pStyle w:val="CPRSBulletsBody"/>
        <w:rPr>
          <w:rFonts w:eastAsia="MS Mincho"/>
        </w:rPr>
      </w:pPr>
    </w:p>
    <w:p w14:paraId="2FBDCFA6" w14:textId="77777777" w:rsidR="00483057" w:rsidRDefault="00483057" w:rsidP="00483057">
      <w:pPr>
        <w:pStyle w:val="CPRSBulletsBody"/>
        <w:rPr>
          <w:rFonts w:eastAsia="MS Mincho"/>
        </w:rPr>
      </w:pPr>
      <w:r w:rsidRPr="00483057">
        <w:rPr>
          <w:rFonts w:eastAsia="MS Mincho"/>
          <w:b/>
        </w:rPr>
        <w:t>Resolution:</w:t>
      </w:r>
    </w:p>
    <w:p w14:paraId="1FD3D1DF" w14:textId="77777777" w:rsidR="006F4FA0" w:rsidRDefault="006F4FA0" w:rsidP="006F4FA0">
      <w:pPr>
        <w:pStyle w:val="CPRSBulletsSub2"/>
      </w:pPr>
      <w:r w:rsidRPr="006F4FA0">
        <w:rPr>
          <w:b/>
        </w:rPr>
        <w:t>Scenario 1:</w:t>
      </w:r>
      <w:r>
        <w:t xml:space="preserve">  The alert processing code in CPRS has been corrected to respond as it should to any user choice on the “Problem changing clinical context” dialog.</w:t>
      </w:r>
    </w:p>
    <w:p w14:paraId="1C272531" w14:textId="77777777" w:rsidR="006F4FA0" w:rsidRDefault="006F4FA0" w:rsidP="006F4FA0">
      <w:pPr>
        <w:pStyle w:val="CPRSBulletsSub2"/>
      </w:pPr>
      <w:r w:rsidRPr="006F4FA0">
        <w:rPr>
          <w:b/>
        </w:rPr>
        <w:t>Scenario 2:</w:t>
      </w:r>
      <w:r>
        <w:t xml:space="preserve">  CPRS error processing code has been corrected to reflect the correct patient after either of these patient selection errors occurs.</w:t>
      </w:r>
    </w:p>
    <w:p w14:paraId="24CA7FBA" w14:textId="77777777" w:rsidR="006F4FA0" w:rsidRDefault="006F4FA0" w:rsidP="006F4FA0">
      <w:pPr>
        <w:pStyle w:val="CPRSBulletsSub2"/>
      </w:pPr>
      <w:r w:rsidRPr="006F4FA0">
        <w:rPr>
          <w:b/>
        </w:rPr>
        <w:t>Related Defect:</w:t>
      </w:r>
      <w:r>
        <w:t xml:space="preserve">  These menus are no longer reenabled on every patient change, if a prior CCOW error condition for the session is still in effect.</w:t>
      </w:r>
    </w:p>
    <w:p w14:paraId="0792BB85" w14:textId="77777777" w:rsidR="00AE2C72" w:rsidRDefault="00AE2C72" w:rsidP="00AE2C72">
      <w:pPr>
        <w:pStyle w:val="CPRSH3Body"/>
      </w:pPr>
    </w:p>
    <w:p w14:paraId="23309298" w14:textId="77777777" w:rsidR="00AE2C72" w:rsidRDefault="00AE2C72" w:rsidP="00AE2C72">
      <w:pPr>
        <w:pStyle w:val="CPRSH3Body"/>
      </w:pPr>
    </w:p>
    <w:p w14:paraId="19748A51" w14:textId="77777777" w:rsidR="00AE2C72" w:rsidRDefault="00AE2C72" w:rsidP="00AE2C72">
      <w:pPr>
        <w:pStyle w:val="CPRSH3Body"/>
      </w:pPr>
    </w:p>
    <w:p w14:paraId="26EB08A3" w14:textId="77777777" w:rsidR="00AE2C72" w:rsidRDefault="00AE2C72" w:rsidP="00AE2C72">
      <w:pPr>
        <w:pStyle w:val="CPRSH2"/>
      </w:pPr>
      <w:bookmarkStart w:id="7" w:name="_Toc156284898"/>
      <w:r>
        <w:lastRenderedPageBreak/>
        <w:t>Reactivating CCOW with BCMA</w:t>
      </w:r>
      <w:bookmarkEnd w:id="7"/>
    </w:p>
    <w:p w14:paraId="21B72C6F" w14:textId="77777777" w:rsidR="00AE2C72" w:rsidRPr="001117F1" w:rsidRDefault="00AE2C72" w:rsidP="00AE2C72">
      <w:pPr>
        <w:pStyle w:val="CPRSH3Body"/>
      </w:pPr>
      <w:r w:rsidRPr="001117F1">
        <w:t xml:space="preserve">In </w:t>
      </w:r>
      <w:smartTag w:uri="urn:schemas-microsoft-com:office:smarttags" w:element="place">
        <w:smartTag w:uri="urn:schemas-microsoft-com:office:smarttags" w:element="PlaceName">
          <w:r w:rsidRPr="001117F1">
            <w:t>National</w:t>
          </w:r>
        </w:smartTag>
        <w:r w:rsidRPr="001117F1">
          <w:t xml:space="preserve"> </w:t>
        </w:r>
        <w:smartTag w:uri="urn:schemas-microsoft-com:office:smarttags" w:element="PlaceType">
          <w:r w:rsidRPr="001117F1">
            <w:t>Center</w:t>
          </w:r>
        </w:smartTag>
      </w:smartTag>
      <w:r w:rsidRPr="001117F1">
        <w:t xml:space="preserve"> for Patient Safety (NCPS) Alert #AL07-03 (</w:t>
      </w:r>
      <w:hyperlink r:id="rId9" w:history="1">
        <w:r w:rsidR="00921CAB" w:rsidRPr="002C1DA8">
          <w:rPr>
            <w:rStyle w:val="Hyperlink"/>
          </w:rPr>
          <w:t>http://vaww.ncps.med.va.gov/Guidelines/alerts/Docs/CPRSCCOWAL07-03.pdf</w:t>
        </w:r>
      </w:hyperlink>
      <w:r>
        <w:t xml:space="preserve">), sites </w:t>
      </w:r>
      <w:r w:rsidRPr="001117F1">
        <w:t>were previously instructed to edit the BCMA desktop shortcut parameters on</w:t>
      </w:r>
      <w:r>
        <w:t xml:space="preserve"> </w:t>
      </w:r>
      <w:r w:rsidRPr="001117F1">
        <w:t>all applicable</w:t>
      </w:r>
      <w:r>
        <w:t xml:space="preserve"> workstations to disable CCOW. </w:t>
      </w:r>
      <w:r w:rsidRPr="001117F1">
        <w:t>A follow-up informational</w:t>
      </w:r>
      <w:r>
        <w:t xml:space="preserve"> </w:t>
      </w:r>
      <w:r w:rsidRPr="001117F1">
        <w:t xml:space="preserve">BCMA patch, PSB*3*34, will provide instructions for enabling CCOW </w:t>
      </w:r>
      <w:r w:rsidR="00921CAB" w:rsidRPr="00921CAB">
        <w:t xml:space="preserve">and notification of the patch’s availability will be </w:t>
      </w:r>
      <w:r w:rsidRPr="001117F1">
        <w:t xml:space="preserve"> posted to the NCPS Patient Safety Log</w:t>
      </w:r>
      <w:r>
        <w:t>:</w:t>
      </w:r>
      <w:r w:rsidRPr="001117F1">
        <w:t xml:space="preserve"> </w:t>
      </w:r>
      <w:hyperlink r:id="rId10" w:history="1">
        <w:r w:rsidRPr="001117F1">
          <w:rPr>
            <w:rStyle w:val="Hyperlink"/>
          </w:rPr>
          <w:t>http://vaww.ncps.med.va.gov/Dialogue/pslog/default.asp</w:t>
        </w:r>
      </w:hyperlink>
      <w:r>
        <w:t>.</w:t>
      </w:r>
    </w:p>
    <w:p w14:paraId="0B30624A" w14:textId="77777777" w:rsidR="0078217B" w:rsidRPr="0078217B" w:rsidRDefault="0078217B" w:rsidP="0078217B">
      <w:pPr>
        <w:shd w:val="clear" w:color="auto" w:fill="auto"/>
        <w:tabs>
          <w:tab w:val="clear" w:pos="720"/>
        </w:tabs>
        <w:spacing w:after="0"/>
        <w:ind w:left="0"/>
        <w:rPr>
          <w:rFonts w:ascii="Arial" w:hAnsi="Arial" w:cs="Arial"/>
          <w:color w:val="000080"/>
          <w:sz w:val="20"/>
        </w:rPr>
      </w:pPr>
    </w:p>
    <w:p w14:paraId="5A375AB1" w14:textId="77777777" w:rsidR="00560F7B" w:rsidRDefault="00533151" w:rsidP="00533151">
      <w:pPr>
        <w:pStyle w:val="CPRSH2"/>
      </w:pPr>
      <w:bookmarkStart w:id="8" w:name="_Toc156284899"/>
      <w:r>
        <w:t xml:space="preserve">Known </w:t>
      </w:r>
      <w:proofErr w:type="spellStart"/>
      <w:r>
        <w:t>Sentillion</w:t>
      </w:r>
      <w:proofErr w:type="spellEnd"/>
      <w:r>
        <w:t xml:space="preserve"> CCOW Issue</w:t>
      </w:r>
      <w:bookmarkEnd w:id="8"/>
    </w:p>
    <w:p w14:paraId="189F1FC8" w14:textId="77777777" w:rsidR="00533151" w:rsidRDefault="00533151" w:rsidP="00533151">
      <w:pPr>
        <w:pStyle w:val="CPRSH3Body"/>
      </w:pPr>
      <w:r w:rsidRPr="00533151">
        <w:t>Although unrelated to the issues corrected here, and common to all VistA CCOW-enabled applications, users should also be aware of the following behavior, recently d</w:t>
      </w:r>
      <w:r>
        <w:t>iscovered in internal testing. </w:t>
      </w:r>
      <w:r w:rsidRPr="00533151">
        <w:t xml:space="preserve">If a user uses CTRL-ALT-DEL to open Windows Task </w:t>
      </w:r>
      <w:r>
        <w:t>Manager, and then uses the “End Task”</w:t>
      </w:r>
      <w:r w:rsidRPr="00533151">
        <w:t xml:space="preserve"> button to terminate a participating CCOW application, the information in the CCOW vault is NOT cleared whe</w:t>
      </w:r>
      <w:r>
        <w:t>n that application terminates. </w:t>
      </w:r>
      <w:r w:rsidRPr="00533151">
        <w:t>A timeout setting in the vault itself determines how long this information remains active, but a typi</w:t>
      </w:r>
      <w:r>
        <w:t>cal value is 20 to 40 minutes. </w:t>
      </w:r>
      <w:r w:rsidRPr="00533151">
        <w:t>Starting a subsequent application following such a shutdown can result in that application utilizing both the existing user and patient contexts if present, and linking automatically to those items on startup.</w:t>
      </w:r>
    </w:p>
    <w:p w14:paraId="2B92E937" w14:textId="77777777" w:rsidR="00495BC9" w:rsidRDefault="00AB3F75" w:rsidP="008E1EB0">
      <w:pPr>
        <w:pStyle w:val="CPRSH3Body"/>
      </w:pPr>
      <w:r w:rsidRPr="00AB3F75">
        <w:t xml:space="preserve">There is no possible correction to VistA GUI applications to address this </w:t>
      </w:r>
      <w:proofErr w:type="spellStart"/>
      <w:r w:rsidRPr="00AB3F75">
        <w:t>Sentillion</w:t>
      </w:r>
      <w:proofErr w:type="spellEnd"/>
      <w:r w:rsidRPr="00AB3F75">
        <w:t xml:space="preserve"> vault behavior.</w:t>
      </w:r>
      <w:r w:rsidR="008E1EB0">
        <w:t xml:space="preserve"> </w:t>
      </w:r>
    </w:p>
    <w:p w14:paraId="3E09A73E" w14:textId="77777777" w:rsidR="008E1EB0" w:rsidRPr="008E1EB0" w:rsidRDefault="00495BC9" w:rsidP="008E1EB0">
      <w:pPr>
        <w:pStyle w:val="CPRSH3Body"/>
      </w:pPr>
      <w:r>
        <w:t xml:space="preserve">Workaround: </w:t>
      </w:r>
      <w:r w:rsidR="008E1EB0" w:rsidRPr="008E1EB0">
        <w:t>One possible </w:t>
      </w:r>
      <w:r w:rsidR="008E1EB0" w:rsidRPr="00495BC9">
        <w:rPr>
          <w:bCs/>
        </w:rPr>
        <w:t>action</w:t>
      </w:r>
      <w:r w:rsidR="008E1EB0" w:rsidRPr="008E1EB0">
        <w:t xml:space="preserve"> would be to reboot the workstation, which will establish a new connection with the vault.</w:t>
      </w:r>
    </w:p>
    <w:p w14:paraId="1361BB36" w14:textId="77777777" w:rsidR="008E1EB0" w:rsidRPr="008E1EB0" w:rsidRDefault="008E1EB0" w:rsidP="008E1EB0">
      <w:pPr>
        <w:pStyle w:val="CPRSH3Body"/>
      </w:pPr>
      <w:r w:rsidRPr="008E1EB0">
        <w:t> </w:t>
      </w:r>
    </w:p>
    <w:p w14:paraId="2757B73F" w14:textId="77777777" w:rsidR="00AB3F75" w:rsidRPr="00AB3F75" w:rsidRDefault="00AB3F75" w:rsidP="00AB3F75">
      <w:pPr>
        <w:pStyle w:val="CPRSH3Body"/>
      </w:pPr>
    </w:p>
    <w:p w14:paraId="6B1DC14D" w14:textId="77777777" w:rsidR="00AB3F75" w:rsidRDefault="00AB3F75" w:rsidP="00533151">
      <w:pPr>
        <w:pStyle w:val="CPRSH3Body"/>
      </w:pPr>
    </w:p>
    <w:p w14:paraId="6F8DA9DF" w14:textId="77777777" w:rsidR="001117F1" w:rsidRPr="00533151" w:rsidRDefault="001117F1" w:rsidP="00533151">
      <w:pPr>
        <w:pStyle w:val="CPRSH3Body"/>
      </w:pPr>
    </w:p>
    <w:sectPr w:rsidR="001117F1" w:rsidRPr="005331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DD20" w14:textId="77777777" w:rsidR="00B73623" w:rsidRDefault="00B73623">
      <w:r>
        <w:separator/>
      </w:r>
    </w:p>
  </w:endnote>
  <w:endnote w:type="continuationSeparator" w:id="0">
    <w:p w14:paraId="5290108B" w14:textId="77777777" w:rsidR="00B73623" w:rsidRDefault="00B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7695" w14:textId="5D1CF406" w:rsidR="005759AB" w:rsidRDefault="005759AB">
    <w:pPr>
      <w:pStyle w:val="Footer"/>
    </w:pPr>
    <w:r>
      <w:rPr>
        <w:rStyle w:val="PageNumber"/>
      </w:rPr>
      <w:fldChar w:fldCharType="begin"/>
    </w:r>
    <w:r>
      <w:rPr>
        <w:rStyle w:val="PageNumber"/>
      </w:rPr>
      <w:instrText xml:space="preserve"> PAGE </w:instrText>
    </w:r>
    <w:r>
      <w:rPr>
        <w:rStyle w:val="PageNumber"/>
      </w:rPr>
      <w:fldChar w:fldCharType="separate"/>
    </w:r>
    <w:r w:rsidR="00921CAB">
      <w:rPr>
        <w:rStyle w:val="PageNumber"/>
        <w:noProof/>
      </w:rPr>
      <w:t>6</w:t>
    </w:r>
    <w:r>
      <w:rPr>
        <w:rStyle w:val="PageNumber"/>
      </w:rPr>
      <w:fldChar w:fldCharType="end"/>
    </w:r>
    <w:r>
      <w:rPr>
        <w:rStyle w:val="PageNumber"/>
      </w:rPr>
      <w:tab/>
      <w:t>OR*3.0*270 Release Notes</w:t>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D85CE8">
      <w:rPr>
        <w:rStyle w:val="PageNumber"/>
        <w:noProof/>
      </w:rPr>
      <w:t>11/20/2023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2B98" w14:textId="77777777" w:rsidR="00B73623" w:rsidRDefault="00B73623">
      <w:r>
        <w:separator/>
      </w:r>
    </w:p>
  </w:footnote>
  <w:footnote w:type="continuationSeparator" w:id="0">
    <w:p w14:paraId="7CD01E41" w14:textId="77777777" w:rsidR="00B73623" w:rsidRDefault="00B73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640D"/>
    <w:multiLevelType w:val="hybridMultilevel"/>
    <w:tmpl w:val="115E9A8C"/>
    <w:lvl w:ilvl="0" w:tplc="3FE823AA">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D8026F"/>
    <w:multiLevelType w:val="hybridMultilevel"/>
    <w:tmpl w:val="DF820050"/>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FE2353"/>
    <w:multiLevelType w:val="hybridMultilevel"/>
    <w:tmpl w:val="BDCE2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C6A"/>
    <w:multiLevelType w:val="hybridMultilevel"/>
    <w:tmpl w:val="AA82AA02"/>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A2B7308"/>
    <w:multiLevelType w:val="hybridMultilevel"/>
    <w:tmpl w:val="7B3C4A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B5640"/>
    <w:multiLevelType w:val="hybridMultilevel"/>
    <w:tmpl w:val="E772A660"/>
    <w:lvl w:ilvl="0" w:tplc="43C2F3F0">
      <w:start w:val="1"/>
      <w:numFmt w:val="bullet"/>
      <w:pStyle w:val="CPRSBulletsSub2"/>
      <w:lvlText w:val="o"/>
      <w:lvlJc w:val="left"/>
      <w:pPr>
        <w:tabs>
          <w:tab w:val="num" w:pos="1800"/>
        </w:tabs>
        <w:ind w:left="1800" w:hanging="360"/>
      </w:pPr>
      <w:rPr>
        <w:rFonts w:ascii="Courier New" w:hAnsi="Courier New" w:hint="default"/>
        <w:b w:val="0"/>
        <w:i w:val="0"/>
        <w:sz w:val="20"/>
      </w:rPr>
    </w:lvl>
    <w:lvl w:ilvl="1" w:tplc="E90E8118">
      <w:start w:val="1"/>
      <w:numFmt w:val="bullet"/>
      <w:pStyle w:val="CPRSBulletsSub2"/>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37B26B0"/>
    <w:multiLevelType w:val="multilevel"/>
    <w:tmpl w:val="AFACE4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9" w15:restartNumberingAfterBreak="0">
    <w:nsid w:val="47F250EF"/>
    <w:multiLevelType w:val="multilevel"/>
    <w:tmpl w:val="653285E8"/>
    <w:lvl w:ilvl="0">
      <w:start w:val="1"/>
      <w:numFmt w:val="bullet"/>
      <w:lvlText w:val="o"/>
      <w:lvlJc w:val="left"/>
      <w:pPr>
        <w:tabs>
          <w:tab w:val="num" w:pos="2000"/>
        </w:tabs>
        <w:ind w:left="2000" w:hanging="560"/>
      </w:pPr>
      <w:rPr>
        <w:rFonts w:ascii="Courier New" w:hAnsi="Courier New" w:hint="default"/>
        <w:b w:val="0"/>
        <w:i w:val="0"/>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88E4420"/>
    <w:multiLevelType w:val="multilevel"/>
    <w:tmpl w:val="45205A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364B8"/>
    <w:multiLevelType w:val="hybridMultilevel"/>
    <w:tmpl w:val="4502C7D4"/>
    <w:lvl w:ilvl="0" w:tplc="94E22DCC">
      <w:start w:val="1"/>
      <w:numFmt w:val="bullet"/>
      <w:pStyle w:val="CPRSBulletssub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EFC2D4B"/>
    <w:multiLevelType w:val="multilevel"/>
    <w:tmpl w:val="52A879CE"/>
    <w:lvl w:ilvl="0">
      <w:start w:val="1"/>
      <w:numFmt w:val="bullet"/>
      <w:lvlText w:val=""/>
      <w:lvlJc w:val="left"/>
      <w:pPr>
        <w:tabs>
          <w:tab w:val="num" w:pos="1800"/>
        </w:tabs>
        <w:ind w:left="1800" w:hanging="360"/>
      </w:pPr>
      <w:rPr>
        <w:rFonts w:ascii="Symbol" w:hAnsi="Symbol" w:hint="default"/>
        <w:b w:val="0"/>
        <w:i w:val="0"/>
        <w:sz w:val="22"/>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D2083C"/>
    <w:multiLevelType w:val="hybridMultilevel"/>
    <w:tmpl w:val="7A988B62"/>
    <w:lvl w:ilvl="0" w:tplc="447A7EDC">
      <w:start w:val="1"/>
      <w:numFmt w:val="decimal"/>
      <w:lvlText w:val="%1."/>
      <w:lvlJc w:val="left"/>
      <w:pPr>
        <w:tabs>
          <w:tab w:val="num" w:pos="1440"/>
        </w:tabs>
        <w:ind w:left="1440" w:hanging="360"/>
      </w:pPr>
      <w:rPr>
        <w:rFonts w:hint="default"/>
      </w:rPr>
    </w:lvl>
    <w:lvl w:ilvl="1" w:tplc="8608423A">
      <w:start w:val="1"/>
      <w:numFmt w:val="lowerLetter"/>
      <w:pStyle w:val="CPRSasubnumalphalist"/>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7604933">
    <w:abstractNumId w:val="1"/>
  </w:num>
  <w:num w:numId="2" w16cid:durableId="46414499">
    <w:abstractNumId w:val="14"/>
  </w:num>
  <w:num w:numId="3" w16cid:durableId="357589861">
    <w:abstractNumId w:val="2"/>
  </w:num>
  <w:num w:numId="4" w16cid:durableId="983855177">
    <w:abstractNumId w:val="11"/>
  </w:num>
  <w:num w:numId="5" w16cid:durableId="169950231">
    <w:abstractNumId w:val="6"/>
  </w:num>
  <w:num w:numId="6" w16cid:durableId="1331637593">
    <w:abstractNumId w:val="12"/>
  </w:num>
  <w:num w:numId="7" w16cid:durableId="1207832076">
    <w:abstractNumId w:val="0"/>
  </w:num>
  <w:num w:numId="8" w16cid:durableId="838886150">
    <w:abstractNumId w:val="4"/>
  </w:num>
  <w:num w:numId="9" w16cid:durableId="1961179386">
    <w:abstractNumId w:val="8"/>
  </w:num>
  <w:num w:numId="10" w16cid:durableId="1347558586">
    <w:abstractNumId w:val="3"/>
  </w:num>
  <w:num w:numId="11" w16cid:durableId="1945263266">
    <w:abstractNumId w:val="5"/>
  </w:num>
  <w:num w:numId="12" w16cid:durableId="1324360107">
    <w:abstractNumId w:val="7"/>
  </w:num>
  <w:num w:numId="13" w16cid:durableId="1744254749">
    <w:abstractNumId w:val="13"/>
  </w:num>
  <w:num w:numId="14" w16cid:durableId="721753478">
    <w:abstractNumId w:val="9"/>
  </w:num>
  <w:num w:numId="15" w16cid:durableId="1047681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0C01" w:allStyles="1" w:customStyles="0" w:latentStyles="0" w:stylesInUse="0" w:headingStyles="0" w:numberingStyles="0" w:tableStyles="0" w:directFormattingOnRuns="0" w:directFormattingOnParagraphs="0" w:directFormattingOnNumbering="1" w:directFormattingOnTables="1" w:clearFormatting="0" w:top3HeadingStyles="0"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72B"/>
    <w:rsid w:val="0000486F"/>
    <w:rsid w:val="00007DCA"/>
    <w:rsid w:val="00023E74"/>
    <w:rsid w:val="000304C4"/>
    <w:rsid w:val="000367EB"/>
    <w:rsid w:val="000451BD"/>
    <w:rsid w:val="00050B66"/>
    <w:rsid w:val="00056DE3"/>
    <w:rsid w:val="000662D9"/>
    <w:rsid w:val="00076CD7"/>
    <w:rsid w:val="00083BBD"/>
    <w:rsid w:val="000841E9"/>
    <w:rsid w:val="000905D9"/>
    <w:rsid w:val="00097A16"/>
    <w:rsid w:val="00101A9A"/>
    <w:rsid w:val="001117F1"/>
    <w:rsid w:val="001171F1"/>
    <w:rsid w:val="00125BB1"/>
    <w:rsid w:val="00131C54"/>
    <w:rsid w:val="001414EE"/>
    <w:rsid w:val="00141EB5"/>
    <w:rsid w:val="00143D3F"/>
    <w:rsid w:val="0015429B"/>
    <w:rsid w:val="001627B4"/>
    <w:rsid w:val="001713B7"/>
    <w:rsid w:val="00183785"/>
    <w:rsid w:val="00185A02"/>
    <w:rsid w:val="00187764"/>
    <w:rsid w:val="001978CF"/>
    <w:rsid w:val="001B17EF"/>
    <w:rsid w:val="001B1AAA"/>
    <w:rsid w:val="001B68A1"/>
    <w:rsid w:val="001C0E60"/>
    <w:rsid w:val="001C235F"/>
    <w:rsid w:val="001C39BA"/>
    <w:rsid w:val="001C472F"/>
    <w:rsid w:val="001D5A4B"/>
    <w:rsid w:val="001D7F18"/>
    <w:rsid w:val="001E0604"/>
    <w:rsid w:val="001F1CFA"/>
    <w:rsid w:val="002026E4"/>
    <w:rsid w:val="00206DB7"/>
    <w:rsid w:val="00215F75"/>
    <w:rsid w:val="00232FDC"/>
    <w:rsid w:val="00235BF5"/>
    <w:rsid w:val="002374E2"/>
    <w:rsid w:val="00237C30"/>
    <w:rsid w:val="0024787A"/>
    <w:rsid w:val="00255F0A"/>
    <w:rsid w:val="00257A67"/>
    <w:rsid w:val="00262FA5"/>
    <w:rsid w:val="002642DE"/>
    <w:rsid w:val="00282855"/>
    <w:rsid w:val="00287A64"/>
    <w:rsid w:val="002A18D9"/>
    <w:rsid w:val="002A6EB7"/>
    <w:rsid w:val="002B1469"/>
    <w:rsid w:val="002B2C89"/>
    <w:rsid w:val="002C06B4"/>
    <w:rsid w:val="002C1664"/>
    <w:rsid w:val="002C3CEB"/>
    <w:rsid w:val="002C5796"/>
    <w:rsid w:val="002D0C63"/>
    <w:rsid w:val="002D4BF3"/>
    <w:rsid w:val="002E5B5B"/>
    <w:rsid w:val="002E6F32"/>
    <w:rsid w:val="002F59E2"/>
    <w:rsid w:val="00300E15"/>
    <w:rsid w:val="00304B80"/>
    <w:rsid w:val="00311037"/>
    <w:rsid w:val="0033010B"/>
    <w:rsid w:val="003349E4"/>
    <w:rsid w:val="00372F4E"/>
    <w:rsid w:val="00390A43"/>
    <w:rsid w:val="00393475"/>
    <w:rsid w:val="00397B79"/>
    <w:rsid w:val="003A7F6E"/>
    <w:rsid w:val="003B26E1"/>
    <w:rsid w:val="003C5F08"/>
    <w:rsid w:val="003D21F1"/>
    <w:rsid w:val="003D236D"/>
    <w:rsid w:val="003E0DC1"/>
    <w:rsid w:val="003E7BD9"/>
    <w:rsid w:val="003F55D7"/>
    <w:rsid w:val="00401E1D"/>
    <w:rsid w:val="004265B9"/>
    <w:rsid w:val="00434920"/>
    <w:rsid w:val="00441CBC"/>
    <w:rsid w:val="0044412D"/>
    <w:rsid w:val="004617C4"/>
    <w:rsid w:val="00462CA8"/>
    <w:rsid w:val="00463E41"/>
    <w:rsid w:val="00464EFF"/>
    <w:rsid w:val="00471565"/>
    <w:rsid w:val="00483057"/>
    <w:rsid w:val="00495BC9"/>
    <w:rsid w:val="004D441C"/>
    <w:rsid w:val="004D6F77"/>
    <w:rsid w:val="004D7B71"/>
    <w:rsid w:val="004E13EB"/>
    <w:rsid w:val="004E2611"/>
    <w:rsid w:val="004F0C61"/>
    <w:rsid w:val="004F66D6"/>
    <w:rsid w:val="00501702"/>
    <w:rsid w:val="00506BB5"/>
    <w:rsid w:val="00511434"/>
    <w:rsid w:val="0051337A"/>
    <w:rsid w:val="00521522"/>
    <w:rsid w:val="00522D1D"/>
    <w:rsid w:val="00524E83"/>
    <w:rsid w:val="00533151"/>
    <w:rsid w:val="00534E87"/>
    <w:rsid w:val="00537CBF"/>
    <w:rsid w:val="005430EC"/>
    <w:rsid w:val="00553A28"/>
    <w:rsid w:val="00560F7B"/>
    <w:rsid w:val="005703B5"/>
    <w:rsid w:val="005720FC"/>
    <w:rsid w:val="005722E4"/>
    <w:rsid w:val="00572A9B"/>
    <w:rsid w:val="005759AB"/>
    <w:rsid w:val="005A50D0"/>
    <w:rsid w:val="005A58C5"/>
    <w:rsid w:val="005A6345"/>
    <w:rsid w:val="005B6706"/>
    <w:rsid w:val="005C60D8"/>
    <w:rsid w:val="00610258"/>
    <w:rsid w:val="00612F11"/>
    <w:rsid w:val="00614D98"/>
    <w:rsid w:val="006152A6"/>
    <w:rsid w:val="00623BAA"/>
    <w:rsid w:val="006458DE"/>
    <w:rsid w:val="006474C5"/>
    <w:rsid w:val="00652E55"/>
    <w:rsid w:val="00662D5D"/>
    <w:rsid w:val="006672F2"/>
    <w:rsid w:val="006843A3"/>
    <w:rsid w:val="00685CE5"/>
    <w:rsid w:val="00687F39"/>
    <w:rsid w:val="006A27DD"/>
    <w:rsid w:val="006A6F26"/>
    <w:rsid w:val="006B1CC9"/>
    <w:rsid w:val="006B2776"/>
    <w:rsid w:val="006C132C"/>
    <w:rsid w:val="006D4CD8"/>
    <w:rsid w:val="006D7E6C"/>
    <w:rsid w:val="006F4FA0"/>
    <w:rsid w:val="007045D8"/>
    <w:rsid w:val="007058CD"/>
    <w:rsid w:val="00714398"/>
    <w:rsid w:val="0072245C"/>
    <w:rsid w:val="00724F79"/>
    <w:rsid w:val="00725F62"/>
    <w:rsid w:val="007322AE"/>
    <w:rsid w:val="00743612"/>
    <w:rsid w:val="007578B1"/>
    <w:rsid w:val="00760E62"/>
    <w:rsid w:val="007674B2"/>
    <w:rsid w:val="00774A92"/>
    <w:rsid w:val="00780FD8"/>
    <w:rsid w:val="0078217B"/>
    <w:rsid w:val="0078426C"/>
    <w:rsid w:val="00792A93"/>
    <w:rsid w:val="00793418"/>
    <w:rsid w:val="007A5B95"/>
    <w:rsid w:val="007A5D77"/>
    <w:rsid w:val="007B4C00"/>
    <w:rsid w:val="007C1FB3"/>
    <w:rsid w:val="007D511F"/>
    <w:rsid w:val="007D6F38"/>
    <w:rsid w:val="007D7052"/>
    <w:rsid w:val="007E034B"/>
    <w:rsid w:val="007E74D5"/>
    <w:rsid w:val="007F28AB"/>
    <w:rsid w:val="008214EA"/>
    <w:rsid w:val="00822DC6"/>
    <w:rsid w:val="0083059D"/>
    <w:rsid w:val="00850A0A"/>
    <w:rsid w:val="00863E40"/>
    <w:rsid w:val="0086402E"/>
    <w:rsid w:val="008647A3"/>
    <w:rsid w:val="00864FAC"/>
    <w:rsid w:val="00865A37"/>
    <w:rsid w:val="00867B1E"/>
    <w:rsid w:val="008A141A"/>
    <w:rsid w:val="008B0EDE"/>
    <w:rsid w:val="008B1D9E"/>
    <w:rsid w:val="008B743C"/>
    <w:rsid w:val="008C213A"/>
    <w:rsid w:val="008C5ACA"/>
    <w:rsid w:val="008E1EB0"/>
    <w:rsid w:val="008F10EE"/>
    <w:rsid w:val="008F2B72"/>
    <w:rsid w:val="00913531"/>
    <w:rsid w:val="00920B0A"/>
    <w:rsid w:val="00921CAB"/>
    <w:rsid w:val="00931F79"/>
    <w:rsid w:val="00941E9B"/>
    <w:rsid w:val="009449EF"/>
    <w:rsid w:val="00947B76"/>
    <w:rsid w:val="00951BC0"/>
    <w:rsid w:val="009562B8"/>
    <w:rsid w:val="00957859"/>
    <w:rsid w:val="009678E6"/>
    <w:rsid w:val="009679C0"/>
    <w:rsid w:val="00971735"/>
    <w:rsid w:val="00972857"/>
    <w:rsid w:val="009742D6"/>
    <w:rsid w:val="00982AD3"/>
    <w:rsid w:val="00985AAB"/>
    <w:rsid w:val="00985E2D"/>
    <w:rsid w:val="0099030C"/>
    <w:rsid w:val="0099524A"/>
    <w:rsid w:val="00995756"/>
    <w:rsid w:val="009A12B3"/>
    <w:rsid w:val="009A1AEE"/>
    <w:rsid w:val="009B1683"/>
    <w:rsid w:val="009C3A11"/>
    <w:rsid w:val="009C4544"/>
    <w:rsid w:val="009D0BE2"/>
    <w:rsid w:val="009D2C7C"/>
    <w:rsid w:val="009F018A"/>
    <w:rsid w:val="00A05749"/>
    <w:rsid w:val="00A2187A"/>
    <w:rsid w:val="00A30FD9"/>
    <w:rsid w:val="00A32ADC"/>
    <w:rsid w:val="00A32E25"/>
    <w:rsid w:val="00A46B99"/>
    <w:rsid w:val="00A47D97"/>
    <w:rsid w:val="00A61AF0"/>
    <w:rsid w:val="00A87955"/>
    <w:rsid w:val="00A914D1"/>
    <w:rsid w:val="00AA3A89"/>
    <w:rsid w:val="00AB3F75"/>
    <w:rsid w:val="00AB5496"/>
    <w:rsid w:val="00AD1BF0"/>
    <w:rsid w:val="00AE2C72"/>
    <w:rsid w:val="00AE302F"/>
    <w:rsid w:val="00AF6E8C"/>
    <w:rsid w:val="00B01B07"/>
    <w:rsid w:val="00B10EB5"/>
    <w:rsid w:val="00B20A54"/>
    <w:rsid w:val="00B27B09"/>
    <w:rsid w:val="00B34AFB"/>
    <w:rsid w:val="00B473C2"/>
    <w:rsid w:val="00B51136"/>
    <w:rsid w:val="00B53118"/>
    <w:rsid w:val="00B62595"/>
    <w:rsid w:val="00B73623"/>
    <w:rsid w:val="00B768CB"/>
    <w:rsid w:val="00B81D33"/>
    <w:rsid w:val="00B948EA"/>
    <w:rsid w:val="00BA0A6C"/>
    <w:rsid w:val="00BB01EA"/>
    <w:rsid w:val="00BC58F2"/>
    <w:rsid w:val="00BD1588"/>
    <w:rsid w:val="00BD3D15"/>
    <w:rsid w:val="00BE0A8A"/>
    <w:rsid w:val="00BE45FA"/>
    <w:rsid w:val="00BE7FD3"/>
    <w:rsid w:val="00BF4F28"/>
    <w:rsid w:val="00C00BA7"/>
    <w:rsid w:val="00C01CDA"/>
    <w:rsid w:val="00C07C22"/>
    <w:rsid w:val="00C13797"/>
    <w:rsid w:val="00C2146B"/>
    <w:rsid w:val="00C3209A"/>
    <w:rsid w:val="00C33B78"/>
    <w:rsid w:val="00C447FA"/>
    <w:rsid w:val="00C724B1"/>
    <w:rsid w:val="00C73B70"/>
    <w:rsid w:val="00C80735"/>
    <w:rsid w:val="00C811F2"/>
    <w:rsid w:val="00C945BF"/>
    <w:rsid w:val="00C94C67"/>
    <w:rsid w:val="00C9534F"/>
    <w:rsid w:val="00C97880"/>
    <w:rsid w:val="00CA000A"/>
    <w:rsid w:val="00CB4AC7"/>
    <w:rsid w:val="00CC0F53"/>
    <w:rsid w:val="00CC357D"/>
    <w:rsid w:val="00CD326C"/>
    <w:rsid w:val="00CD451F"/>
    <w:rsid w:val="00CD4667"/>
    <w:rsid w:val="00CD6491"/>
    <w:rsid w:val="00CE00DD"/>
    <w:rsid w:val="00CE6EB6"/>
    <w:rsid w:val="00CF0A39"/>
    <w:rsid w:val="00CF4FA2"/>
    <w:rsid w:val="00D016C7"/>
    <w:rsid w:val="00D24E71"/>
    <w:rsid w:val="00D31DEC"/>
    <w:rsid w:val="00D34A0F"/>
    <w:rsid w:val="00D429F0"/>
    <w:rsid w:val="00D50C9F"/>
    <w:rsid w:val="00D63D37"/>
    <w:rsid w:val="00D6631F"/>
    <w:rsid w:val="00D74870"/>
    <w:rsid w:val="00D77BF5"/>
    <w:rsid w:val="00D80CFE"/>
    <w:rsid w:val="00D85CE8"/>
    <w:rsid w:val="00D94787"/>
    <w:rsid w:val="00D96D46"/>
    <w:rsid w:val="00DA5139"/>
    <w:rsid w:val="00DB401E"/>
    <w:rsid w:val="00DB639E"/>
    <w:rsid w:val="00DB63DB"/>
    <w:rsid w:val="00DB735C"/>
    <w:rsid w:val="00DB73E7"/>
    <w:rsid w:val="00DC131E"/>
    <w:rsid w:val="00DC2594"/>
    <w:rsid w:val="00DD0943"/>
    <w:rsid w:val="00DD1F0C"/>
    <w:rsid w:val="00DE0644"/>
    <w:rsid w:val="00DE44E7"/>
    <w:rsid w:val="00DF5437"/>
    <w:rsid w:val="00DF5FC4"/>
    <w:rsid w:val="00DF799B"/>
    <w:rsid w:val="00E01BE3"/>
    <w:rsid w:val="00E0672B"/>
    <w:rsid w:val="00E131D1"/>
    <w:rsid w:val="00E17CDC"/>
    <w:rsid w:val="00E20271"/>
    <w:rsid w:val="00E2671B"/>
    <w:rsid w:val="00E32653"/>
    <w:rsid w:val="00E3446F"/>
    <w:rsid w:val="00E42746"/>
    <w:rsid w:val="00E66F38"/>
    <w:rsid w:val="00E736C1"/>
    <w:rsid w:val="00E747F6"/>
    <w:rsid w:val="00E84436"/>
    <w:rsid w:val="00E8448C"/>
    <w:rsid w:val="00E9145E"/>
    <w:rsid w:val="00E976F8"/>
    <w:rsid w:val="00EA6C65"/>
    <w:rsid w:val="00EB1958"/>
    <w:rsid w:val="00ED55F9"/>
    <w:rsid w:val="00EE1A09"/>
    <w:rsid w:val="00EE3BD1"/>
    <w:rsid w:val="00EE47BE"/>
    <w:rsid w:val="00EF0289"/>
    <w:rsid w:val="00EF17F6"/>
    <w:rsid w:val="00F03015"/>
    <w:rsid w:val="00F05099"/>
    <w:rsid w:val="00F15BD3"/>
    <w:rsid w:val="00F30771"/>
    <w:rsid w:val="00F32EBF"/>
    <w:rsid w:val="00F36DF7"/>
    <w:rsid w:val="00F448C1"/>
    <w:rsid w:val="00F47C1F"/>
    <w:rsid w:val="00F51E97"/>
    <w:rsid w:val="00F63535"/>
    <w:rsid w:val="00F76CC4"/>
    <w:rsid w:val="00F775CD"/>
    <w:rsid w:val="00F801B5"/>
    <w:rsid w:val="00F805B7"/>
    <w:rsid w:val="00F84BF4"/>
    <w:rsid w:val="00FA3DE3"/>
    <w:rsid w:val="00FB5CFD"/>
    <w:rsid w:val="00FC150B"/>
    <w:rsid w:val="00FC5807"/>
    <w:rsid w:val="00FE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AE11678"/>
  <w15:chartTrackingRefBased/>
  <w15:docId w15:val="{6F820A30-57C3-4488-AF7A-A2E00738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3B5"/>
    <w:pPr>
      <w:shd w:val="clear" w:color="0000FF" w:fill="auto"/>
      <w:tabs>
        <w:tab w:val="left" w:pos="720"/>
      </w:tabs>
      <w:spacing w:after="120"/>
      <w:ind w:left="36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numberedstepcaption">
    <w:name w:val="cprs numbered step caption"/>
    <w:link w:val="cprsnumberedstepcaptionChar"/>
    <w:rsid w:val="007D6F38"/>
    <w:pPr>
      <w:ind w:left="1440"/>
    </w:pPr>
    <w:rPr>
      <w:sz w:val="18"/>
      <w:szCs w:val="18"/>
    </w:rPr>
  </w:style>
  <w:style w:type="paragraph" w:customStyle="1" w:styleId="cprs1numberedlistnote">
    <w:name w:val="cprs 1 numbered list note"/>
    <w:rsid w:val="007D7052"/>
    <w:pPr>
      <w:spacing w:after="120"/>
      <w:ind w:left="1800" w:hanging="360"/>
    </w:pPr>
    <w:rPr>
      <w:rFonts w:ascii="Arial" w:hAnsi="Arial"/>
      <w:bCs/>
    </w:rPr>
  </w:style>
  <w:style w:type="paragraph" w:customStyle="1" w:styleId="CPRSnumlistothertext">
    <w:name w:val="CPRS num list other text"/>
    <w:rsid w:val="00235BF5"/>
    <w:pPr>
      <w:spacing w:after="120"/>
      <w:ind w:left="1440"/>
    </w:pPr>
    <w:rPr>
      <w:sz w:val="22"/>
    </w:rPr>
  </w:style>
  <w:style w:type="paragraph" w:customStyle="1" w:styleId="CPRSH1">
    <w:name w:val="CPRS H1"/>
    <w:next w:val="CPRSH2BodyChar"/>
    <w:rsid w:val="005703B5"/>
    <w:pPr>
      <w:pageBreakBefore/>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BodyChar">
    <w:name w:val="CPRS H2 Body Char"/>
    <w:link w:val="CPRSH2BodyCharChar"/>
    <w:rsid w:val="005703B5"/>
    <w:pPr>
      <w:spacing w:after="240"/>
      <w:ind w:left="720"/>
    </w:pPr>
    <w:rPr>
      <w:bCs/>
      <w:sz w:val="22"/>
      <w:szCs w:val="24"/>
    </w:rPr>
  </w:style>
  <w:style w:type="character" w:customStyle="1" w:styleId="CPRSH2BodyCharChar">
    <w:name w:val="CPRS H2 Body Char Char"/>
    <w:link w:val="CPRSH2BodyChar"/>
    <w:rsid w:val="005703B5"/>
    <w:rPr>
      <w:bCs/>
      <w:sz w:val="22"/>
      <w:szCs w:val="24"/>
      <w:lang w:val="en-US" w:eastAsia="en-US" w:bidi="ar-SA"/>
    </w:rPr>
  </w:style>
  <w:style w:type="paragraph" w:customStyle="1" w:styleId="CPRS-Note">
    <w:name w:val="CPRS - Note"/>
    <w:rsid w:val="004D7B71"/>
    <w:pPr>
      <w:ind w:left="1440"/>
    </w:pPr>
    <w:rPr>
      <w:rFonts w:ascii="Arial" w:hAnsi="Arial" w:cs="Arial"/>
    </w:rPr>
  </w:style>
  <w:style w:type="paragraph" w:customStyle="1" w:styleId="CPRS-NumberedList">
    <w:name w:val="CPRS - Numbered List"/>
    <w:link w:val="CPRS-NumberedListChar"/>
    <w:rsid w:val="004D7B71"/>
    <w:pPr>
      <w:numPr>
        <w:numId w:val="1"/>
      </w:numPr>
      <w:spacing w:after="120"/>
    </w:pPr>
    <w:rPr>
      <w:sz w:val="22"/>
    </w:rPr>
  </w:style>
  <w:style w:type="paragraph" w:customStyle="1" w:styleId="CPRSasubnumalphalist">
    <w:name w:val="CPRS a subnum alpha list"/>
    <w:rsid w:val="004D7B71"/>
    <w:pPr>
      <w:numPr>
        <w:ilvl w:val="1"/>
        <w:numId w:val="2"/>
      </w:numPr>
      <w:spacing w:after="60"/>
    </w:pPr>
    <w:rPr>
      <w:sz w:val="22"/>
    </w:rPr>
  </w:style>
  <w:style w:type="paragraph" w:customStyle="1" w:styleId="CPRSBullets">
    <w:name w:val="CPRS Bullets"/>
    <w:link w:val="CPRSBulletsChar"/>
    <w:rsid w:val="004D7B71"/>
    <w:pPr>
      <w:numPr>
        <w:numId w:val="3"/>
      </w:numPr>
      <w:spacing w:before="60"/>
    </w:pPr>
    <w:rPr>
      <w:sz w:val="22"/>
    </w:rPr>
  </w:style>
  <w:style w:type="paragraph" w:customStyle="1" w:styleId="CPRSBulletsBody">
    <w:name w:val="CPRS Bullets Body"/>
    <w:link w:val="CPRSBulletsBodyChar"/>
    <w:rsid w:val="004D7B71"/>
    <w:pPr>
      <w:ind w:left="1440"/>
    </w:pPr>
    <w:rPr>
      <w:sz w:val="22"/>
    </w:rPr>
  </w:style>
  <w:style w:type="paragraph" w:customStyle="1" w:styleId="CPRSBulletsinNumList">
    <w:name w:val="CPRS Bullets in Num List"/>
    <w:basedOn w:val="Normal"/>
    <w:rsid w:val="004D7B71"/>
    <w:pPr>
      <w:shd w:val="clear" w:color="auto" w:fill="auto"/>
      <w:tabs>
        <w:tab w:val="clear" w:pos="720"/>
        <w:tab w:val="num" w:pos="2160"/>
      </w:tabs>
      <w:spacing w:after="0"/>
      <w:ind w:left="2160" w:hanging="360"/>
    </w:pPr>
    <w:rPr>
      <w:sz w:val="24"/>
      <w:szCs w:val="24"/>
    </w:rPr>
  </w:style>
  <w:style w:type="paragraph" w:customStyle="1" w:styleId="CPRSBulletsnote">
    <w:name w:val="CPRS Bullets note"/>
    <w:rsid w:val="004D7B71"/>
    <w:pPr>
      <w:tabs>
        <w:tab w:val="left" w:pos="1526"/>
      </w:tabs>
      <w:ind w:left="2246" w:hanging="806"/>
    </w:pPr>
    <w:rPr>
      <w:rFonts w:ascii="Arial" w:hAnsi="Arial"/>
      <w:bCs/>
    </w:rPr>
  </w:style>
  <w:style w:type="paragraph" w:customStyle="1" w:styleId="CPRSBulletssub3">
    <w:name w:val="CPRS Bullets sub 3"/>
    <w:rsid w:val="009D0BE2"/>
    <w:pPr>
      <w:numPr>
        <w:numId w:val="4"/>
      </w:numPr>
    </w:pPr>
    <w:rPr>
      <w:bCs/>
      <w:sz w:val="22"/>
    </w:rPr>
  </w:style>
  <w:style w:type="paragraph" w:customStyle="1" w:styleId="CPRSBulletsSub2">
    <w:name w:val="CPRS Bullets Sub 2"/>
    <w:rsid w:val="009D0BE2"/>
    <w:pPr>
      <w:numPr>
        <w:numId w:val="5"/>
      </w:numPr>
      <w:spacing w:after="60"/>
    </w:pPr>
    <w:rPr>
      <w:bCs/>
      <w:sz w:val="22"/>
    </w:rPr>
  </w:style>
  <w:style w:type="paragraph" w:customStyle="1" w:styleId="CPRScaption">
    <w:name w:val="CPRS caption"/>
    <w:rsid w:val="004D7B71"/>
    <w:pPr>
      <w:ind w:left="1440"/>
    </w:pPr>
    <w:rPr>
      <w:sz w:val="18"/>
    </w:rPr>
  </w:style>
  <w:style w:type="paragraph" w:customStyle="1" w:styleId="CPRScapture">
    <w:name w:val="CPRS capture"/>
    <w:basedOn w:val="Normal"/>
    <w:rsid w:val="004D7B71"/>
    <w:pPr>
      <w:pBdr>
        <w:top w:val="single" w:sz="6" w:space="1" w:color="0000FF"/>
        <w:left w:val="single" w:sz="6" w:space="1" w:color="0000FF"/>
        <w:bottom w:val="single" w:sz="6" w:space="1" w:color="0000FF"/>
        <w:right w:val="single" w:sz="6" w:space="1" w:color="0000FF"/>
      </w:pBdr>
      <w:shd w:val="clear" w:color="auto" w:fill="auto"/>
      <w:tabs>
        <w:tab w:val="clear" w:pos="720"/>
      </w:tabs>
      <w:spacing w:after="0"/>
      <w:ind w:left="720"/>
    </w:pPr>
    <w:rPr>
      <w:rFonts w:ascii="Courier New" w:hAnsi="Courier New"/>
      <w:sz w:val="18"/>
    </w:rPr>
  </w:style>
  <w:style w:type="paragraph" w:customStyle="1" w:styleId="CPRSH2">
    <w:name w:val="CPRS H2"/>
    <w:next w:val="CPRSH2BodyChar"/>
    <w:rsid w:val="004D7B71"/>
    <w:pPr>
      <w:pBdr>
        <w:bottom w:val="single" w:sz="4" w:space="1" w:color="auto"/>
      </w:pBdr>
      <w:spacing w:before="360" w:after="120"/>
      <w:ind w:left="360"/>
    </w:pPr>
    <w:rPr>
      <w:rFonts w:ascii="Arial" w:hAnsi="Arial"/>
      <w:b/>
      <w:sz w:val="28"/>
    </w:rPr>
  </w:style>
  <w:style w:type="paragraph" w:customStyle="1" w:styleId="CPRSH3">
    <w:name w:val="CPRS H3"/>
    <w:next w:val="Normal"/>
    <w:link w:val="CPRSH3Char"/>
    <w:rsid w:val="004D7B71"/>
    <w:pPr>
      <w:spacing w:before="360"/>
      <w:ind w:left="720"/>
    </w:pPr>
    <w:rPr>
      <w:rFonts w:ascii="Arial" w:hAnsi="Arial"/>
      <w:b/>
      <w:sz w:val="24"/>
    </w:rPr>
  </w:style>
  <w:style w:type="paragraph" w:customStyle="1" w:styleId="CPRSH3Body">
    <w:name w:val="CPRS H3 Body"/>
    <w:link w:val="CPRSH3BodyChar1"/>
    <w:rsid w:val="004D7B71"/>
    <w:pPr>
      <w:spacing w:after="120"/>
      <w:ind w:left="720"/>
    </w:pPr>
    <w:rPr>
      <w:sz w:val="22"/>
    </w:rPr>
  </w:style>
  <w:style w:type="paragraph" w:customStyle="1" w:styleId="CPRSH3Note">
    <w:name w:val="CPRS H3 Note"/>
    <w:rsid w:val="004D7B71"/>
    <w:pPr>
      <w:tabs>
        <w:tab w:val="left" w:pos="1526"/>
      </w:tabs>
      <w:ind w:left="1526" w:hanging="806"/>
    </w:pPr>
    <w:rPr>
      <w:rFonts w:ascii="Arial" w:hAnsi="Arial"/>
      <w:bCs/>
    </w:rPr>
  </w:style>
  <w:style w:type="paragraph" w:customStyle="1" w:styleId="CPRSH4">
    <w:name w:val="CPRS H4"/>
    <w:next w:val="Normal"/>
    <w:rsid w:val="004D7B71"/>
    <w:pPr>
      <w:ind w:left="720"/>
    </w:pPr>
    <w:rPr>
      <w:rFonts w:ascii="Arial" w:hAnsi="Arial"/>
      <w:b/>
      <w:i/>
      <w:sz w:val="22"/>
      <w:u w:val="words"/>
    </w:rPr>
  </w:style>
  <w:style w:type="paragraph" w:customStyle="1" w:styleId="CPRSH4Body">
    <w:name w:val="CPRS H4 Body"/>
    <w:rsid w:val="004D7B71"/>
    <w:pPr>
      <w:spacing w:after="120"/>
      <w:ind w:left="720"/>
    </w:pPr>
    <w:rPr>
      <w:sz w:val="22"/>
      <w:szCs w:val="22"/>
    </w:rPr>
  </w:style>
  <w:style w:type="paragraph" w:customStyle="1" w:styleId="CPRSH5">
    <w:name w:val="CPRS H5"/>
    <w:next w:val="Normal"/>
    <w:rsid w:val="004D7B71"/>
    <w:pPr>
      <w:spacing w:before="120"/>
      <w:ind w:left="720"/>
    </w:pPr>
    <w:rPr>
      <w:rFonts w:ascii="Arial" w:hAnsi="Arial"/>
      <w:i/>
      <w:iCs/>
      <w:sz w:val="22"/>
    </w:rPr>
  </w:style>
  <w:style w:type="paragraph" w:customStyle="1" w:styleId="CPRSH5Body">
    <w:name w:val="CPRS H5 Body"/>
    <w:next w:val="Normal"/>
    <w:rsid w:val="004D7B71"/>
    <w:pPr>
      <w:spacing w:after="60"/>
      <w:ind w:left="720"/>
    </w:pPr>
    <w:rPr>
      <w:sz w:val="22"/>
    </w:rPr>
  </w:style>
  <w:style w:type="paragraph" w:customStyle="1" w:styleId="CPRSHyperlink">
    <w:name w:val="CPRS Hyperlink"/>
    <w:rsid w:val="004D7B71"/>
    <w:rPr>
      <w:color w:val="0000FF"/>
      <w:sz w:val="22"/>
      <w:u w:val="single"/>
    </w:rPr>
  </w:style>
  <w:style w:type="paragraph" w:customStyle="1" w:styleId="CPRSNote">
    <w:name w:val="CPRS Note"/>
    <w:next w:val="Normal"/>
    <w:rsid w:val="004D7B71"/>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rsid w:val="004D7B71"/>
    <w:pPr>
      <w:numPr>
        <w:numId w:val="6"/>
      </w:numPr>
      <w:spacing w:before="120"/>
    </w:pPr>
    <w:rPr>
      <w:bCs/>
      <w:sz w:val="22"/>
    </w:rPr>
  </w:style>
  <w:style w:type="paragraph" w:customStyle="1" w:styleId="CPRSNumlistCapture">
    <w:name w:val="CPRS Num list Capture"/>
    <w:rsid w:val="004D7B71"/>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subnotebullet">
    <w:name w:val="CPRS sub note bullet"/>
    <w:rsid w:val="004D7B71"/>
    <w:pPr>
      <w:numPr>
        <w:numId w:val="7"/>
      </w:numPr>
    </w:pPr>
    <w:rPr>
      <w:rFonts w:ascii="Arial" w:hAnsi="Arial"/>
      <w:bCs/>
    </w:rPr>
  </w:style>
  <w:style w:type="paragraph" w:customStyle="1" w:styleId="CPRSsubnumlist">
    <w:name w:val="CPRS sub num list"/>
    <w:rsid w:val="004D7B71"/>
    <w:pPr>
      <w:numPr>
        <w:numId w:val="8"/>
      </w:numPr>
    </w:pPr>
    <w:rPr>
      <w:sz w:val="22"/>
    </w:rPr>
  </w:style>
  <w:style w:type="paragraph" w:customStyle="1" w:styleId="CPRSsub2num">
    <w:name w:val="CPRS sub2 num"/>
    <w:rsid w:val="004D7B71"/>
    <w:pPr>
      <w:numPr>
        <w:numId w:val="9"/>
      </w:numPr>
      <w:spacing w:before="60" w:after="60"/>
    </w:pPr>
    <w:rPr>
      <w:sz w:val="22"/>
    </w:rPr>
  </w:style>
  <w:style w:type="paragraph" w:customStyle="1" w:styleId="CPRSsub2numnote">
    <w:name w:val="CPRS sub2 num note"/>
    <w:rsid w:val="004D7B71"/>
    <w:pPr>
      <w:ind w:left="3254" w:hanging="806"/>
    </w:pPr>
    <w:rPr>
      <w:rFonts w:ascii="Arial" w:hAnsi="Arial"/>
      <w:bCs/>
    </w:rPr>
  </w:style>
  <w:style w:type="paragraph" w:styleId="Header">
    <w:name w:val="header"/>
    <w:basedOn w:val="Normal"/>
    <w:rsid w:val="00534E87"/>
    <w:pPr>
      <w:tabs>
        <w:tab w:val="clear" w:pos="720"/>
        <w:tab w:val="center" w:pos="4320"/>
        <w:tab w:val="right" w:pos="8640"/>
      </w:tabs>
    </w:pPr>
  </w:style>
  <w:style w:type="paragraph" w:styleId="Footer">
    <w:name w:val="footer"/>
    <w:basedOn w:val="Normal"/>
    <w:rsid w:val="00534E87"/>
    <w:pPr>
      <w:tabs>
        <w:tab w:val="clear" w:pos="720"/>
        <w:tab w:val="center" w:pos="4320"/>
        <w:tab w:val="right" w:pos="8640"/>
      </w:tabs>
    </w:pPr>
  </w:style>
  <w:style w:type="character" w:styleId="PageNumber">
    <w:name w:val="page number"/>
    <w:basedOn w:val="DefaultParagraphFont"/>
    <w:rsid w:val="00534E87"/>
  </w:style>
  <w:style w:type="character" w:customStyle="1" w:styleId="CPRSH3BodyChar1">
    <w:name w:val="CPRS H3 Body Char1"/>
    <w:link w:val="CPRSH3Body"/>
    <w:rsid w:val="00534E87"/>
    <w:rPr>
      <w:sz w:val="22"/>
      <w:lang w:val="en-US" w:eastAsia="en-US" w:bidi="ar-SA"/>
    </w:rPr>
  </w:style>
  <w:style w:type="character" w:customStyle="1" w:styleId="CPRSH3Char">
    <w:name w:val="CPRS H3 Char"/>
    <w:link w:val="CPRSH3"/>
    <w:rsid w:val="00534E87"/>
    <w:rPr>
      <w:rFonts w:ascii="Arial" w:hAnsi="Arial"/>
      <w:b/>
      <w:sz w:val="24"/>
      <w:lang w:val="en-US" w:eastAsia="en-US" w:bidi="ar-SA"/>
    </w:rPr>
  </w:style>
  <w:style w:type="character" w:customStyle="1" w:styleId="CPRSBulletsChar">
    <w:name w:val="CPRS Bullets Char"/>
    <w:link w:val="CPRSBullets"/>
    <w:rsid w:val="00534E87"/>
    <w:rPr>
      <w:sz w:val="22"/>
      <w:lang w:val="en-US" w:eastAsia="en-US" w:bidi="ar-SA"/>
    </w:rPr>
  </w:style>
  <w:style w:type="paragraph" w:styleId="NormalWeb">
    <w:name w:val="Normal (Web)"/>
    <w:basedOn w:val="Normal"/>
    <w:link w:val="NormalWebChar"/>
    <w:rsid w:val="00EF17F6"/>
    <w:pPr>
      <w:shd w:val="clear" w:color="auto" w:fill="auto"/>
      <w:tabs>
        <w:tab w:val="clear" w:pos="720"/>
      </w:tabs>
      <w:spacing w:before="100" w:beforeAutospacing="1" w:after="100" w:afterAutospacing="1"/>
      <w:ind w:left="0"/>
    </w:pPr>
    <w:rPr>
      <w:sz w:val="24"/>
      <w:szCs w:val="24"/>
    </w:rPr>
  </w:style>
  <w:style w:type="character" w:customStyle="1" w:styleId="CPRS-NumberedListChar">
    <w:name w:val="CPRS - Numbered List Char"/>
    <w:link w:val="CPRS-NumberedList"/>
    <w:rsid w:val="0099030C"/>
    <w:rPr>
      <w:sz w:val="22"/>
      <w:lang w:val="en-US" w:eastAsia="en-US" w:bidi="ar-SA"/>
    </w:rPr>
  </w:style>
  <w:style w:type="character" w:customStyle="1" w:styleId="NormalWebChar">
    <w:name w:val="Normal (Web) Char"/>
    <w:link w:val="NormalWeb"/>
    <w:rsid w:val="0099030C"/>
    <w:rPr>
      <w:sz w:val="24"/>
      <w:szCs w:val="24"/>
      <w:lang w:val="en-US" w:eastAsia="en-US" w:bidi="ar-SA"/>
    </w:rPr>
  </w:style>
  <w:style w:type="character" w:customStyle="1" w:styleId="cprsnumberedstepcaptionChar">
    <w:name w:val="cprs numbered step caption Char"/>
    <w:link w:val="cprsnumberedstepcaption"/>
    <w:rsid w:val="0099030C"/>
    <w:rPr>
      <w:sz w:val="18"/>
      <w:szCs w:val="18"/>
      <w:lang w:val="en-US" w:eastAsia="en-US" w:bidi="ar-SA"/>
    </w:rPr>
  </w:style>
  <w:style w:type="paragraph" w:styleId="TOC2">
    <w:name w:val="toc 2"/>
    <w:basedOn w:val="Normal"/>
    <w:next w:val="Normal"/>
    <w:autoRedefine/>
    <w:semiHidden/>
    <w:rsid w:val="00E8448C"/>
    <w:pPr>
      <w:tabs>
        <w:tab w:val="clear" w:pos="720"/>
      </w:tabs>
      <w:ind w:left="220"/>
    </w:pPr>
  </w:style>
  <w:style w:type="paragraph" w:styleId="TOC3">
    <w:name w:val="toc 3"/>
    <w:basedOn w:val="Normal"/>
    <w:next w:val="Normal"/>
    <w:autoRedefine/>
    <w:semiHidden/>
    <w:rsid w:val="00E8448C"/>
    <w:pPr>
      <w:tabs>
        <w:tab w:val="clear" w:pos="720"/>
      </w:tabs>
      <w:ind w:left="440"/>
    </w:pPr>
  </w:style>
  <w:style w:type="character" w:styleId="Hyperlink">
    <w:name w:val="Hyperlink"/>
    <w:rsid w:val="00E8448C"/>
    <w:rPr>
      <w:color w:val="0000FF"/>
      <w:u w:val="single"/>
    </w:rPr>
  </w:style>
  <w:style w:type="character" w:customStyle="1" w:styleId="CPRSBulletsBodyChar">
    <w:name w:val="CPRS Bullets Body Char"/>
    <w:link w:val="CPRSBulletsBody"/>
    <w:rsid w:val="00483057"/>
    <w:rPr>
      <w:sz w:val="22"/>
      <w:lang w:val="en-US" w:eastAsia="en-US" w:bidi="ar-SA"/>
    </w:rPr>
  </w:style>
  <w:style w:type="character" w:styleId="FollowedHyperlink">
    <w:name w:val="FollowedHyperlink"/>
    <w:rsid w:val="001117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666">
      <w:bodyDiv w:val="1"/>
      <w:marLeft w:val="0"/>
      <w:marRight w:val="0"/>
      <w:marTop w:val="0"/>
      <w:marBottom w:val="0"/>
      <w:divBdr>
        <w:top w:val="none" w:sz="0" w:space="0" w:color="auto"/>
        <w:left w:val="none" w:sz="0" w:space="0" w:color="auto"/>
        <w:bottom w:val="none" w:sz="0" w:space="0" w:color="auto"/>
        <w:right w:val="none" w:sz="0" w:space="0" w:color="auto"/>
      </w:divBdr>
      <w:divsChild>
        <w:div w:id="1482959428">
          <w:marLeft w:val="0"/>
          <w:marRight w:val="0"/>
          <w:marTop w:val="0"/>
          <w:marBottom w:val="0"/>
          <w:divBdr>
            <w:top w:val="none" w:sz="0" w:space="0" w:color="auto"/>
            <w:left w:val="none" w:sz="0" w:space="0" w:color="auto"/>
            <w:bottom w:val="none" w:sz="0" w:space="0" w:color="auto"/>
            <w:right w:val="none" w:sz="0" w:space="0" w:color="auto"/>
          </w:divBdr>
        </w:div>
      </w:divsChild>
    </w:div>
    <w:div w:id="776565054">
      <w:bodyDiv w:val="1"/>
      <w:marLeft w:val="0"/>
      <w:marRight w:val="0"/>
      <w:marTop w:val="0"/>
      <w:marBottom w:val="0"/>
      <w:divBdr>
        <w:top w:val="none" w:sz="0" w:space="0" w:color="auto"/>
        <w:left w:val="none" w:sz="0" w:space="0" w:color="auto"/>
        <w:bottom w:val="none" w:sz="0" w:space="0" w:color="auto"/>
        <w:right w:val="none" w:sz="0" w:space="0" w:color="auto"/>
      </w:divBdr>
    </w:div>
    <w:div w:id="1113864550">
      <w:bodyDiv w:val="1"/>
      <w:marLeft w:val="0"/>
      <w:marRight w:val="0"/>
      <w:marTop w:val="0"/>
      <w:marBottom w:val="0"/>
      <w:divBdr>
        <w:top w:val="none" w:sz="0" w:space="0" w:color="auto"/>
        <w:left w:val="none" w:sz="0" w:space="0" w:color="auto"/>
        <w:bottom w:val="none" w:sz="0" w:space="0" w:color="auto"/>
        <w:right w:val="none" w:sz="0" w:space="0" w:color="auto"/>
      </w:divBdr>
      <w:divsChild>
        <w:div w:id="14680817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2564856">
      <w:bodyDiv w:val="1"/>
      <w:marLeft w:val="0"/>
      <w:marRight w:val="0"/>
      <w:marTop w:val="0"/>
      <w:marBottom w:val="0"/>
      <w:divBdr>
        <w:top w:val="none" w:sz="0" w:space="0" w:color="auto"/>
        <w:left w:val="none" w:sz="0" w:space="0" w:color="auto"/>
        <w:bottom w:val="none" w:sz="0" w:space="0" w:color="auto"/>
        <w:right w:val="none" w:sz="0" w:space="0" w:color="auto"/>
      </w:divBdr>
      <w:divsChild>
        <w:div w:id="605381228">
          <w:marLeft w:val="0"/>
          <w:marRight w:val="0"/>
          <w:marTop w:val="0"/>
          <w:marBottom w:val="0"/>
          <w:divBdr>
            <w:top w:val="none" w:sz="0" w:space="0" w:color="auto"/>
            <w:left w:val="none" w:sz="0" w:space="0" w:color="auto"/>
            <w:bottom w:val="none" w:sz="0" w:space="0" w:color="auto"/>
            <w:right w:val="none" w:sz="0" w:space="0" w:color="auto"/>
          </w:divBdr>
        </w:div>
      </w:divsChild>
    </w:div>
    <w:div w:id="2008970313">
      <w:bodyDiv w:val="1"/>
      <w:marLeft w:val="0"/>
      <w:marRight w:val="0"/>
      <w:marTop w:val="0"/>
      <w:marBottom w:val="0"/>
      <w:divBdr>
        <w:top w:val="none" w:sz="0" w:space="0" w:color="auto"/>
        <w:left w:val="none" w:sz="0" w:space="0" w:color="auto"/>
        <w:bottom w:val="none" w:sz="0" w:space="0" w:color="auto"/>
        <w:right w:val="none" w:sz="0" w:space="0" w:color="auto"/>
      </w:divBdr>
    </w:div>
    <w:div w:id="21167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aww.ncps.med.va.gov/Dialogue/pslog/default.asp" TargetMode="External"/><Relationship Id="rId4" Type="http://schemas.openxmlformats.org/officeDocument/2006/relationships/webSettings" Target="webSettings.xml"/><Relationship Id="rId9" Type="http://schemas.openxmlformats.org/officeDocument/2006/relationships/hyperlink" Target="http://vaww.ncps.med.va.gov/Guidelines/alerts/Docs/CPRSCCOWAL07-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1217</Words>
  <Characters>6564</Characters>
  <Application>Microsoft Office Word</Application>
  <DocSecurity>0</DocSecurity>
  <Lines>205</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7682</CharactersWithSpaces>
  <SharedDoc>false</SharedDoc>
  <HLinks>
    <vt:vector size="48" baseType="variant">
      <vt:variant>
        <vt:i4>7012386</vt:i4>
      </vt:variant>
      <vt:variant>
        <vt:i4>42</vt:i4>
      </vt:variant>
      <vt:variant>
        <vt:i4>0</vt:i4>
      </vt:variant>
      <vt:variant>
        <vt:i4>5</vt:i4>
      </vt:variant>
      <vt:variant>
        <vt:lpwstr>http://vaww.ncps.med.va.gov/Dialogue/pslog/default.asp</vt:lpwstr>
      </vt:variant>
      <vt:variant>
        <vt:lpwstr/>
      </vt:variant>
      <vt:variant>
        <vt:i4>6422575</vt:i4>
      </vt:variant>
      <vt:variant>
        <vt:i4>39</vt:i4>
      </vt:variant>
      <vt:variant>
        <vt:i4>0</vt:i4>
      </vt:variant>
      <vt:variant>
        <vt:i4>5</vt:i4>
      </vt:variant>
      <vt:variant>
        <vt:lpwstr>http://vaww.ncps.med.va.gov/Guidelines/alerts/Docs/CPRSCCOWAL07-03.pdf</vt:lpwstr>
      </vt:variant>
      <vt:variant>
        <vt:lpwstr/>
      </vt:variant>
      <vt:variant>
        <vt:i4>1900599</vt:i4>
      </vt:variant>
      <vt:variant>
        <vt:i4>32</vt:i4>
      </vt:variant>
      <vt:variant>
        <vt:i4>0</vt:i4>
      </vt:variant>
      <vt:variant>
        <vt:i4>5</vt:i4>
      </vt:variant>
      <vt:variant>
        <vt:lpwstr/>
      </vt:variant>
      <vt:variant>
        <vt:lpwstr>_Toc156284899</vt:lpwstr>
      </vt:variant>
      <vt:variant>
        <vt:i4>1900599</vt:i4>
      </vt:variant>
      <vt:variant>
        <vt:i4>26</vt:i4>
      </vt:variant>
      <vt:variant>
        <vt:i4>0</vt:i4>
      </vt:variant>
      <vt:variant>
        <vt:i4>5</vt:i4>
      </vt:variant>
      <vt:variant>
        <vt:lpwstr/>
      </vt:variant>
      <vt:variant>
        <vt:lpwstr>_Toc156284898</vt:lpwstr>
      </vt:variant>
      <vt:variant>
        <vt:i4>1900599</vt:i4>
      </vt:variant>
      <vt:variant>
        <vt:i4>20</vt:i4>
      </vt:variant>
      <vt:variant>
        <vt:i4>0</vt:i4>
      </vt:variant>
      <vt:variant>
        <vt:i4>5</vt:i4>
      </vt:variant>
      <vt:variant>
        <vt:lpwstr/>
      </vt:variant>
      <vt:variant>
        <vt:lpwstr>_Toc156284897</vt:lpwstr>
      </vt:variant>
      <vt:variant>
        <vt:i4>1900599</vt:i4>
      </vt:variant>
      <vt:variant>
        <vt:i4>14</vt:i4>
      </vt:variant>
      <vt:variant>
        <vt:i4>0</vt:i4>
      </vt:variant>
      <vt:variant>
        <vt:i4>5</vt:i4>
      </vt:variant>
      <vt:variant>
        <vt:lpwstr/>
      </vt:variant>
      <vt:variant>
        <vt:lpwstr>_Toc156284896</vt:lpwstr>
      </vt:variant>
      <vt:variant>
        <vt:i4>1900599</vt:i4>
      </vt:variant>
      <vt:variant>
        <vt:i4>8</vt:i4>
      </vt:variant>
      <vt:variant>
        <vt:i4>0</vt:i4>
      </vt:variant>
      <vt:variant>
        <vt:i4>5</vt:i4>
      </vt:variant>
      <vt:variant>
        <vt:lpwstr/>
      </vt:variant>
      <vt:variant>
        <vt:lpwstr>_Toc156284895</vt:lpwstr>
      </vt:variant>
      <vt:variant>
        <vt:i4>1900599</vt:i4>
      </vt:variant>
      <vt:variant>
        <vt:i4>2</vt:i4>
      </vt:variant>
      <vt:variant>
        <vt:i4>0</vt:i4>
      </vt:variant>
      <vt:variant>
        <vt:i4>5</vt:i4>
      </vt:variant>
      <vt:variant>
        <vt:lpwstr/>
      </vt:variant>
      <vt:variant>
        <vt:lpwstr>_Toc156284894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Patch OR*3.0*270 Release Notes </dc:title>
  <dc:subject/>
  <dc:creator/>
  <cp:keywords/>
  <dc:description/>
  <cp:lastModifiedBy>Department of Veterans Affairs</cp:lastModifiedBy>
  <cp:revision>10</cp:revision>
  <cp:lastPrinted>2023-11-20T14:49:00Z</cp:lastPrinted>
  <dcterms:created xsi:type="dcterms:W3CDTF">2020-10-21T16:54:00Z</dcterms:created>
  <dcterms:modified xsi:type="dcterms:W3CDTF">2023-11-20T14:49:00Z</dcterms:modified>
</cp:coreProperties>
</file>