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40" w:lineRule="auto" w:before="169"/>
      </w:pPr>
      <w:r>
        <w:rPr/>
        <w:t>HOME BASED PRIMARY CARE PACKAGE SECURITY GUIDE</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4"/>
        </w:rPr>
      </w:pPr>
      <w:r>
        <w:rPr/>
        <w:drawing>
          <wp:anchor distT="0" distB="0" distL="0" distR="0" allowOverlap="1" layoutInCell="1" locked="0" behindDoc="0" simplePos="0" relativeHeight="0">
            <wp:simplePos x="0" y="0"/>
            <wp:positionH relativeFrom="page">
              <wp:posOffset>2490469</wp:posOffset>
            </wp:positionH>
            <wp:positionV relativeFrom="paragraph">
              <wp:posOffset>205546</wp:posOffset>
            </wp:positionV>
            <wp:extent cx="2787610" cy="1722120"/>
            <wp:effectExtent l="0" t="0" r="0" b="0"/>
            <wp:wrapTopAndBottom/>
            <wp:docPr id="1" name="image1.jpeg" descr="P10#yIS1"/>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87610" cy="1722120"/>
                    </a:xfrm>
                    <a:prstGeom prst="rect">
                      <a:avLst/>
                    </a:prstGeom>
                  </pic:spPr>
                </pic:pic>
              </a:graphicData>
            </a:graphic>
          </wp:anchor>
        </w:drawing>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4"/>
        </w:rPr>
      </w:pPr>
    </w:p>
    <w:p>
      <w:pPr>
        <w:pStyle w:val="Title"/>
        <w:ind w:left="1769" w:right="1944" w:firstLine="0"/>
        <w:jc w:val="center"/>
      </w:pPr>
      <w:r>
        <w:rPr/>
        <w:t>SENSITIVE INFORMATION</w:t>
      </w:r>
    </w:p>
    <w:p>
      <w:pPr>
        <w:pStyle w:val="BodyText"/>
        <w:spacing w:before="4"/>
        <w:rPr>
          <w:rFonts w:ascii="Arial"/>
          <w:b/>
          <w:sz w:val="80"/>
        </w:rPr>
      </w:pPr>
    </w:p>
    <w:p>
      <w:pPr>
        <w:spacing w:before="0"/>
        <w:ind w:left="3585" w:right="0" w:firstLine="0"/>
        <w:jc w:val="left"/>
        <w:rPr>
          <w:rFonts w:ascii="Arial"/>
          <w:sz w:val="48"/>
        </w:rPr>
      </w:pPr>
      <w:r>
        <w:rPr>
          <w:rFonts w:ascii="Arial"/>
          <w:sz w:val="48"/>
        </w:rPr>
        <w:t>Version 1.0</w:t>
      </w:r>
    </w:p>
    <w:p>
      <w:pPr>
        <w:spacing w:line="338" w:lineRule="auto" w:before="230"/>
        <w:ind w:left="1742" w:right="1922" w:firstLine="1348"/>
        <w:jc w:val="left"/>
        <w:rPr>
          <w:rFonts w:ascii="Arial"/>
          <w:sz w:val="48"/>
        </w:rPr>
      </w:pPr>
      <w:r>
        <w:rPr>
          <w:rFonts w:ascii="Arial"/>
          <w:sz w:val="48"/>
        </w:rPr>
        <w:t>November 1993 Latest Revision August</w:t>
      </w:r>
      <w:r>
        <w:rPr>
          <w:rFonts w:ascii="Arial"/>
          <w:spacing w:val="-10"/>
          <w:sz w:val="48"/>
        </w:rPr>
        <w:t> </w:t>
      </w:r>
      <w:r>
        <w:rPr>
          <w:rFonts w:ascii="Arial"/>
          <w:sz w:val="48"/>
        </w:rPr>
        <w:t>2009</w:t>
      </w:r>
    </w:p>
    <w:p>
      <w:pPr>
        <w:pStyle w:val="BodyText"/>
        <w:spacing w:before="5"/>
        <w:rPr>
          <w:rFonts w:ascii="Arial"/>
          <w:sz w:val="54"/>
        </w:rPr>
      </w:pPr>
    </w:p>
    <w:p>
      <w:pPr>
        <w:spacing w:line="410" w:lineRule="auto" w:before="0"/>
        <w:ind w:left="2582" w:right="2758" w:firstLine="0"/>
        <w:jc w:val="center"/>
        <w:rPr>
          <w:rFonts w:ascii="Arial"/>
          <w:b/>
          <w:sz w:val="28"/>
        </w:rPr>
      </w:pPr>
      <w:r>
        <w:rPr>
          <w:rFonts w:ascii="Arial"/>
          <w:b/>
          <w:sz w:val="28"/>
        </w:rPr>
        <w:t>Department of Veterans Affairs Office of Enterprise Development</w:t>
      </w:r>
    </w:p>
    <w:p>
      <w:pPr>
        <w:spacing w:after="0" w:line="410" w:lineRule="auto"/>
        <w:jc w:val="center"/>
        <w:rPr>
          <w:rFonts w:ascii="Arial"/>
          <w:sz w:val="28"/>
        </w:rPr>
        <w:sectPr>
          <w:type w:val="continuous"/>
          <w:pgSz w:w="12240" w:h="15840"/>
          <w:pgMar w:top="1500" w:bottom="280" w:left="1320" w:right="1140"/>
        </w:sectPr>
      </w:pPr>
    </w:p>
    <w:p>
      <w:pPr>
        <w:spacing w:before="168"/>
        <w:ind w:left="120" w:right="0" w:firstLine="0"/>
        <w:jc w:val="left"/>
        <w:rPr>
          <w:rFonts w:ascii="Arial"/>
          <w:sz w:val="36"/>
        </w:rPr>
      </w:pPr>
      <w:bookmarkStart w:name="Revision History" w:id="1"/>
      <w:bookmarkEnd w:id="1"/>
      <w:r>
        <w:rPr/>
      </w:r>
      <w:r>
        <w:rPr>
          <w:rFonts w:ascii="Arial"/>
          <w:sz w:val="36"/>
        </w:rPr>
        <w:t>Revision History</w:t>
      </w:r>
    </w:p>
    <w:p>
      <w:pPr>
        <w:pStyle w:val="BodyText"/>
        <w:rPr>
          <w:rFonts w:ascii="Arial"/>
          <w:sz w:val="20"/>
        </w:rPr>
      </w:pPr>
    </w:p>
    <w:p>
      <w:pPr>
        <w:pStyle w:val="BodyText"/>
        <w:spacing w:before="7" w:after="1"/>
        <w:rPr>
          <w:rFonts w:ascii="Arial"/>
          <w:sz w:val="27"/>
        </w:rPr>
      </w:pP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9"/>
        <w:gridCol w:w="974"/>
        <w:gridCol w:w="744"/>
        <w:gridCol w:w="2513"/>
        <w:gridCol w:w="2256"/>
        <w:gridCol w:w="1536"/>
      </w:tblGrid>
      <w:tr>
        <w:trPr>
          <w:trHeight w:val="486" w:hRule="atLeast"/>
        </w:trPr>
        <w:tc>
          <w:tcPr>
            <w:tcW w:w="1459" w:type="dxa"/>
            <w:shd w:val="clear" w:color="auto" w:fill="E6E6E6"/>
          </w:tcPr>
          <w:p>
            <w:pPr>
              <w:pStyle w:val="TableParagraph"/>
              <w:spacing w:line="242" w:lineRule="exact"/>
              <w:ind w:left="107"/>
              <w:rPr>
                <w:rFonts w:ascii="Times New Roman"/>
                <w:b/>
                <w:sz w:val="22"/>
              </w:rPr>
            </w:pPr>
            <w:r>
              <w:rPr>
                <w:rFonts w:ascii="Times New Roman"/>
                <w:b/>
                <w:sz w:val="22"/>
              </w:rPr>
              <w:t>Date</w:t>
            </w:r>
          </w:p>
        </w:tc>
        <w:tc>
          <w:tcPr>
            <w:tcW w:w="974" w:type="dxa"/>
            <w:shd w:val="clear" w:color="auto" w:fill="E6E6E6"/>
          </w:tcPr>
          <w:p>
            <w:pPr>
              <w:pStyle w:val="TableParagraph"/>
              <w:spacing w:line="242" w:lineRule="exact"/>
              <w:ind w:left="108"/>
              <w:rPr>
                <w:rFonts w:ascii="Times New Roman"/>
                <w:b/>
                <w:sz w:val="22"/>
              </w:rPr>
            </w:pPr>
            <w:r>
              <w:rPr>
                <w:rFonts w:ascii="Times New Roman"/>
                <w:b/>
                <w:sz w:val="22"/>
              </w:rPr>
              <w:t>Patch #</w:t>
            </w:r>
          </w:p>
        </w:tc>
        <w:tc>
          <w:tcPr>
            <w:tcW w:w="744" w:type="dxa"/>
            <w:shd w:val="clear" w:color="auto" w:fill="E6E6E6"/>
          </w:tcPr>
          <w:p>
            <w:pPr>
              <w:pStyle w:val="TableParagraph"/>
              <w:spacing w:line="242" w:lineRule="exact"/>
              <w:ind w:left="105"/>
              <w:rPr>
                <w:rFonts w:ascii="Times New Roman"/>
                <w:b/>
                <w:sz w:val="22"/>
              </w:rPr>
            </w:pPr>
            <w:r>
              <w:rPr>
                <w:rFonts w:ascii="Times New Roman"/>
                <w:b/>
                <w:sz w:val="22"/>
              </w:rPr>
              <w:t>Page</w:t>
            </w:r>
          </w:p>
        </w:tc>
        <w:tc>
          <w:tcPr>
            <w:tcW w:w="2513" w:type="dxa"/>
            <w:shd w:val="clear" w:color="auto" w:fill="E6E6E6"/>
          </w:tcPr>
          <w:p>
            <w:pPr>
              <w:pStyle w:val="TableParagraph"/>
              <w:spacing w:line="242" w:lineRule="exact"/>
              <w:ind w:left="108"/>
              <w:rPr>
                <w:rFonts w:ascii="Times New Roman"/>
                <w:b/>
                <w:sz w:val="22"/>
              </w:rPr>
            </w:pPr>
            <w:r>
              <w:rPr>
                <w:rFonts w:ascii="Times New Roman"/>
                <w:b/>
                <w:sz w:val="22"/>
              </w:rPr>
              <w:t>Description</w:t>
            </w:r>
          </w:p>
        </w:tc>
        <w:tc>
          <w:tcPr>
            <w:tcW w:w="2256" w:type="dxa"/>
            <w:shd w:val="clear" w:color="auto" w:fill="E6E6E6"/>
          </w:tcPr>
          <w:p>
            <w:pPr>
              <w:pStyle w:val="TableParagraph"/>
              <w:spacing w:line="242" w:lineRule="exact"/>
              <w:ind w:left="108"/>
              <w:rPr>
                <w:rFonts w:ascii="Times New Roman"/>
                <w:b/>
                <w:sz w:val="22"/>
              </w:rPr>
            </w:pPr>
            <w:r>
              <w:rPr>
                <w:rFonts w:ascii="Times New Roman"/>
                <w:b/>
                <w:sz w:val="22"/>
              </w:rPr>
              <w:t>Project Manager</w:t>
            </w:r>
          </w:p>
        </w:tc>
        <w:tc>
          <w:tcPr>
            <w:tcW w:w="1536" w:type="dxa"/>
            <w:shd w:val="clear" w:color="auto" w:fill="E6E6E6"/>
          </w:tcPr>
          <w:p>
            <w:pPr>
              <w:pStyle w:val="TableParagraph"/>
              <w:spacing w:line="238" w:lineRule="exact"/>
              <w:ind w:left="108"/>
              <w:rPr>
                <w:rFonts w:ascii="Times New Roman"/>
                <w:b/>
                <w:sz w:val="22"/>
              </w:rPr>
            </w:pPr>
            <w:r>
              <w:rPr>
                <w:rFonts w:ascii="Times New Roman"/>
                <w:b/>
                <w:sz w:val="22"/>
              </w:rPr>
              <w:t>Technical</w:t>
            </w:r>
          </w:p>
          <w:p>
            <w:pPr>
              <w:pStyle w:val="TableParagraph"/>
              <w:spacing w:line="229" w:lineRule="exact"/>
              <w:ind w:left="108"/>
              <w:rPr>
                <w:rFonts w:ascii="Times New Roman"/>
                <w:b/>
                <w:sz w:val="22"/>
              </w:rPr>
            </w:pPr>
            <w:r>
              <w:rPr>
                <w:rFonts w:ascii="Times New Roman"/>
                <w:b/>
                <w:sz w:val="22"/>
              </w:rPr>
              <w:t>Writer</w:t>
            </w:r>
          </w:p>
        </w:tc>
      </w:tr>
      <w:tr>
        <w:trPr>
          <w:trHeight w:val="974" w:hRule="atLeast"/>
        </w:trPr>
        <w:tc>
          <w:tcPr>
            <w:tcW w:w="1459" w:type="dxa"/>
          </w:tcPr>
          <w:p>
            <w:pPr>
              <w:pStyle w:val="TableParagraph"/>
              <w:spacing w:line="242" w:lineRule="exact"/>
              <w:ind w:left="107"/>
              <w:rPr>
                <w:rFonts w:ascii="Times New Roman"/>
                <w:sz w:val="22"/>
              </w:rPr>
            </w:pPr>
            <w:r>
              <w:rPr>
                <w:rFonts w:ascii="Times New Roman"/>
                <w:sz w:val="22"/>
              </w:rPr>
              <w:t>August 2009</w:t>
            </w:r>
          </w:p>
        </w:tc>
        <w:tc>
          <w:tcPr>
            <w:tcW w:w="974" w:type="dxa"/>
          </w:tcPr>
          <w:p>
            <w:pPr>
              <w:pStyle w:val="TableParagraph"/>
              <w:spacing w:line="242" w:lineRule="exact"/>
              <w:ind w:left="108"/>
              <w:rPr>
                <w:rFonts w:ascii="Times New Roman"/>
                <w:sz w:val="22"/>
              </w:rPr>
            </w:pPr>
            <w:r>
              <w:rPr>
                <w:rFonts w:ascii="Times New Roman"/>
                <w:sz w:val="22"/>
              </w:rPr>
              <w:t>24</w:t>
            </w:r>
          </w:p>
        </w:tc>
        <w:tc>
          <w:tcPr>
            <w:tcW w:w="744" w:type="dxa"/>
          </w:tcPr>
          <w:p>
            <w:pPr>
              <w:pStyle w:val="TableParagraph"/>
              <w:spacing w:line="242" w:lineRule="exact"/>
              <w:ind w:left="105"/>
              <w:rPr>
                <w:rFonts w:ascii="Times New Roman"/>
                <w:sz w:val="22"/>
              </w:rPr>
            </w:pPr>
            <w:hyperlink w:history="true" w:anchor="_bookmark0">
              <w:r>
                <w:rPr>
                  <w:rFonts w:ascii="Times New Roman"/>
                  <w:color w:val="0000FF"/>
                  <w:w w:val="100"/>
                  <w:sz w:val="22"/>
                  <w:u w:val="single" w:color="0000FF"/>
                </w:rPr>
                <w:t>4</w:t>
              </w:r>
            </w:hyperlink>
          </w:p>
        </w:tc>
        <w:tc>
          <w:tcPr>
            <w:tcW w:w="2513" w:type="dxa"/>
          </w:tcPr>
          <w:p>
            <w:pPr>
              <w:pStyle w:val="TableParagraph"/>
              <w:spacing w:line="232" w:lineRule="auto"/>
              <w:ind w:left="108" w:right="126"/>
              <w:rPr>
                <w:rFonts w:ascii="Times New Roman" w:hAnsi="Times New Roman"/>
                <w:sz w:val="22"/>
              </w:rPr>
            </w:pPr>
            <w:r>
              <w:rPr>
                <w:rFonts w:ascii="Times New Roman" w:hAnsi="Times New Roman"/>
                <w:sz w:val="22"/>
              </w:rPr>
              <w:t>Patch HBH*1*24 August 2009 – Bookmark added</w:t>
            </w:r>
          </w:p>
          <w:p>
            <w:pPr>
              <w:pStyle w:val="TableParagraph"/>
              <w:spacing w:line="242" w:lineRule="exact"/>
              <w:ind w:left="108" w:right="1024"/>
              <w:rPr>
                <w:rFonts w:ascii="Times New Roman"/>
                <w:sz w:val="22"/>
              </w:rPr>
            </w:pPr>
            <w:r>
              <w:rPr>
                <w:rFonts w:ascii="Times New Roman"/>
                <w:sz w:val="22"/>
              </w:rPr>
              <w:t>and bookmarks described.</w:t>
            </w:r>
          </w:p>
        </w:tc>
        <w:tc>
          <w:tcPr>
            <w:tcW w:w="2256" w:type="dxa"/>
          </w:tcPr>
          <w:p>
            <w:pPr>
              <w:pStyle w:val="TableParagraph"/>
              <w:spacing w:line="242" w:lineRule="exact"/>
              <w:ind w:left="108"/>
              <w:rPr>
                <w:rFonts w:ascii="Times New Roman"/>
                <w:sz w:val="22"/>
              </w:rPr>
            </w:pPr>
            <w:r>
              <w:rPr>
                <w:rFonts w:ascii="Times New Roman"/>
                <w:sz w:val="22"/>
                <w:shd w:fill="FFFF00" w:color="auto" w:val="clear"/>
              </w:rPr>
              <w:t>REDACTED</w:t>
            </w:r>
          </w:p>
        </w:tc>
        <w:tc>
          <w:tcPr>
            <w:tcW w:w="1536" w:type="dxa"/>
          </w:tcPr>
          <w:p>
            <w:pPr>
              <w:pStyle w:val="TableParagraph"/>
              <w:spacing w:line="242" w:lineRule="exact"/>
              <w:ind w:left="108"/>
              <w:rPr>
                <w:rFonts w:ascii="Times New Roman"/>
                <w:sz w:val="22"/>
              </w:rPr>
            </w:pPr>
            <w:r>
              <w:rPr>
                <w:rFonts w:ascii="Times New Roman"/>
                <w:sz w:val="22"/>
                <w:shd w:fill="FFFF00" w:color="auto" w:val="clear"/>
              </w:rPr>
              <w:t>REDACTED</w:t>
            </w:r>
          </w:p>
        </w:tc>
      </w:tr>
      <w:tr>
        <w:trPr>
          <w:trHeight w:val="243" w:hRule="atLeast"/>
        </w:trPr>
        <w:tc>
          <w:tcPr>
            <w:tcW w:w="1459" w:type="dxa"/>
          </w:tcPr>
          <w:p>
            <w:pPr>
              <w:pStyle w:val="TableParagraph"/>
              <w:spacing w:line="240" w:lineRule="auto"/>
              <w:rPr>
                <w:rFonts w:ascii="Times New Roman"/>
                <w:sz w:val="16"/>
              </w:rPr>
            </w:pPr>
          </w:p>
        </w:tc>
        <w:tc>
          <w:tcPr>
            <w:tcW w:w="974" w:type="dxa"/>
          </w:tcPr>
          <w:p>
            <w:pPr>
              <w:pStyle w:val="TableParagraph"/>
              <w:spacing w:line="240" w:lineRule="auto"/>
              <w:rPr>
                <w:rFonts w:ascii="Times New Roman"/>
                <w:sz w:val="16"/>
              </w:rPr>
            </w:pPr>
          </w:p>
        </w:tc>
        <w:tc>
          <w:tcPr>
            <w:tcW w:w="744" w:type="dxa"/>
          </w:tcPr>
          <w:p>
            <w:pPr>
              <w:pStyle w:val="TableParagraph"/>
              <w:spacing w:line="240" w:lineRule="auto"/>
              <w:rPr>
                <w:rFonts w:ascii="Times New Roman"/>
                <w:sz w:val="16"/>
              </w:rPr>
            </w:pPr>
          </w:p>
        </w:tc>
        <w:tc>
          <w:tcPr>
            <w:tcW w:w="2513" w:type="dxa"/>
          </w:tcPr>
          <w:p>
            <w:pPr>
              <w:pStyle w:val="TableParagraph"/>
              <w:spacing w:line="240" w:lineRule="auto"/>
              <w:rPr>
                <w:rFonts w:ascii="Times New Roman"/>
                <w:sz w:val="16"/>
              </w:rPr>
            </w:pPr>
          </w:p>
        </w:tc>
        <w:tc>
          <w:tcPr>
            <w:tcW w:w="2256" w:type="dxa"/>
          </w:tcPr>
          <w:p>
            <w:pPr>
              <w:pStyle w:val="TableParagraph"/>
              <w:spacing w:line="240" w:lineRule="auto"/>
              <w:rPr>
                <w:rFonts w:ascii="Times New Roman"/>
                <w:sz w:val="16"/>
              </w:rPr>
            </w:pPr>
          </w:p>
        </w:tc>
        <w:tc>
          <w:tcPr>
            <w:tcW w:w="1536" w:type="dxa"/>
          </w:tcPr>
          <w:p>
            <w:pPr>
              <w:pStyle w:val="TableParagraph"/>
              <w:spacing w:line="240" w:lineRule="auto"/>
              <w:rPr>
                <w:rFonts w:ascii="Times New Roman"/>
                <w:sz w:val="16"/>
              </w:rPr>
            </w:pPr>
          </w:p>
        </w:tc>
      </w:tr>
      <w:tr>
        <w:trPr>
          <w:trHeight w:val="242" w:hRule="atLeast"/>
        </w:trPr>
        <w:tc>
          <w:tcPr>
            <w:tcW w:w="1459" w:type="dxa"/>
          </w:tcPr>
          <w:p>
            <w:pPr>
              <w:pStyle w:val="TableParagraph"/>
              <w:spacing w:line="240" w:lineRule="auto"/>
              <w:rPr>
                <w:rFonts w:ascii="Times New Roman"/>
                <w:sz w:val="16"/>
              </w:rPr>
            </w:pPr>
          </w:p>
        </w:tc>
        <w:tc>
          <w:tcPr>
            <w:tcW w:w="974" w:type="dxa"/>
          </w:tcPr>
          <w:p>
            <w:pPr>
              <w:pStyle w:val="TableParagraph"/>
              <w:spacing w:line="240" w:lineRule="auto"/>
              <w:rPr>
                <w:rFonts w:ascii="Times New Roman"/>
                <w:sz w:val="16"/>
              </w:rPr>
            </w:pPr>
          </w:p>
        </w:tc>
        <w:tc>
          <w:tcPr>
            <w:tcW w:w="744" w:type="dxa"/>
          </w:tcPr>
          <w:p>
            <w:pPr>
              <w:pStyle w:val="TableParagraph"/>
              <w:spacing w:line="240" w:lineRule="auto"/>
              <w:rPr>
                <w:rFonts w:ascii="Times New Roman"/>
                <w:sz w:val="16"/>
              </w:rPr>
            </w:pPr>
          </w:p>
        </w:tc>
        <w:tc>
          <w:tcPr>
            <w:tcW w:w="2513" w:type="dxa"/>
          </w:tcPr>
          <w:p>
            <w:pPr>
              <w:pStyle w:val="TableParagraph"/>
              <w:spacing w:line="240" w:lineRule="auto"/>
              <w:rPr>
                <w:rFonts w:ascii="Times New Roman"/>
                <w:sz w:val="16"/>
              </w:rPr>
            </w:pPr>
          </w:p>
        </w:tc>
        <w:tc>
          <w:tcPr>
            <w:tcW w:w="2256" w:type="dxa"/>
          </w:tcPr>
          <w:p>
            <w:pPr>
              <w:pStyle w:val="TableParagraph"/>
              <w:spacing w:line="240" w:lineRule="auto"/>
              <w:rPr>
                <w:rFonts w:ascii="Times New Roman"/>
                <w:sz w:val="16"/>
              </w:rPr>
            </w:pPr>
          </w:p>
        </w:tc>
        <w:tc>
          <w:tcPr>
            <w:tcW w:w="1536" w:type="dxa"/>
          </w:tcPr>
          <w:p>
            <w:pPr>
              <w:pStyle w:val="TableParagraph"/>
              <w:spacing w:line="240" w:lineRule="auto"/>
              <w:rPr>
                <w:rFonts w:ascii="Times New Roman"/>
                <w:sz w:val="16"/>
              </w:rPr>
            </w:pPr>
          </w:p>
        </w:tc>
      </w:tr>
      <w:tr>
        <w:trPr>
          <w:trHeight w:val="244" w:hRule="atLeast"/>
        </w:trPr>
        <w:tc>
          <w:tcPr>
            <w:tcW w:w="1459" w:type="dxa"/>
          </w:tcPr>
          <w:p>
            <w:pPr>
              <w:pStyle w:val="TableParagraph"/>
              <w:spacing w:line="240" w:lineRule="auto"/>
              <w:rPr>
                <w:rFonts w:ascii="Times New Roman"/>
                <w:sz w:val="16"/>
              </w:rPr>
            </w:pPr>
          </w:p>
        </w:tc>
        <w:tc>
          <w:tcPr>
            <w:tcW w:w="974" w:type="dxa"/>
          </w:tcPr>
          <w:p>
            <w:pPr>
              <w:pStyle w:val="TableParagraph"/>
              <w:spacing w:line="240" w:lineRule="auto"/>
              <w:rPr>
                <w:rFonts w:ascii="Times New Roman"/>
                <w:sz w:val="16"/>
              </w:rPr>
            </w:pPr>
          </w:p>
        </w:tc>
        <w:tc>
          <w:tcPr>
            <w:tcW w:w="744" w:type="dxa"/>
          </w:tcPr>
          <w:p>
            <w:pPr>
              <w:pStyle w:val="TableParagraph"/>
              <w:spacing w:line="240" w:lineRule="auto"/>
              <w:rPr>
                <w:rFonts w:ascii="Times New Roman"/>
                <w:sz w:val="16"/>
              </w:rPr>
            </w:pPr>
          </w:p>
        </w:tc>
        <w:tc>
          <w:tcPr>
            <w:tcW w:w="2513" w:type="dxa"/>
          </w:tcPr>
          <w:p>
            <w:pPr>
              <w:pStyle w:val="TableParagraph"/>
              <w:spacing w:line="240" w:lineRule="auto"/>
              <w:rPr>
                <w:rFonts w:ascii="Times New Roman"/>
                <w:sz w:val="16"/>
              </w:rPr>
            </w:pPr>
          </w:p>
        </w:tc>
        <w:tc>
          <w:tcPr>
            <w:tcW w:w="2256" w:type="dxa"/>
          </w:tcPr>
          <w:p>
            <w:pPr>
              <w:pStyle w:val="TableParagraph"/>
              <w:spacing w:line="240" w:lineRule="auto"/>
              <w:rPr>
                <w:rFonts w:ascii="Times New Roman"/>
                <w:sz w:val="16"/>
              </w:rPr>
            </w:pPr>
          </w:p>
        </w:tc>
        <w:tc>
          <w:tcPr>
            <w:tcW w:w="1536" w:type="dxa"/>
          </w:tcPr>
          <w:p>
            <w:pPr>
              <w:pStyle w:val="TableParagraph"/>
              <w:spacing w:line="240" w:lineRule="auto"/>
              <w:rPr>
                <w:rFonts w:ascii="Times New Roman"/>
                <w:sz w:val="16"/>
              </w:rPr>
            </w:pPr>
          </w:p>
        </w:tc>
      </w:tr>
    </w:tbl>
    <w:p>
      <w:pPr>
        <w:spacing w:after="0" w:line="240" w:lineRule="auto"/>
        <w:rPr>
          <w:rFonts w:ascii="Times New Roman"/>
          <w:sz w:val="16"/>
        </w:rPr>
        <w:sectPr>
          <w:headerReference w:type="default" r:id="rId6"/>
          <w:footerReference w:type="default" r:id="rId7"/>
          <w:pgSz w:w="12240" w:h="15840"/>
          <w:pgMar w:header="718" w:footer="1050" w:top="1500" w:bottom="1240" w:left="1320" w:right="1140"/>
          <w:pgNumType w:start="2"/>
        </w:sectPr>
      </w:pPr>
    </w:p>
    <w:p>
      <w:pPr>
        <w:pStyle w:val="Heading1"/>
      </w:pPr>
      <w:bookmarkStart w:name="File Security" w:id="2"/>
      <w:bookmarkEnd w:id="2"/>
      <w:r>
        <w:rPr>
          <w:b w:val="0"/>
        </w:rPr>
      </w:r>
      <w:r>
        <w:rPr/>
        <w:t>File Security</w:t>
      </w:r>
    </w:p>
    <w:p>
      <w:pPr>
        <w:pStyle w:val="BodyText"/>
        <w:rPr>
          <w:rFonts w:ascii="Cambria"/>
          <w:b/>
          <w:sz w:val="50"/>
        </w:rPr>
      </w:pPr>
    </w:p>
    <w:p>
      <w:pPr>
        <w:pStyle w:val="BodyText"/>
        <w:spacing w:line="230" w:lineRule="auto" w:before="1"/>
        <w:ind w:left="120"/>
      </w:pPr>
      <w:r>
        <w:rPr/>
        <w:t>All HBHC files are exported with FileMan security codes set to "@" for Data Dictionary, Read, Write, Delete, LAYGO, &amp; Audit file access. Each of the files listed below will need the FileMan security code changed from "@" to an appropriate code for the HBHC service. Each service will need to determine the proper access level for their users.</w:t>
      </w:r>
    </w:p>
    <w:p>
      <w:pPr>
        <w:pStyle w:val="BodyText"/>
        <w:spacing w:before="2"/>
        <w:rPr>
          <w:sz w:val="23"/>
        </w:rPr>
      </w:pPr>
    </w:p>
    <w:p>
      <w:pPr>
        <w:pStyle w:val="BodyText"/>
        <w:spacing w:line="230" w:lineRule="auto"/>
        <w:ind w:left="120" w:right="340"/>
      </w:pPr>
      <w:r>
        <w:rPr/>
        <w:t>Data Dictionary and Audit access are reserved for the IRMS staff. Delete access should NOT be allowed on any HBHC files since these files point to or are referenced by other files. Read and/or Write Access is granted by virtue of the menu options that reference each file.</w:t>
      </w:r>
    </w:p>
    <w:p>
      <w:pPr>
        <w:pStyle w:val="BodyText"/>
        <w:rPr>
          <w:sz w:val="24"/>
        </w:rPr>
      </w:pPr>
    </w:p>
    <w:p>
      <w:pPr>
        <w:tabs>
          <w:tab w:pos="4439" w:val="left" w:leader="none"/>
          <w:tab w:pos="5159" w:val="left" w:leader="none"/>
          <w:tab w:pos="5879" w:val="left" w:leader="none"/>
          <w:tab w:pos="6599" w:val="left" w:leader="none"/>
          <w:tab w:pos="7319" w:val="left" w:leader="none"/>
          <w:tab w:pos="8075" w:val="left" w:leader="none"/>
        </w:tabs>
        <w:spacing w:before="192"/>
        <w:ind w:left="120" w:right="0" w:firstLine="0"/>
        <w:jc w:val="left"/>
        <w:rPr>
          <w:rFonts w:ascii="Courier New"/>
          <w:sz w:val="18"/>
        </w:rPr>
      </w:pPr>
      <w:r>
        <w:rPr>
          <w:rFonts w:ascii="Courier New"/>
          <w:sz w:val="18"/>
        </w:rPr>
        <w:t>NUMBER</w:t>
      </w:r>
      <w:r>
        <w:rPr>
          <w:rFonts w:ascii="Courier New"/>
          <w:spacing w:val="-41"/>
          <w:sz w:val="18"/>
        </w:rPr>
        <w:t> </w:t>
      </w:r>
      <w:r>
        <w:rPr>
          <w:rFonts w:ascii="Courier New"/>
          <w:sz w:val="18"/>
        </w:rPr>
        <w:t>NAME</w:t>
        <w:tab/>
        <w:t>DD</w:t>
        <w:tab/>
        <w:t>RD</w:t>
        <w:tab/>
        <w:t>WR</w:t>
        <w:tab/>
        <w:t>DEL</w:t>
        <w:tab/>
        <w:t>LAYGO</w:t>
        <w:tab/>
        <w:t>AUDIT</w:t>
      </w:r>
    </w:p>
    <w:p>
      <w:pPr>
        <w:pStyle w:val="BodyText"/>
        <w:spacing w:before="6"/>
        <w:rPr>
          <w:rFonts w:ascii="Courier New"/>
          <w:sz w:val="8"/>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0"/>
        <w:gridCol w:w="594"/>
        <w:gridCol w:w="3024"/>
        <w:gridCol w:w="486"/>
        <w:gridCol w:w="720"/>
        <w:gridCol w:w="720"/>
        <w:gridCol w:w="720"/>
        <w:gridCol w:w="720"/>
        <w:gridCol w:w="1674"/>
      </w:tblGrid>
      <w:tr>
        <w:trPr>
          <w:trHeight w:val="301" w:hRule="atLeast"/>
        </w:trPr>
        <w:tc>
          <w:tcPr>
            <w:tcW w:w="630" w:type="dxa"/>
            <w:tcBorders>
              <w:top w:val="dashed" w:sz="6" w:space="0" w:color="000000"/>
            </w:tcBorders>
          </w:tcPr>
          <w:p>
            <w:pPr>
              <w:pStyle w:val="TableParagraph"/>
              <w:spacing w:before="97"/>
              <w:rPr>
                <w:sz w:val="18"/>
              </w:rPr>
            </w:pPr>
            <w:r>
              <w:rPr>
                <w:sz w:val="18"/>
              </w:rPr>
              <w:t>631</w:t>
            </w:r>
          </w:p>
        </w:tc>
        <w:tc>
          <w:tcPr>
            <w:tcW w:w="594" w:type="dxa"/>
            <w:tcBorders>
              <w:top w:val="dashed" w:sz="6" w:space="0" w:color="000000"/>
            </w:tcBorders>
          </w:tcPr>
          <w:p>
            <w:pPr>
              <w:pStyle w:val="TableParagraph"/>
              <w:spacing w:before="97"/>
              <w:ind w:left="33" w:right="16"/>
              <w:jc w:val="center"/>
              <w:rPr>
                <w:sz w:val="18"/>
              </w:rPr>
            </w:pPr>
            <w:r>
              <w:rPr>
                <w:sz w:val="18"/>
              </w:rPr>
              <w:t>HBHC</w:t>
            </w:r>
          </w:p>
        </w:tc>
        <w:tc>
          <w:tcPr>
            <w:tcW w:w="3024" w:type="dxa"/>
            <w:tcBorders>
              <w:top w:val="dashed" w:sz="6" w:space="0" w:color="000000"/>
            </w:tcBorders>
          </w:tcPr>
          <w:p>
            <w:pPr>
              <w:pStyle w:val="TableParagraph"/>
              <w:spacing w:before="97"/>
              <w:ind w:left="35"/>
              <w:rPr>
                <w:sz w:val="18"/>
              </w:rPr>
            </w:pPr>
            <w:r>
              <w:rPr>
                <w:sz w:val="18"/>
              </w:rPr>
              <w:t>PATIENT</w:t>
            </w:r>
          </w:p>
        </w:tc>
        <w:tc>
          <w:tcPr>
            <w:tcW w:w="486" w:type="dxa"/>
            <w:tcBorders>
              <w:top w:val="dashed" w:sz="6" w:space="0" w:color="000000"/>
            </w:tcBorders>
          </w:tcPr>
          <w:p>
            <w:pPr>
              <w:pStyle w:val="TableParagraph"/>
              <w:spacing w:before="97"/>
              <w:ind w:left="72"/>
              <w:rPr>
                <w:sz w:val="18"/>
              </w:rPr>
            </w:pPr>
            <w:r>
              <w:rPr>
                <w:sz w:val="18"/>
              </w:rPr>
              <w:t>@</w:t>
            </w:r>
          </w:p>
        </w:tc>
        <w:tc>
          <w:tcPr>
            <w:tcW w:w="720" w:type="dxa"/>
            <w:tcBorders>
              <w:top w:val="dashed" w:sz="6" w:space="0" w:color="000000"/>
            </w:tcBorders>
          </w:tcPr>
          <w:p>
            <w:pPr>
              <w:pStyle w:val="TableParagraph"/>
              <w:spacing w:before="97"/>
              <w:jc w:val="center"/>
              <w:rPr>
                <w:sz w:val="18"/>
              </w:rPr>
            </w:pPr>
            <w:r>
              <w:rPr>
                <w:sz w:val="18"/>
              </w:rPr>
              <w:t>@</w:t>
            </w:r>
          </w:p>
        </w:tc>
        <w:tc>
          <w:tcPr>
            <w:tcW w:w="720" w:type="dxa"/>
            <w:tcBorders>
              <w:top w:val="dashed" w:sz="6" w:space="0" w:color="000000"/>
            </w:tcBorders>
          </w:tcPr>
          <w:p>
            <w:pPr>
              <w:pStyle w:val="TableParagraph"/>
              <w:spacing w:before="97"/>
              <w:jc w:val="center"/>
              <w:rPr>
                <w:sz w:val="18"/>
              </w:rPr>
            </w:pPr>
            <w:r>
              <w:rPr>
                <w:sz w:val="18"/>
              </w:rPr>
              <w:t>@</w:t>
            </w:r>
          </w:p>
        </w:tc>
        <w:tc>
          <w:tcPr>
            <w:tcW w:w="720" w:type="dxa"/>
            <w:tcBorders>
              <w:top w:val="dashed" w:sz="6" w:space="0" w:color="000000"/>
            </w:tcBorders>
          </w:tcPr>
          <w:p>
            <w:pPr>
              <w:pStyle w:val="TableParagraph"/>
              <w:spacing w:before="97"/>
              <w:jc w:val="center"/>
              <w:rPr>
                <w:sz w:val="18"/>
              </w:rPr>
            </w:pPr>
            <w:r>
              <w:rPr>
                <w:sz w:val="18"/>
              </w:rPr>
              <w:t>@</w:t>
            </w:r>
          </w:p>
        </w:tc>
        <w:tc>
          <w:tcPr>
            <w:tcW w:w="720" w:type="dxa"/>
            <w:tcBorders>
              <w:top w:val="dashed" w:sz="6" w:space="0" w:color="000000"/>
            </w:tcBorders>
          </w:tcPr>
          <w:p>
            <w:pPr>
              <w:pStyle w:val="TableParagraph"/>
              <w:spacing w:before="97"/>
              <w:jc w:val="center"/>
              <w:rPr>
                <w:sz w:val="18"/>
              </w:rPr>
            </w:pPr>
            <w:r>
              <w:rPr>
                <w:sz w:val="18"/>
              </w:rPr>
              <w:t>@</w:t>
            </w:r>
          </w:p>
        </w:tc>
        <w:tc>
          <w:tcPr>
            <w:tcW w:w="1674" w:type="dxa"/>
            <w:tcBorders>
              <w:top w:val="dashed" w:sz="6" w:space="0" w:color="000000"/>
            </w:tcBorders>
          </w:tcPr>
          <w:p>
            <w:pPr>
              <w:pStyle w:val="TableParagraph"/>
              <w:spacing w:before="97"/>
              <w:ind w:left="306"/>
              <w:rPr>
                <w:sz w:val="18"/>
              </w:rPr>
            </w:pPr>
            <w:r>
              <w:rPr>
                <w:sz w:val="18"/>
              </w:rPr>
              <w:t>@</w:t>
            </w:r>
          </w:p>
        </w:tc>
      </w:tr>
      <w:tr>
        <w:trPr>
          <w:trHeight w:val="203" w:hRule="atLeast"/>
        </w:trPr>
        <w:tc>
          <w:tcPr>
            <w:tcW w:w="630" w:type="dxa"/>
          </w:tcPr>
          <w:p>
            <w:pPr>
              <w:pStyle w:val="TableParagraph"/>
              <w:rPr>
                <w:sz w:val="18"/>
              </w:rPr>
            </w:pPr>
            <w:r>
              <w:rPr>
                <w:sz w:val="18"/>
              </w:rPr>
              <w:t>631.1</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REJECT/WITHDRAWEL REASON</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631.2</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EXPRESSIVE COMMUNICATION</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631.3</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RECEPTIVE COMMUNICATION</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631.4</w:t>
            </w:r>
          </w:p>
        </w:tc>
        <w:tc>
          <w:tcPr>
            <w:tcW w:w="594" w:type="dxa"/>
          </w:tcPr>
          <w:p>
            <w:pPr>
              <w:pStyle w:val="TableParagraph"/>
              <w:ind w:left="105" w:right="16"/>
              <w:jc w:val="center"/>
              <w:rPr>
                <w:sz w:val="18"/>
              </w:rPr>
            </w:pPr>
            <w:r>
              <w:rPr>
                <w:sz w:val="18"/>
              </w:rPr>
              <w:t>HBHC</w:t>
            </w:r>
          </w:p>
        </w:tc>
        <w:tc>
          <w:tcPr>
            <w:tcW w:w="3024" w:type="dxa"/>
          </w:tcPr>
          <w:p>
            <w:pPr>
              <w:pStyle w:val="TableParagraph"/>
              <w:ind w:left="71"/>
              <w:rPr>
                <w:sz w:val="18"/>
              </w:rPr>
            </w:pPr>
            <w:r>
              <w:rPr>
                <w:sz w:val="18"/>
              </w:rPr>
              <w:t>PROVIDER</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631.5</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TYPE OF VISIT</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631.6</w:t>
            </w:r>
          </w:p>
        </w:tc>
        <w:tc>
          <w:tcPr>
            <w:tcW w:w="594" w:type="dxa"/>
          </w:tcPr>
          <w:p>
            <w:pPr>
              <w:pStyle w:val="TableParagraph"/>
              <w:ind w:left="105" w:right="16"/>
              <w:jc w:val="center"/>
              <w:rPr>
                <w:sz w:val="18"/>
              </w:rPr>
            </w:pPr>
            <w:r>
              <w:rPr>
                <w:sz w:val="18"/>
              </w:rPr>
              <w:t>HBHC</w:t>
            </w:r>
          </w:p>
        </w:tc>
        <w:tc>
          <w:tcPr>
            <w:tcW w:w="3024" w:type="dxa"/>
          </w:tcPr>
          <w:p>
            <w:pPr>
              <w:pStyle w:val="TableParagraph"/>
              <w:ind w:left="71"/>
              <w:rPr>
                <w:sz w:val="18"/>
              </w:rPr>
            </w:pPr>
            <w:r>
              <w:rPr>
                <w:sz w:val="18"/>
              </w:rPr>
              <w:t>CLINIC</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631.7</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PERIOD OF SERVICE</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631.8</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VALID STATE CODE</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631.9</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SYSTEM PARAMETER</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632</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VISIT</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633</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TEAM</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633.2</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MEDICAL FOSTER HOME</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634</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TRANSMIT</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634.1</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EVALUATION/ADMISSION ERRORS</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634.2</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VISIT ERRORS</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4" w:hRule="atLeast"/>
        </w:trPr>
        <w:tc>
          <w:tcPr>
            <w:tcW w:w="630" w:type="dxa"/>
          </w:tcPr>
          <w:p>
            <w:pPr>
              <w:pStyle w:val="TableParagraph"/>
              <w:rPr>
                <w:sz w:val="18"/>
              </w:rPr>
            </w:pPr>
            <w:r>
              <w:rPr>
                <w:sz w:val="18"/>
              </w:rPr>
              <w:t>634.3</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DISCHARGE ERROR(S)</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4" w:hRule="atLeast"/>
        </w:trPr>
        <w:tc>
          <w:tcPr>
            <w:tcW w:w="630" w:type="dxa"/>
          </w:tcPr>
          <w:p>
            <w:pPr>
              <w:pStyle w:val="TableParagraph"/>
              <w:rPr>
                <w:sz w:val="18"/>
              </w:rPr>
            </w:pPr>
            <w:r>
              <w:rPr>
                <w:sz w:val="18"/>
              </w:rPr>
              <w:t>634.4</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FORM 6 CORRECTIONS</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r>
        <w:trPr>
          <w:trHeight w:val="203" w:hRule="atLeast"/>
        </w:trPr>
        <w:tc>
          <w:tcPr>
            <w:tcW w:w="630" w:type="dxa"/>
          </w:tcPr>
          <w:p>
            <w:pPr>
              <w:pStyle w:val="TableParagraph"/>
              <w:rPr>
                <w:sz w:val="18"/>
              </w:rPr>
            </w:pPr>
            <w:r>
              <w:rPr>
                <w:sz w:val="18"/>
              </w:rPr>
              <w:t>634.7</w:t>
            </w:r>
          </w:p>
        </w:tc>
        <w:tc>
          <w:tcPr>
            <w:tcW w:w="594" w:type="dxa"/>
          </w:tcPr>
          <w:p>
            <w:pPr>
              <w:pStyle w:val="TableParagraph"/>
              <w:ind w:left="33" w:right="16"/>
              <w:jc w:val="center"/>
              <w:rPr>
                <w:sz w:val="18"/>
              </w:rPr>
            </w:pPr>
            <w:r>
              <w:rPr>
                <w:sz w:val="18"/>
              </w:rPr>
              <w:t>HBHC</w:t>
            </w:r>
          </w:p>
        </w:tc>
        <w:tc>
          <w:tcPr>
            <w:tcW w:w="3024" w:type="dxa"/>
          </w:tcPr>
          <w:p>
            <w:pPr>
              <w:pStyle w:val="TableParagraph"/>
              <w:ind w:left="35"/>
              <w:rPr>
                <w:sz w:val="18"/>
              </w:rPr>
            </w:pPr>
            <w:r>
              <w:rPr>
                <w:sz w:val="18"/>
              </w:rPr>
              <w:t>MEDICAL FOSTER HOME</w:t>
            </w:r>
          </w:p>
        </w:tc>
        <w:tc>
          <w:tcPr>
            <w:tcW w:w="486" w:type="dxa"/>
          </w:tcPr>
          <w:p>
            <w:pPr>
              <w:pStyle w:val="TableParagraph"/>
              <w:ind w:left="72"/>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720" w:type="dxa"/>
          </w:tcPr>
          <w:p>
            <w:pPr>
              <w:pStyle w:val="TableParagraph"/>
              <w:jc w:val="center"/>
              <w:rPr>
                <w:sz w:val="18"/>
              </w:rPr>
            </w:pPr>
            <w:r>
              <w:rPr>
                <w:sz w:val="18"/>
              </w:rPr>
              <w:t>@</w:t>
            </w:r>
          </w:p>
        </w:tc>
        <w:tc>
          <w:tcPr>
            <w:tcW w:w="1674" w:type="dxa"/>
          </w:tcPr>
          <w:p>
            <w:pPr>
              <w:pStyle w:val="TableParagraph"/>
              <w:ind w:left="306"/>
              <w:rPr>
                <w:sz w:val="18"/>
              </w:rPr>
            </w:pPr>
            <w:r>
              <w:rPr>
                <w:sz w:val="18"/>
              </w:rPr>
              <w:t>@</w:t>
            </w:r>
          </w:p>
        </w:tc>
      </w:tr>
    </w:tbl>
    <w:p>
      <w:pPr>
        <w:spacing w:before="0"/>
        <w:ind w:left="1632" w:right="0" w:firstLine="0"/>
        <w:jc w:val="left"/>
        <w:rPr>
          <w:rFonts w:ascii="Courier New"/>
          <w:sz w:val="18"/>
        </w:rPr>
      </w:pPr>
      <w:r>
        <w:rPr>
          <w:rFonts w:ascii="Courier New"/>
          <w:sz w:val="18"/>
        </w:rPr>
        <w:t>ERROR(S)</w:t>
      </w:r>
    </w:p>
    <w:p>
      <w:pPr>
        <w:spacing w:after="0"/>
        <w:jc w:val="left"/>
        <w:rPr>
          <w:rFonts w:ascii="Courier New"/>
          <w:sz w:val="18"/>
        </w:rPr>
        <w:sectPr>
          <w:pgSz w:w="12240" w:h="15840"/>
          <w:pgMar w:header="718" w:footer="1050" w:top="1500" w:bottom="1240" w:left="1320" w:right="1140"/>
        </w:sectPr>
      </w:pPr>
    </w:p>
    <w:p>
      <w:pPr>
        <w:pStyle w:val="Heading1"/>
      </w:pPr>
      <w:r>
        <w:rPr/>
        <w:pict>
          <v:line style="position:absolute;mso-position-horizontal-relative:page;mso-position-vertical-relative:page;z-index:15729152" from="566.700012pt,454.549988pt" to="566.700012pt,658.949988pt" stroked="true" strokeweight=".75pt" strokecolor="#000000">
            <v:stroke dashstyle="solid"/>
            <w10:wrap type="none"/>
          </v:line>
        </w:pict>
      </w:r>
      <w:bookmarkStart w:name="Security Keys" w:id="3"/>
      <w:bookmarkEnd w:id="3"/>
      <w:r>
        <w:rPr>
          <w:b w:val="0"/>
        </w:rPr>
      </w:r>
      <w:r>
        <w:rPr/>
        <w:t>Security Keys</w:t>
      </w:r>
    </w:p>
    <w:p>
      <w:pPr>
        <w:pStyle w:val="BodyText"/>
        <w:spacing w:before="4"/>
        <w:rPr>
          <w:rFonts w:ascii="Cambria"/>
          <w:b/>
          <w:sz w:val="49"/>
        </w:rPr>
      </w:pPr>
    </w:p>
    <w:p>
      <w:pPr>
        <w:pStyle w:val="BodyText"/>
        <w:spacing w:line="249" w:lineRule="exact"/>
        <w:ind w:left="120"/>
      </w:pPr>
      <w:r>
        <w:rPr/>
        <w:t>HBHC TRANSMIT</w:t>
      </w:r>
    </w:p>
    <w:p>
      <w:pPr>
        <w:pStyle w:val="BodyText"/>
        <w:spacing w:line="230" w:lineRule="auto" w:before="4"/>
        <w:ind w:left="840" w:right="340"/>
      </w:pPr>
      <w:r>
        <w:rPr/>
        <w:t>This key locks the HBHC Transmission Menu option and should be assigned to users responsible for data transmission to Austin.</w:t>
      </w:r>
    </w:p>
    <w:p>
      <w:pPr>
        <w:pStyle w:val="BodyText"/>
        <w:spacing w:before="4"/>
      </w:pPr>
    </w:p>
    <w:p>
      <w:pPr>
        <w:pStyle w:val="BodyText"/>
        <w:spacing w:line="248" w:lineRule="exact" w:before="1"/>
        <w:ind w:left="120"/>
      </w:pPr>
      <w:r>
        <w:rPr/>
        <w:t>HBHC MANAGER</w:t>
      </w:r>
    </w:p>
    <w:p>
      <w:pPr>
        <w:pStyle w:val="BodyText"/>
        <w:spacing w:line="232" w:lineRule="auto" w:before="1"/>
        <w:ind w:left="840" w:right="891"/>
      </w:pPr>
      <w:r>
        <w:rPr/>
        <w:t>This key locks the HBHC Manager Menu option and should be assigned to the Application Coordinator.</w:t>
      </w:r>
    </w:p>
    <w:p>
      <w:pPr>
        <w:pStyle w:val="BodyText"/>
        <w:rPr>
          <w:sz w:val="23"/>
        </w:rPr>
      </w:pPr>
    </w:p>
    <w:p>
      <w:pPr>
        <w:pStyle w:val="BodyText"/>
        <w:spacing w:line="230" w:lineRule="auto"/>
        <w:ind w:left="120" w:right="476"/>
      </w:pPr>
      <w:r>
        <w:rPr>
          <w:b/>
        </w:rPr>
        <w:t>Note: </w:t>
      </w:r>
      <w:r>
        <w:rPr/>
        <w:t>ONLY sites that have received Medical Foster Home (MFH) sanction status approval from the Director of Home &amp; Community-Based Care in the Office of Geriatrics and Extended Care, VA Central Office (VACO), should be utilizing the MFH portion of the Home Based Primary Care (HBHC) Information System software. The MFH functionality is dormant for sites without an approved MFH sanction status.</w:t>
      </w:r>
    </w:p>
    <w:p>
      <w:pPr>
        <w:pStyle w:val="BodyText"/>
        <w:spacing w:before="6"/>
      </w:pPr>
    </w:p>
    <w:p>
      <w:pPr>
        <w:pStyle w:val="BodyText"/>
        <w:spacing w:line="249" w:lineRule="exact"/>
        <w:ind w:left="120"/>
      </w:pPr>
      <w:r>
        <w:rPr/>
        <w:t>HBHC MEDICAL FOSTER HOME</w:t>
      </w:r>
    </w:p>
    <w:p>
      <w:pPr>
        <w:pStyle w:val="BodyText"/>
        <w:spacing w:line="249" w:lineRule="exact"/>
        <w:ind w:left="120"/>
      </w:pPr>
      <w:r>
        <w:rPr/>
        <w:t>This security key locks the Medical Foster Home (MFH) Menu [HBHC MFH MENU] option.</w:t>
      </w:r>
    </w:p>
    <w:p>
      <w:pPr>
        <w:pStyle w:val="BodyText"/>
        <w:rPr>
          <w:sz w:val="24"/>
        </w:rPr>
      </w:pPr>
    </w:p>
    <w:p>
      <w:pPr>
        <w:pStyle w:val="BodyText"/>
        <w:rPr>
          <w:sz w:val="24"/>
        </w:rPr>
      </w:pPr>
    </w:p>
    <w:p>
      <w:pPr>
        <w:pStyle w:val="Heading2"/>
        <w:spacing w:before="215"/>
      </w:pPr>
      <w:bookmarkStart w:name="Legal Requirements" w:id="4"/>
      <w:bookmarkEnd w:id="4"/>
      <w:r>
        <w:rPr>
          <w:b w:val="0"/>
        </w:rPr>
      </w:r>
      <w:r>
        <w:rPr/>
        <w:t>Legal Requirements</w:t>
      </w:r>
    </w:p>
    <w:p>
      <w:pPr>
        <w:pStyle w:val="BodyText"/>
        <w:spacing w:before="11"/>
        <w:rPr>
          <w:rFonts w:ascii="Cambria"/>
          <w:b/>
          <w:sz w:val="26"/>
        </w:rPr>
      </w:pPr>
    </w:p>
    <w:p>
      <w:pPr>
        <w:pStyle w:val="BodyText"/>
        <w:ind w:left="120"/>
      </w:pPr>
      <w:r>
        <w:rPr/>
        <w:t>There are no known legal requirements associated with the HBHC package.</w:t>
      </w:r>
    </w:p>
    <w:p>
      <w:pPr>
        <w:pStyle w:val="BodyText"/>
        <w:rPr>
          <w:sz w:val="24"/>
        </w:rPr>
      </w:pPr>
    </w:p>
    <w:p>
      <w:pPr>
        <w:pStyle w:val="BodyText"/>
        <w:spacing w:before="10"/>
        <w:rPr>
          <w:sz w:val="19"/>
        </w:rPr>
      </w:pPr>
    </w:p>
    <w:p>
      <w:pPr>
        <w:pStyle w:val="Heading1"/>
        <w:spacing w:before="0"/>
      </w:pPr>
      <w:bookmarkStart w:name="Mail Groups" w:id="5"/>
      <w:bookmarkEnd w:id="5"/>
      <w:r>
        <w:rPr>
          <w:b w:val="0"/>
        </w:rPr>
      </w:r>
      <w:bookmarkStart w:name="_bookmark0" w:id="6"/>
      <w:bookmarkEnd w:id="6"/>
      <w:r>
        <w:rPr>
          <w:b w:val="0"/>
        </w:rPr>
      </w:r>
      <w:r>
        <w:rPr/>
        <w:t>Mail Groups</w:t>
      </w:r>
    </w:p>
    <w:p>
      <w:pPr>
        <w:pStyle w:val="Heading2"/>
        <w:spacing w:before="299"/>
      </w:pPr>
      <w:bookmarkStart w:name="HBH Mail Group" w:id="7"/>
      <w:bookmarkEnd w:id="7"/>
      <w:r>
        <w:rPr>
          <w:b w:val="0"/>
        </w:rPr>
      </w:r>
      <w:r>
        <w:rPr/>
        <w:t>HBH Mail Group</w:t>
      </w:r>
    </w:p>
    <w:p>
      <w:pPr>
        <w:pStyle w:val="BodyText"/>
        <w:spacing w:line="230" w:lineRule="auto" w:before="60"/>
        <w:ind w:left="120" w:right="372"/>
      </w:pPr>
      <w:r>
        <w:rPr/>
        <w:t>Members of the HBH mail group receive data error messages after visit data is scanned. This group also receives any messages pertaining to the transmission of the data to Austin. Assign users to this mail group that will be responsible for correcting data errors or receiving transmission/confirmation</w:t>
      </w:r>
      <w:r>
        <w:rPr>
          <w:spacing w:val="-25"/>
        </w:rPr>
        <w:t> </w:t>
      </w:r>
      <w:r>
        <w:rPr/>
        <w:t>messages.</w:t>
      </w:r>
    </w:p>
    <w:p>
      <w:pPr>
        <w:pStyle w:val="BodyText"/>
        <w:rPr>
          <w:sz w:val="24"/>
        </w:rPr>
      </w:pPr>
    </w:p>
    <w:p>
      <w:pPr>
        <w:pStyle w:val="Heading2"/>
      </w:pPr>
      <w:bookmarkStart w:name="HBHC MEDICAL FOSTER HOME Mail Group" w:id="8"/>
      <w:bookmarkEnd w:id="8"/>
      <w:r>
        <w:rPr>
          <w:b w:val="0"/>
        </w:rPr>
      </w:r>
      <w:r>
        <w:rPr/>
        <w:t>HBHC MEDICAL FOSTER HOME Mail Group</w:t>
      </w:r>
    </w:p>
    <w:p>
      <w:pPr>
        <w:pStyle w:val="BodyText"/>
        <w:spacing w:line="230" w:lineRule="auto" w:before="59"/>
        <w:ind w:left="119" w:right="476"/>
      </w:pPr>
      <w:r>
        <w:rPr>
          <w:b/>
        </w:rPr>
        <w:t>Note: </w:t>
      </w:r>
      <w:r>
        <w:rPr/>
        <w:t>ONLY sites who have received MFH sanction status approval from VACO should assign anyone to the HBHC MEDICAL FOSTER HOME.</w:t>
      </w:r>
    </w:p>
    <w:p>
      <w:pPr>
        <w:pStyle w:val="BodyText"/>
        <w:spacing w:before="1"/>
        <w:rPr>
          <w:sz w:val="21"/>
        </w:rPr>
      </w:pPr>
    </w:p>
    <w:p>
      <w:pPr>
        <w:pStyle w:val="BodyText"/>
        <w:spacing w:line="232" w:lineRule="auto"/>
        <w:ind w:left="120" w:hanging="1"/>
      </w:pPr>
      <w:r>
        <w:rPr/>
        <w:t>Members of the HBHC MEDICAL FOSTER HOME mail group receive mail messages on the 1</w:t>
      </w:r>
      <w:r>
        <w:rPr>
          <w:position w:val="7"/>
          <w:sz w:val="14"/>
        </w:rPr>
        <w:t>st </w:t>
      </w:r>
      <w:r>
        <w:rPr/>
        <w:t>of each month for inspections, training sessions, or licenses due for the MFH.</w:t>
      </w:r>
    </w:p>
    <w:sectPr>
      <w:pgSz w:w="12240" w:h="15840"/>
      <w:pgMar w:header="718" w:footer="1050" w:top="1500" w:bottom="1240" w:left="13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Schoolbook">
    <w:altName w:val="Century Schoolbook"/>
    <w:charset w:val="0"/>
    <w:family w:val="roman"/>
    <w:pitch w:val="variable"/>
  </w:font>
  <w:font w:name="Courier New">
    <w:altName w:val="Courier New"/>
    <w:charset w:val="0"/>
    <w:family w:val="modern"/>
    <w:pitch w:val="fixed"/>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424pt;margin-top:728.515381pt;width:66.350pt;height:15.3pt;mso-position-horizontal-relative:page;mso-position-vertical-relative:page;z-index:-16101888" type="#_x0000_t202" filled="false" stroked="false">
          <v:textbox inset="0,0,0,0">
            <w:txbxContent>
              <w:p>
                <w:pPr>
                  <w:pStyle w:val="BodyText"/>
                  <w:spacing w:before="20"/>
                  <w:ind w:left="20"/>
                  <w:rPr>
                    <w:rFonts w:ascii="Century Schoolbook"/>
                  </w:rPr>
                </w:pPr>
                <w:r>
                  <w:rPr>
                    <w:rFonts w:ascii="Century Schoolbook"/>
                  </w:rPr>
                  <w:t>August 2009</w:t>
                </w:r>
              </w:p>
            </w:txbxContent>
          </v:textbox>
          <w10:wrap type="none"/>
        </v:shape>
      </w:pict>
    </w:r>
    <w:r>
      <w:rPr/>
      <w:pict>
        <v:shape style="position:absolute;margin-left:197.009598pt;margin-top:728.515381pt;width:262.55pt;height:28.5pt;mso-position-horizontal-relative:page;mso-position-vertical-relative:page;z-index:-16101376" type="#_x0000_t202" filled="false" stroked="false">
          <v:textbox inset="0,0,0,0">
            <w:txbxContent>
              <w:p>
                <w:pPr>
                  <w:pStyle w:val="BodyText"/>
                  <w:spacing w:line="264" w:lineRule="exact" w:before="20"/>
                  <w:ind w:left="1" w:right="59"/>
                  <w:jc w:val="center"/>
                  <w:rPr>
                    <w:rFonts w:ascii="Century Schoolbook"/>
                  </w:rPr>
                </w:pPr>
                <w:r>
                  <w:rPr>
                    <w:rFonts w:ascii="Century Schoolbook"/>
                  </w:rPr>
                  <w:t>Home Based Primary Care V. 1.0 Security Manual</w:t>
                </w:r>
              </w:p>
              <w:p>
                <w:pPr>
                  <w:pStyle w:val="BodyText"/>
                  <w:ind w:right="890"/>
                  <w:jc w:val="center"/>
                  <w:rPr>
                    <w:rFonts w:ascii="Century Schoolbook"/>
                  </w:rPr>
                </w:pPr>
                <w:r>
                  <w:rPr/>
                  <w:fldChar w:fldCharType="begin"/>
                </w:r>
                <w:r>
                  <w:rPr>
                    <w:rFonts w:ascii="Century Schoolbook"/>
                    <w:w w:val="100"/>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3.799988pt;margin-top:34.916328pt;width:87.3pt;height:15.3pt;mso-position-horizontal-relative:page;mso-position-vertical-relative:page;z-index:-16102400" type="#_x0000_t202" filled="false" stroked="false">
          <v:textbox inset="0,0,0,0">
            <w:txbxContent>
              <w:p>
                <w:pPr>
                  <w:pStyle w:val="BodyText"/>
                  <w:spacing w:before="20"/>
                  <w:ind w:left="20"/>
                  <w:rPr>
                    <w:rFonts w:ascii="Century Schoolbook"/>
                  </w:rPr>
                </w:pPr>
                <w:r>
                  <w:rPr>
                    <w:rFonts w:ascii="Century Schoolbook"/>
                  </w:rPr>
                  <w:t>Security Manual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80"/>
      <w:ind w:left="120"/>
      <w:outlineLvl w:val="1"/>
    </w:pPr>
    <w:rPr>
      <w:rFonts w:ascii="Cambria" w:hAnsi="Cambria" w:eastAsia="Cambria" w:cs="Cambria"/>
      <w:b/>
      <w:bCs/>
      <w:sz w:val="32"/>
      <w:szCs w:val="32"/>
      <w:lang w:val="en-us" w:eastAsia="en-US" w:bidi="ar-SA"/>
    </w:rPr>
  </w:style>
  <w:style w:styleId="Heading2" w:type="paragraph">
    <w:name w:val="Heading 2"/>
    <w:basedOn w:val="Normal"/>
    <w:uiPriority w:val="1"/>
    <w:qFormat/>
    <w:pPr>
      <w:spacing w:before="210"/>
      <w:ind w:left="120"/>
      <w:outlineLvl w:val="2"/>
    </w:pPr>
    <w:rPr>
      <w:rFonts w:ascii="Cambria" w:hAnsi="Cambria" w:eastAsia="Cambria" w:cs="Cambria"/>
      <w:b/>
      <w:bCs/>
      <w:sz w:val="26"/>
      <w:szCs w:val="26"/>
      <w:lang w:val="en-us" w:eastAsia="en-US" w:bidi="ar-SA"/>
    </w:rPr>
  </w:style>
  <w:style w:styleId="Title" w:type="paragraph">
    <w:name w:val="Title"/>
    <w:basedOn w:val="Normal"/>
    <w:uiPriority w:val="1"/>
    <w:qFormat/>
    <w:pPr>
      <w:spacing w:before="85"/>
      <w:ind w:left="1492" w:right="1414" w:hanging="240"/>
    </w:pPr>
    <w:rPr>
      <w:rFonts w:ascii="Arial" w:hAnsi="Arial" w:eastAsia="Arial" w:cs="Arial"/>
      <w:b/>
      <w:bCs/>
      <w:sz w:val="48"/>
      <w:szCs w:val="4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184" w:lineRule="exact"/>
    </w:pPr>
    <w:rPr>
      <w:rFonts w:ascii="Courier New" w:hAnsi="Courier New" w:eastAsia="Courier New" w:cs="Courier Ne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dc:title>Department of Veterans Affairs</dc:title>
  <dcterms:created xsi:type="dcterms:W3CDTF">2020-12-10T15:34:26Z</dcterms:created>
  <dcterms:modified xsi:type="dcterms:W3CDTF">2020-12-10T15:34:26Z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Acrobat PDFMaker 20 for Word</vt:lpwstr>
  </property>
  <property fmtid="{D5CDD505-2E9C-101B-9397-08002B2CF9AE}" pid="4" name="LastSaved">
    <vt:filetime>2020-12-10T00:00:00Z</vt:filetime>
  </property>
</Properties>
</file>