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AB32" w14:textId="2EA1FE65" w:rsidR="0026263A" w:rsidRDefault="008D5AB2">
      <w:pPr>
        <w:jc w:val="center"/>
      </w:pPr>
      <w:r>
        <w:rPr>
          <w:noProof/>
          <w:sz w:val="20"/>
        </w:rPr>
        <w:drawing>
          <wp:inline distT="0" distB="0" distL="0" distR="0" wp14:anchorId="1391E253" wp14:editId="688E1AAB">
            <wp:extent cx="3606165" cy="196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8F48" w14:textId="77777777" w:rsidR="00690522" w:rsidRPr="002759E8" w:rsidRDefault="00690522" w:rsidP="002742E2">
      <w:pPr>
        <w:pStyle w:val="Title"/>
        <w:jc w:val="center"/>
      </w:pPr>
      <w:r w:rsidRPr="002759E8">
        <w:t>Patient Financial Services System (PFSS) 1B</w:t>
      </w:r>
      <w:r w:rsidR="00537D9B" w:rsidRPr="002759E8">
        <w:t xml:space="preserve"> Pilot</w:t>
      </w:r>
    </w:p>
    <w:p w14:paraId="7E728934" w14:textId="77777777" w:rsidR="00690522" w:rsidRDefault="00690522" w:rsidP="002742E2">
      <w:pPr>
        <w:pStyle w:val="Title"/>
        <w:jc w:val="center"/>
      </w:pPr>
    </w:p>
    <w:p w14:paraId="0B069E1C" w14:textId="77777777" w:rsidR="00690522" w:rsidRPr="00690522" w:rsidRDefault="00690522" w:rsidP="002742E2">
      <w:pPr>
        <w:pStyle w:val="Title"/>
        <w:jc w:val="center"/>
      </w:pPr>
      <w:r w:rsidRPr="00690522">
        <w:t>Outpatient Pharmacy</w:t>
      </w:r>
      <w:r w:rsidR="00537D9B">
        <w:t xml:space="preserve"> (OP)</w:t>
      </w:r>
    </w:p>
    <w:p w14:paraId="17EC425C" w14:textId="77777777" w:rsidR="00690522" w:rsidRDefault="00690522" w:rsidP="002742E2">
      <w:pPr>
        <w:pStyle w:val="Version"/>
        <w:jc w:val="center"/>
      </w:pPr>
      <w:r w:rsidRPr="00A40E80">
        <w:t>Release Notes</w:t>
      </w:r>
    </w:p>
    <w:p w14:paraId="5DBA8103" w14:textId="77777777" w:rsidR="00690522" w:rsidRPr="00A40E80" w:rsidRDefault="00690522" w:rsidP="00690522"/>
    <w:p w14:paraId="56F435C4" w14:textId="77777777" w:rsidR="00690522" w:rsidRPr="00A92C0D" w:rsidRDefault="00690522" w:rsidP="00690522">
      <w:pPr>
        <w:ind w:left="3600"/>
        <w:rPr>
          <w:rFonts w:ascii="Arial" w:hAnsi="Arial" w:cs="Arial"/>
          <w:sz w:val="32"/>
          <w:szCs w:val="32"/>
        </w:rPr>
      </w:pPr>
      <w:r w:rsidRPr="00A92C0D">
        <w:rPr>
          <w:rFonts w:ascii="Arial" w:hAnsi="Arial" w:cs="Arial"/>
          <w:sz w:val="32"/>
          <w:szCs w:val="32"/>
        </w:rPr>
        <w:t>PSO*7*201</w:t>
      </w:r>
    </w:p>
    <w:p w14:paraId="71BF8CB2" w14:textId="77777777" w:rsidR="00D76EB7" w:rsidRPr="00A92C0D" w:rsidRDefault="00D76EB7" w:rsidP="00D76EB7">
      <w:pPr>
        <w:pStyle w:val="Version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Version </w:t>
      </w:r>
      <w:r w:rsidR="003F1B46">
        <w:rPr>
          <w:sz w:val="32"/>
          <w:szCs w:val="32"/>
        </w:rPr>
        <w:t>1.0</w:t>
      </w:r>
    </w:p>
    <w:p w14:paraId="5C858977" w14:textId="77777777" w:rsidR="00690522" w:rsidRDefault="003F1B46" w:rsidP="002742E2">
      <w:pPr>
        <w:pStyle w:val="Version"/>
        <w:jc w:val="center"/>
      </w:pPr>
      <w:r>
        <w:t>September</w:t>
      </w:r>
      <w:r w:rsidR="00EA610B">
        <w:t xml:space="preserve"> 2006</w:t>
      </w:r>
    </w:p>
    <w:p w14:paraId="09F77D5D" w14:textId="77777777" w:rsidR="00EA610B" w:rsidRDefault="00EA610B" w:rsidP="002742E2">
      <w:pPr>
        <w:pStyle w:val="Version"/>
        <w:jc w:val="center"/>
      </w:pPr>
    </w:p>
    <w:p w14:paraId="7691182C" w14:textId="77777777" w:rsidR="00EA610B" w:rsidRDefault="00EA610B" w:rsidP="002742E2">
      <w:pPr>
        <w:pStyle w:val="Version"/>
        <w:jc w:val="center"/>
      </w:pPr>
    </w:p>
    <w:p w14:paraId="37594373" w14:textId="77777777" w:rsidR="00690522" w:rsidRDefault="00690522" w:rsidP="00690522">
      <w:pPr>
        <w:pStyle w:val="RevisionDate"/>
      </w:pPr>
      <w:r>
        <w:t>Department of Veterans Affairs</w:t>
      </w:r>
      <w:r>
        <w:br/>
      </w:r>
      <w:smartTag w:uri="urn:schemas-microsoft-com:office:smarttags" w:element="place">
        <w:r w:rsidRPr="00C31262">
          <w:rPr>
            <w:bCs/>
          </w:rPr>
          <w:t>VistA</w:t>
        </w:r>
      </w:smartTag>
      <w:r w:rsidRPr="00C31262">
        <w:t xml:space="preserve"> </w:t>
      </w:r>
      <w:r>
        <w:t>Health Systems Design &amp; Development</w:t>
      </w:r>
    </w:p>
    <w:p w14:paraId="767D692B" w14:textId="77777777" w:rsidR="0026263A" w:rsidRDefault="00690522">
      <w:r>
        <w:br w:type="page"/>
      </w:r>
      <w:r w:rsidR="00DF2D7D">
        <w:lastRenderedPageBreak/>
        <w:br w:type="page"/>
      </w:r>
    </w:p>
    <w:p w14:paraId="44388105" w14:textId="77777777" w:rsidR="00DF2D7D" w:rsidRDefault="00DF2D7D"/>
    <w:p w14:paraId="46BA73F5" w14:textId="77777777" w:rsidR="0026263A" w:rsidRDefault="0026263A"/>
    <w:p w14:paraId="79FF615B" w14:textId="77777777" w:rsidR="0026263A" w:rsidRPr="00400392" w:rsidRDefault="0026263A" w:rsidP="00A92C0D">
      <w:pPr>
        <w:pStyle w:val="Title"/>
      </w:pPr>
      <w:r w:rsidRPr="00400392">
        <w:t>Table of Contents</w:t>
      </w:r>
    </w:p>
    <w:p w14:paraId="5546DAB7" w14:textId="77777777" w:rsidR="0026263A" w:rsidRDefault="0026263A">
      <w:pPr>
        <w:jc w:val="center"/>
        <w:rPr>
          <w:b/>
          <w:bCs/>
        </w:rPr>
      </w:pPr>
    </w:p>
    <w:p w14:paraId="1A4185A9" w14:textId="77777777" w:rsidR="006C6715" w:rsidRDefault="00500001">
      <w:pPr>
        <w:pStyle w:val="TOC1"/>
        <w:tabs>
          <w:tab w:val="left" w:pos="540"/>
        </w:tabs>
        <w:rPr>
          <w:b w:val="0"/>
          <w:bCs w:val="0"/>
          <w:caps w:val="0"/>
          <w:noProof/>
          <w:sz w:val="24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148862465" w:history="1">
        <w:r w:rsidR="006C6715" w:rsidRPr="00C70192">
          <w:rPr>
            <w:rStyle w:val="Hyperlink"/>
            <w:noProof/>
          </w:rPr>
          <w:t>1.</w:t>
        </w:r>
        <w:r w:rsidR="006C6715">
          <w:rPr>
            <w:b w:val="0"/>
            <w:bCs w:val="0"/>
            <w:caps w:val="0"/>
            <w:noProof/>
            <w:sz w:val="24"/>
          </w:rPr>
          <w:tab/>
        </w:r>
        <w:r w:rsidR="006C6715" w:rsidRPr="00C70192">
          <w:rPr>
            <w:rStyle w:val="Hyperlink"/>
            <w:noProof/>
          </w:rPr>
          <w:t>Introduction</w:t>
        </w:r>
        <w:r w:rsidR="006C6715">
          <w:rPr>
            <w:noProof/>
            <w:webHidden/>
          </w:rPr>
          <w:tab/>
        </w:r>
        <w:r w:rsidR="006C6715">
          <w:rPr>
            <w:noProof/>
            <w:webHidden/>
          </w:rPr>
          <w:fldChar w:fldCharType="begin"/>
        </w:r>
        <w:r w:rsidR="006C6715">
          <w:rPr>
            <w:noProof/>
            <w:webHidden/>
          </w:rPr>
          <w:instrText xml:space="preserve"> PAGEREF _Toc148862465 \h </w:instrText>
        </w:r>
        <w:r w:rsidR="006C6715">
          <w:rPr>
            <w:noProof/>
            <w:webHidden/>
          </w:rPr>
        </w:r>
        <w:r w:rsidR="006C6715">
          <w:rPr>
            <w:noProof/>
            <w:webHidden/>
          </w:rPr>
          <w:fldChar w:fldCharType="separate"/>
        </w:r>
        <w:r w:rsidR="006C6715">
          <w:rPr>
            <w:noProof/>
            <w:webHidden/>
          </w:rPr>
          <w:t>1</w:t>
        </w:r>
        <w:r w:rsidR="006C6715">
          <w:rPr>
            <w:noProof/>
            <w:webHidden/>
          </w:rPr>
          <w:fldChar w:fldCharType="end"/>
        </w:r>
      </w:hyperlink>
    </w:p>
    <w:p w14:paraId="5EB15C70" w14:textId="77777777" w:rsidR="006C6715" w:rsidRDefault="008D5AB2">
      <w:pPr>
        <w:pStyle w:val="TOC2"/>
        <w:rPr>
          <w:smallCaps w:val="0"/>
        </w:rPr>
      </w:pPr>
      <w:hyperlink w:anchor="_Toc148862466" w:history="1">
        <w:r w:rsidR="006C6715" w:rsidRPr="00C70192">
          <w:rPr>
            <w:rStyle w:val="Hyperlink"/>
          </w:rPr>
          <w:t>1.1.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Software Interfaces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_Toc148862466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1</w:t>
        </w:r>
        <w:r w:rsidR="006C6715">
          <w:rPr>
            <w:webHidden/>
          </w:rPr>
          <w:fldChar w:fldCharType="end"/>
        </w:r>
      </w:hyperlink>
    </w:p>
    <w:p w14:paraId="55342FCB" w14:textId="77777777" w:rsidR="006C6715" w:rsidRDefault="008D5AB2">
      <w:pPr>
        <w:pStyle w:val="TOC2"/>
        <w:rPr>
          <w:smallCaps w:val="0"/>
        </w:rPr>
      </w:pPr>
      <w:hyperlink w:anchor="_Toc148862467" w:history="1">
        <w:r w:rsidR="006C6715" w:rsidRPr="00C70192">
          <w:rPr>
            <w:rStyle w:val="Hyperlink"/>
          </w:rPr>
          <w:t>1.2.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Overview of New Functionality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_Toc148862467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2</w:t>
        </w:r>
        <w:r w:rsidR="006C6715">
          <w:rPr>
            <w:webHidden/>
          </w:rPr>
          <w:fldChar w:fldCharType="end"/>
        </w:r>
      </w:hyperlink>
    </w:p>
    <w:p w14:paraId="4E1A694B" w14:textId="77777777" w:rsidR="006C6715" w:rsidRDefault="008D5AB2">
      <w:pPr>
        <w:pStyle w:val="TOC1"/>
        <w:tabs>
          <w:tab w:val="left" w:pos="540"/>
        </w:tabs>
        <w:rPr>
          <w:b w:val="0"/>
          <w:bCs w:val="0"/>
          <w:caps w:val="0"/>
          <w:noProof/>
          <w:sz w:val="24"/>
        </w:rPr>
      </w:pPr>
      <w:hyperlink w:anchor="_Toc148862468" w:history="1">
        <w:r w:rsidR="006C6715" w:rsidRPr="00C70192">
          <w:rPr>
            <w:rStyle w:val="Hyperlink"/>
            <w:noProof/>
          </w:rPr>
          <w:t>2.</w:t>
        </w:r>
        <w:r w:rsidR="006C6715">
          <w:rPr>
            <w:b w:val="0"/>
            <w:bCs w:val="0"/>
            <w:caps w:val="0"/>
            <w:noProof/>
            <w:sz w:val="24"/>
          </w:rPr>
          <w:tab/>
        </w:r>
        <w:r w:rsidR="006C6715" w:rsidRPr="00C70192">
          <w:rPr>
            <w:rStyle w:val="Hyperlink"/>
            <w:noProof/>
          </w:rPr>
          <w:t>Outpatient Pharmacy Enhancements</w:t>
        </w:r>
        <w:r w:rsidR="006C6715">
          <w:rPr>
            <w:noProof/>
            <w:webHidden/>
          </w:rPr>
          <w:tab/>
        </w:r>
        <w:r w:rsidR="006C6715">
          <w:rPr>
            <w:noProof/>
            <w:webHidden/>
          </w:rPr>
          <w:fldChar w:fldCharType="begin"/>
        </w:r>
        <w:r w:rsidR="006C6715">
          <w:rPr>
            <w:noProof/>
            <w:webHidden/>
          </w:rPr>
          <w:instrText xml:space="preserve"> PAGEREF _Toc148862468 \h </w:instrText>
        </w:r>
        <w:r w:rsidR="006C6715">
          <w:rPr>
            <w:noProof/>
            <w:webHidden/>
          </w:rPr>
        </w:r>
        <w:r w:rsidR="006C6715">
          <w:rPr>
            <w:noProof/>
            <w:webHidden/>
          </w:rPr>
          <w:fldChar w:fldCharType="separate"/>
        </w:r>
        <w:r w:rsidR="006C6715">
          <w:rPr>
            <w:noProof/>
            <w:webHidden/>
          </w:rPr>
          <w:t>3</w:t>
        </w:r>
        <w:r w:rsidR="006C6715">
          <w:rPr>
            <w:noProof/>
            <w:webHidden/>
          </w:rPr>
          <w:fldChar w:fldCharType="end"/>
        </w:r>
      </w:hyperlink>
    </w:p>
    <w:p w14:paraId="66464753" w14:textId="77777777" w:rsidR="006C6715" w:rsidRDefault="008D5AB2">
      <w:pPr>
        <w:pStyle w:val="TOC2"/>
        <w:rPr>
          <w:smallCaps w:val="0"/>
        </w:rPr>
      </w:pPr>
      <w:hyperlink w:anchor="_Toc148862469" w:history="1">
        <w:r w:rsidR="006C6715" w:rsidRPr="00C70192">
          <w:rPr>
            <w:rStyle w:val="Hyperlink"/>
          </w:rPr>
          <w:t>2.1.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PFSS Switch Status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_Toc148862469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3</w:t>
        </w:r>
        <w:r w:rsidR="006C6715">
          <w:rPr>
            <w:webHidden/>
          </w:rPr>
          <w:fldChar w:fldCharType="end"/>
        </w:r>
      </w:hyperlink>
    </w:p>
    <w:p w14:paraId="312B1644" w14:textId="77777777" w:rsidR="006C6715" w:rsidRDefault="008D5AB2">
      <w:pPr>
        <w:pStyle w:val="TOC2"/>
        <w:rPr>
          <w:smallCaps w:val="0"/>
        </w:rPr>
      </w:pPr>
      <w:hyperlink w:anchor="_Toc148862470" w:history="1">
        <w:r w:rsidR="006C6715" w:rsidRPr="00C70192">
          <w:rPr>
            <w:rStyle w:val="Hyperlink"/>
          </w:rPr>
          <w:t>2.2.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PFSS Account Reference and Charge Identifier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_Toc148862470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3</w:t>
        </w:r>
        <w:r w:rsidR="006C6715">
          <w:rPr>
            <w:webHidden/>
          </w:rPr>
          <w:fldChar w:fldCharType="end"/>
        </w:r>
      </w:hyperlink>
    </w:p>
    <w:p w14:paraId="5D0203BF" w14:textId="77777777" w:rsidR="006C6715" w:rsidRDefault="008D5AB2">
      <w:pPr>
        <w:pStyle w:val="TOC2"/>
        <w:rPr>
          <w:smallCaps w:val="0"/>
        </w:rPr>
      </w:pPr>
      <w:hyperlink w:anchor="_Toc148862471" w:history="1">
        <w:r w:rsidR="006C6715" w:rsidRPr="00C70192">
          <w:rPr>
            <w:rStyle w:val="Hyperlink"/>
          </w:rPr>
          <w:t>2.3.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Messages to the COTS Billing System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_Toc148862471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3</w:t>
        </w:r>
        <w:r w:rsidR="006C6715">
          <w:rPr>
            <w:webHidden/>
          </w:rPr>
          <w:fldChar w:fldCharType="end"/>
        </w:r>
      </w:hyperlink>
    </w:p>
    <w:p w14:paraId="31569672" w14:textId="77777777" w:rsidR="006C6715" w:rsidRDefault="008D5AB2">
      <w:pPr>
        <w:pStyle w:val="TOC2"/>
        <w:rPr>
          <w:smallCaps w:val="0"/>
        </w:rPr>
      </w:pPr>
      <w:hyperlink w:anchor="_Toc148862472" w:history="1">
        <w:r w:rsidR="006C6715" w:rsidRPr="00C70192">
          <w:rPr>
            <w:rStyle w:val="Hyperlink"/>
          </w:rPr>
          <w:t>2.4.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Charge Location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_Toc148862472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4</w:t>
        </w:r>
        <w:r w:rsidR="006C6715">
          <w:rPr>
            <w:webHidden/>
          </w:rPr>
          <w:fldChar w:fldCharType="end"/>
        </w:r>
      </w:hyperlink>
    </w:p>
    <w:p w14:paraId="61D66802" w14:textId="77777777" w:rsidR="006C6715" w:rsidRDefault="008D5AB2">
      <w:pPr>
        <w:pStyle w:val="TOC2"/>
        <w:rPr>
          <w:smallCaps w:val="0"/>
        </w:rPr>
      </w:pPr>
      <w:hyperlink w:anchor="_Toc148862473" w:history="1">
        <w:r w:rsidR="006C6715" w:rsidRPr="00C70192">
          <w:rPr>
            <w:rStyle w:val="Hyperlink"/>
          </w:rPr>
          <w:t>2.5.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Files and Fields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_Toc148862473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5</w:t>
        </w:r>
        <w:r w:rsidR="006C6715">
          <w:rPr>
            <w:webHidden/>
          </w:rPr>
          <w:fldChar w:fldCharType="end"/>
        </w:r>
      </w:hyperlink>
    </w:p>
    <w:p w14:paraId="7960F156" w14:textId="77777777" w:rsidR="006C6715" w:rsidRDefault="008D5AB2">
      <w:pPr>
        <w:pStyle w:val="TOC2"/>
        <w:rPr>
          <w:smallCaps w:val="0"/>
        </w:rPr>
      </w:pPr>
      <w:hyperlink w:anchor="_Toc148862474" w:history="1">
        <w:r w:rsidR="006C6715" w:rsidRPr="00C70192">
          <w:rPr>
            <w:rStyle w:val="Hyperlink"/>
          </w:rPr>
          <w:t>2.6.</w:t>
        </w:r>
        <w:r w:rsidR="006C6715">
          <w:rPr>
            <w:smallCaps w:val="0"/>
          </w:rPr>
          <w:tab/>
        </w:r>
        <w:r w:rsidR="006C6715" w:rsidRPr="00C70192">
          <w:rPr>
            <w:rStyle w:val="Hyperlink"/>
          </w:rPr>
          <w:t>Changed Option</w:t>
        </w:r>
        <w:r w:rsidR="006C6715">
          <w:rPr>
            <w:webHidden/>
          </w:rPr>
          <w:tab/>
        </w:r>
        <w:r w:rsidR="006C6715">
          <w:rPr>
            <w:webHidden/>
          </w:rPr>
          <w:fldChar w:fldCharType="begin"/>
        </w:r>
        <w:r w:rsidR="006C6715">
          <w:rPr>
            <w:webHidden/>
          </w:rPr>
          <w:instrText xml:space="preserve"> PAGEREF _Toc148862474 \h </w:instrText>
        </w:r>
        <w:r w:rsidR="006C6715">
          <w:rPr>
            <w:webHidden/>
          </w:rPr>
        </w:r>
        <w:r w:rsidR="006C6715">
          <w:rPr>
            <w:webHidden/>
          </w:rPr>
          <w:fldChar w:fldCharType="separate"/>
        </w:r>
        <w:r w:rsidR="006C6715">
          <w:rPr>
            <w:webHidden/>
          </w:rPr>
          <w:t>5</w:t>
        </w:r>
        <w:r w:rsidR="006C6715">
          <w:rPr>
            <w:webHidden/>
          </w:rPr>
          <w:fldChar w:fldCharType="end"/>
        </w:r>
      </w:hyperlink>
    </w:p>
    <w:p w14:paraId="17175D91" w14:textId="77777777" w:rsidR="0026263A" w:rsidRDefault="00500001">
      <w:r>
        <w:rPr>
          <w:b/>
          <w:bCs/>
          <w:caps/>
          <w:sz w:val="28"/>
        </w:rPr>
        <w:fldChar w:fldCharType="end"/>
      </w:r>
    </w:p>
    <w:p w14:paraId="766D37BF" w14:textId="77777777" w:rsidR="0026263A" w:rsidRDefault="0026263A">
      <w:r>
        <w:br w:type="page"/>
      </w:r>
    </w:p>
    <w:p w14:paraId="5700A3CE" w14:textId="77777777" w:rsidR="00315EEA" w:rsidRDefault="00315EEA" w:rsidP="00315EEA">
      <w:pPr>
        <w:jc w:val="center"/>
        <w:rPr>
          <w:i/>
        </w:rPr>
      </w:pPr>
      <w:r>
        <w:rPr>
          <w:i/>
        </w:rPr>
        <w:t>(This page intentionally left blank for two-sided copying.)</w:t>
      </w:r>
    </w:p>
    <w:p w14:paraId="4E98F4C5" w14:textId="77777777" w:rsidR="00315EEA" w:rsidRDefault="00315EEA"/>
    <w:p w14:paraId="5CF308B9" w14:textId="77777777" w:rsidR="00315EEA" w:rsidRDefault="00315EEA"/>
    <w:p w14:paraId="72A29545" w14:textId="77777777" w:rsidR="00315EEA" w:rsidRDefault="00315EEA" w:rsidP="00D76EB7">
      <w:pPr>
        <w:sectPr w:rsidR="00315EEA" w:rsidSect="00315EEA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pgNumType w:fmt="lowerRoman" w:start="1"/>
          <w:cols w:space="720"/>
          <w:docGrid w:linePitch="360"/>
        </w:sectPr>
      </w:pPr>
    </w:p>
    <w:p w14:paraId="62455FC4" w14:textId="77777777" w:rsidR="0026263A" w:rsidRDefault="0026263A" w:rsidP="00763AC1">
      <w:pPr>
        <w:pStyle w:val="Heading1"/>
      </w:pPr>
      <w:bookmarkStart w:id="2" w:name="_Ref113182547"/>
      <w:bookmarkStart w:id="3" w:name="_Ref113182581"/>
      <w:bookmarkStart w:id="4" w:name="_Toc148862465"/>
      <w:r>
        <w:t>Introduction</w:t>
      </w:r>
      <w:bookmarkEnd w:id="2"/>
      <w:bookmarkEnd w:id="3"/>
      <w:bookmarkEnd w:id="4"/>
    </w:p>
    <w:p w14:paraId="1A77CB08" w14:textId="77777777" w:rsidR="0043687E" w:rsidRDefault="00EA610B" w:rsidP="0043687E">
      <w:pPr>
        <w:pStyle w:val="BodyText"/>
      </w:pPr>
      <w:r>
        <w:t>This patch is</w:t>
      </w:r>
      <w:r w:rsidR="0043687E">
        <w:t xml:space="preserve"> part of the Patient Financial Services System (PFSS) project.</w:t>
      </w:r>
      <w:r w:rsidR="000C63C0">
        <w:t xml:space="preserve"> </w:t>
      </w:r>
      <w:r w:rsidR="0043687E">
        <w:t>PFSS patches are being released on various schedules.</w:t>
      </w:r>
      <w:r w:rsidR="000C63C0">
        <w:t xml:space="preserve"> </w:t>
      </w:r>
      <w:r w:rsidR="0043687E">
        <w:t>Some patch functionality will not be active until a new PFSS switch is activated during final implementation. PFSS will initially be implemented at select pilot sites ONLY.</w:t>
      </w:r>
    </w:p>
    <w:p w14:paraId="00B4A9CF" w14:textId="77777777" w:rsidR="0043687E" w:rsidRDefault="0043687E" w:rsidP="0043687E">
      <w:pPr>
        <w:pStyle w:val="BodyText"/>
      </w:pPr>
      <w:r>
        <w:t>The purpose of the PFSS project is to prepare the Veterans Health Information Systems and Technology Architecture (</w:t>
      </w:r>
      <w:smartTag w:uri="urn:schemas-microsoft-com:office:smarttags" w:element="place">
        <w:r>
          <w:t>VistA</w:t>
        </w:r>
      </w:smartTag>
      <w:r>
        <w:t>) environment for the implementation of a commercial off-the-shelf (COTS) billing replacement system.</w:t>
      </w:r>
      <w:r w:rsidR="000C63C0">
        <w:t xml:space="preserve"> </w:t>
      </w:r>
      <w:r>
        <w:t>The project consists of the implementation of the billing replacement system, business process improvements, and enhancements to</w:t>
      </w:r>
      <w:r w:rsidRPr="009174B0">
        <w:t xml:space="preserve"> </w:t>
      </w:r>
      <w:smartTag w:uri="urn:schemas-microsoft-com:office:smarttags" w:element="place">
        <w:r>
          <w:t>VistA</w:t>
        </w:r>
      </w:smartTag>
      <w:r>
        <w:t xml:space="preserve"> to support integration with the COTS billing replacement system.</w:t>
      </w:r>
      <w:r w:rsidR="000C63C0">
        <w:t xml:space="preserve"> </w:t>
      </w:r>
      <w:r>
        <w:t xml:space="preserve">Significant changes to </w:t>
      </w:r>
      <w:smartTag w:uri="urn:schemas-microsoft-com:office:smarttags" w:element="place">
        <w:r>
          <w:t>VistA</w:t>
        </w:r>
      </w:smartTag>
      <w:r>
        <w:t xml:space="preserve"> legacy systems and ancillary packages are necessary.</w:t>
      </w:r>
    </w:p>
    <w:p w14:paraId="2DE30AA5" w14:textId="77777777" w:rsidR="0043687E" w:rsidRDefault="0043687E" w:rsidP="0043687E">
      <w:pPr>
        <w:pStyle w:val="BodyText"/>
      </w:pPr>
      <w:r>
        <w:t>Some of the PFSS software components are not operational until the PFSS On/Off Switch, distributed with patch IB*2*260, is set to “ON”.</w:t>
      </w:r>
      <w:r w:rsidR="000C63C0">
        <w:t xml:space="preserve"> </w:t>
      </w:r>
      <w:r>
        <w:t xml:space="preserve">The ability for the local site to set the switch to “ON” </w:t>
      </w:r>
      <w:r w:rsidRPr="005C1DAA">
        <w:t xml:space="preserve">will be provided at the appropriate time with the release of a subsequent Integrated Billing </w:t>
      </w:r>
      <w:r w:rsidR="0047777F">
        <w:t xml:space="preserve">(IB) </w:t>
      </w:r>
      <w:r w:rsidRPr="005C1DAA">
        <w:t>patch</w:t>
      </w:r>
      <w:r>
        <w:t>.</w:t>
      </w:r>
    </w:p>
    <w:p w14:paraId="7A1C285E" w14:textId="77777777" w:rsidR="0043687E" w:rsidRDefault="0043687E" w:rsidP="0043687E">
      <w:pPr>
        <w:pStyle w:val="BodyText"/>
      </w:pPr>
      <w:r>
        <w:t xml:space="preserve">For more information about the PFSS project, review the documentation accompanying this patch and refer to the following website: </w:t>
      </w:r>
      <w:hyperlink r:id="rId10" w:history="1">
        <w:r w:rsidRPr="0043687E">
          <w:t>http://vista.med.va.gov/billreplace/</w:t>
        </w:r>
      </w:hyperlink>
      <w:r w:rsidR="00A06C90">
        <w:t>.</w:t>
      </w:r>
    </w:p>
    <w:p w14:paraId="25458DFB" w14:textId="77777777" w:rsidR="0026263A" w:rsidRDefault="0026263A" w:rsidP="0043687E">
      <w:pPr>
        <w:pStyle w:val="BodyText"/>
      </w:pPr>
      <w:r>
        <w:t>The</w:t>
      </w:r>
      <w:r w:rsidR="0056379E">
        <w:t>se</w:t>
      </w:r>
      <w:r>
        <w:t xml:space="preserve"> release notes </w:t>
      </w:r>
      <w:r w:rsidR="004E07B3">
        <w:t>present</w:t>
      </w:r>
      <w:r>
        <w:t xml:space="preserve"> a brief description of the new features and functions of the </w:t>
      </w:r>
      <w:r w:rsidR="0043687E">
        <w:t>Outpatient Pharmacy</w:t>
      </w:r>
      <w:r w:rsidR="001B0844">
        <w:t xml:space="preserve"> (OP)</w:t>
      </w:r>
      <w:r>
        <w:t xml:space="preserve"> </w:t>
      </w:r>
      <w:r w:rsidR="00AA74FF">
        <w:t xml:space="preserve">package </w:t>
      </w:r>
      <w:r>
        <w:t xml:space="preserve">provided in Patch </w:t>
      </w:r>
      <w:r w:rsidR="0043687E">
        <w:t>PSO*</w:t>
      </w:r>
      <w:r w:rsidR="001B0844">
        <w:t>7</w:t>
      </w:r>
      <w:r w:rsidR="0043687E">
        <w:t>*201</w:t>
      </w:r>
      <w:r>
        <w:t>.</w:t>
      </w:r>
    </w:p>
    <w:p w14:paraId="7864A0BC" w14:textId="77777777" w:rsidR="0026263A" w:rsidRDefault="0026263A">
      <w:pPr>
        <w:pStyle w:val="Heading2"/>
      </w:pPr>
      <w:bookmarkStart w:id="5" w:name="_Toc148862466"/>
      <w:r>
        <w:t>Software Interfaces</w:t>
      </w:r>
      <w:bookmarkEnd w:id="5"/>
    </w:p>
    <w:p w14:paraId="4777423C" w14:textId="77777777" w:rsidR="000625DC" w:rsidRPr="00376A7A" w:rsidRDefault="00EA610B" w:rsidP="001B0844">
      <w:pPr>
        <w:pStyle w:val="BodyText"/>
      </w:pPr>
      <w:r>
        <w:t>Outpatient Pharmacy</w:t>
      </w:r>
      <w:r w:rsidR="000625DC" w:rsidRPr="00263299">
        <w:t xml:space="preserve"> will interface with the new </w:t>
      </w:r>
      <w:r w:rsidR="008F07D2">
        <w:t>COTS billing replacement</w:t>
      </w:r>
      <w:r w:rsidR="000625DC" w:rsidRPr="00263299">
        <w:rPr>
          <w:i/>
          <w:vertAlign w:val="superscript"/>
        </w:rPr>
        <w:t xml:space="preserve"> </w:t>
      </w:r>
      <w:r w:rsidR="000625DC" w:rsidRPr="00263299">
        <w:t>system.</w:t>
      </w:r>
      <w:r w:rsidR="000C63C0">
        <w:t xml:space="preserve"> </w:t>
      </w:r>
      <w:r w:rsidR="000625DC" w:rsidRPr="00263299">
        <w:t xml:space="preserve">These new interfaces are documented in the PFSS 1B Pilot </w:t>
      </w:r>
      <w:r w:rsidR="004111F7">
        <w:rPr>
          <w:highlight w:val="yellow"/>
        </w:rPr>
        <w:t>REDACTED</w:t>
      </w:r>
      <w:r w:rsidR="004111F7">
        <w:t xml:space="preserve"> </w:t>
      </w:r>
      <w:r w:rsidR="000625DC">
        <w:t>and</w:t>
      </w:r>
      <w:r w:rsidR="000625DC" w:rsidRPr="00376A7A">
        <w:t xml:space="preserve"> Charge Messaging </w:t>
      </w:r>
      <w:r w:rsidR="007C6DE5">
        <w:t>Interface Control Document (</w:t>
      </w:r>
      <w:r w:rsidR="000625DC" w:rsidRPr="00376A7A">
        <w:t>ICD</w:t>
      </w:r>
      <w:r w:rsidR="007C6DE5">
        <w:t>)</w:t>
      </w:r>
      <w:r w:rsidR="000625DC" w:rsidRPr="00376A7A">
        <w:t>.</w:t>
      </w:r>
    </w:p>
    <w:p w14:paraId="4534CE0A" w14:textId="77777777" w:rsidR="00207FED" w:rsidRDefault="000625DC" w:rsidP="001B0844">
      <w:pPr>
        <w:pStyle w:val="BodyText"/>
      </w:pPr>
      <w:r w:rsidRPr="00263299">
        <w:t xml:space="preserve">The following applications must be running to support the new </w:t>
      </w:r>
      <w:r>
        <w:t xml:space="preserve">PFSS </w:t>
      </w:r>
      <w:r w:rsidRPr="00263299">
        <w:t xml:space="preserve">functionality: </w:t>
      </w:r>
    </w:p>
    <w:p w14:paraId="15D13219" w14:textId="77777777" w:rsidR="007D12D5" w:rsidRDefault="007D12D5" w:rsidP="007C6DE5">
      <w:pPr>
        <w:pStyle w:val="Paragraph3"/>
        <w:ind w:left="0"/>
        <w:jc w:val="left"/>
        <w:rPr>
          <w:sz w:val="24"/>
          <w:szCs w:val="24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060"/>
      </w:tblGrid>
      <w:tr w:rsidR="00207FED" w14:paraId="7083A80F" w14:textId="77777777">
        <w:trPr>
          <w:jc w:val="center"/>
        </w:trPr>
        <w:tc>
          <w:tcPr>
            <w:tcW w:w="5148" w:type="dxa"/>
            <w:shd w:val="pct10" w:color="auto" w:fill="FFFFFF"/>
          </w:tcPr>
          <w:p w14:paraId="157BA21B" w14:textId="77777777" w:rsidR="00207FED" w:rsidRDefault="00207FED" w:rsidP="000A03E9">
            <w:pPr>
              <w:pStyle w:val="Logo"/>
              <w:widowControl/>
              <w:tabs>
                <w:tab w:val="left" w:pos="720"/>
                <w:tab w:val="left" w:pos="5130"/>
              </w:tabs>
              <w:spacing w:after="0"/>
              <w:rPr>
                <w:b/>
                <w:noProof w:val="0"/>
              </w:rPr>
            </w:pPr>
            <w:r>
              <w:rPr>
                <w:b/>
                <w:noProof w:val="0"/>
              </w:rPr>
              <w:t>Package</w:t>
            </w:r>
          </w:p>
        </w:tc>
        <w:tc>
          <w:tcPr>
            <w:tcW w:w="3060" w:type="dxa"/>
            <w:shd w:val="pct10" w:color="auto" w:fill="FFFFFF"/>
          </w:tcPr>
          <w:p w14:paraId="4306A20D" w14:textId="77777777" w:rsidR="00207FED" w:rsidRDefault="00207FED" w:rsidP="000A03E9">
            <w:pPr>
              <w:pStyle w:val="Logo"/>
              <w:widowControl/>
              <w:tabs>
                <w:tab w:val="left" w:pos="720"/>
                <w:tab w:val="left" w:pos="5130"/>
              </w:tabs>
              <w:spacing w:after="0"/>
              <w:rPr>
                <w:b/>
                <w:noProof w:val="0"/>
              </w:rPr>
            </w:pPr>
            <w:r>
              <w:rPr>
                <w:b/>
                <w:noProof w:val="0"/>
              </w:rPr>
              <w:t>Minimum Version Needed</w:t>
            </w:r>
          </w:p>
        </w:tc>
      </w:tr>
      <w:tr w:rsidR="00207FED" w14:paraId="2D8C0036" w14:textId="77777777">
        <w:trPr>
          <w:jc w:val="center"/>
        </w:trPr>
        <w:tc>
          <w:tcPr>
            <w:tcW w:w="5148" w:type="dxa"/>
          </w:tcPr>
          <w:p w14:paraId="05D33167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Kernel</w:t>
            </w:r>
          </w:p>
        </w:tc>
        <w:tc>
          <w:tcPr>
            <w:tcW w:w="3060" w:type="dxa"/>
          </w:tcPr>
          <w:p w14:paraId="121AE9E7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8.0</w:t>
            </w:r>
          </w:p>
        </w:tc>
      </w:tr>
      <w:tr w:rsidR="00207FED" w14:paraId="13B3FE23" w14:textId="77777777">
        <w:trPr>
          <w:jc w:val="center"/>
        </w:trPr>
        <w:tc>
          <w:tcPr>
            <w:tcW w:w="5148" w:type="dxa"/>
          </w:tcPr>
          <w:p w14:paraId="6EF0E16B" w14:textId="77777777" w:rsidR="00207FED" w:rsidRDefault="00A712F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VA FileM</w:t>
            </w:r>
            <w:r w:rsidR="00207FED">
              <w:t>an</w:t>
            </w:r>
          </w:p>
        </w:tc>
        <w:tc>
          <w:tcPr>
            <w:tcW w:w="3060" w:type="dxa"/>
          </w:tcPr>
          <w:p w14:paraId="2A04C2DA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22.0</w:t>
            </w:r>
          </w:p>
        </w:tc>
      </w:tr>
      <w:tr w:rsidR="00207FED" w14:paraId="50C77C6B" w14:textId="77777777">
        <w:trPr>
          <w:jc w:val="center"/>
        </w:trPr>
        <w:tc>
          <w:tcPr>
            <w:tcW w:w="5148" w:type="dxa"/>
          </w:tcPr>
          <w:p w14:paraId="7B294F7D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Mail</w:t>
            </w:r>
            <w:r w:rsidR="009C1E8F">
              <w:t>M</w:t>
            </w:r>
            <w:r>
              <w:t>an</w:t>
            </w:r>
          </w:p>
        </w:tc>
        <w:tc>
          <w:tcPr>
            <w:tcW w:w="3060" w:type="dxa"/>
          </w:tcPr>
          <w:p w14:paraId="7ADB7940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8.0</w:t>
            </w:r>
          </w:p>
        </w:tc>
      </w:tr>
      <w:tr w:rsidR="00207FED" w14:paraId="2FE4F85E" w14:textId="77777777">
        <w:trPr>
          <w:jc w:val="center"/>
        </w:trPr>
        <w:tc>
          <w:tcPr>
            <w:tcW w:w="5148" w:type="dxa"/>
          </w:tcPr>
          <w:p w14:paraId="0FFCEB91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National Drug File (NDF)</w:t>
            </w:r>
          </w:p>
        </w:tc>
        <w:tc>
          <w:tcPr>
            <w:tcW w:w="3060" w:type="dxa"/>
          </w:tcPr>
          <w:p w14:paraId="74E5D338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4.0</w:t>
            </w:r>
          </w:p>
        </w:tc>
      </w:tr>
      <w:tr w:rsidR="00207FED" w14:paraId="6D060B77" w14:textId="77777777">
        <w:trPr>
          <w:jc w:val="center"/>
        </w:trPr>
        <w:tc>
          <w:tcPr>
            <w:tcW w:w="5148" w:type="dxa"/>
          </w:tcPr>
          <w:p w14:paraId="7E18ECB6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Pharmacy Data Management (PDM)</w:t>
            </w:r>
          </w:p>
        </w:tc>
        <w:tc>
          <w:tcPr>
            <w:tcW w:w="3060" w:type="dxa"/>
          </w:tcPr>
          <w:p w14:paraId="1D3DF5A9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1.0</w:t>
            </w:r>
          </w:p>
        </w:tc>
      </w:tr>
      <w:tr w:rsidR="00207FED" w14:paraId="3C93646E" w14:textId="77777777">
        <w:trPr>
          <w:jc w:val="center"/>
        </w:trPr>
        <w:tc>
          <w:tcPr>
            <w:tcW w:w="5148" w:type="dxa"/>
          </w:tcPr>
          <w:p w14:paraId="1BF2C17A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Outpatient Pharmacy (OP)</w:t>
            </w:r>
          </w:p>
        </w:tc>
        <w:tc>
          <w:tcPr>
            <w:tcW w:w="3060" w:type="dxa"/>
          </w:tcPr>
          <w:p w14:paraId="4AF538DD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7.0</w:t>
            </w:r>
          </w:p>
        </w:tc>
      </w:tr>
      <w:tr w:rsidR="00207FED" w14:paraId="23CFB32D" w14:textId="77777777">
        <w:trPr>
          <w:jc w:val="center"/>
        </w:trPr>
        <w:tc>
          <w:tcPr>
            <w:tcW w:w="5148" w:type="dxa"/>
          </w:tcPr>
          <w:p w14:paraId="7D80AA3F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Consolidated Mail Outpatient Pharmacy (CMOP)</w:t>
            </w:r>
          </w:p>
        </w:tc>
        <w:tc>
          <w:tcPr>
            <w:tcW w:w="3060" w:type="dxa"/>
          </w:tcPr>
          <w:p w14:paraId="4C102E5E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2.0</w:t>
            </w:r>
          </w:p>
        </w:tc>
      </w:tr>
      <w:tr w:rsidR="00207FED" w14:paraId="32E7454E" w14:textId="77777777">
        <w:trPr>
          <w:jc w:val="center"/>
        </w:trPr>
        <w:tc>
          <w:tcPr>
            <w:tcW w:w="5148" w:type="dxa"/>
          </w:tcPr>
          <w:p w14:paraId="721995D1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Controlled Substances (CS)</w:t>
            </w:r>
          </w:p>
        </w:tc>
        <w:tc>
          <w:tcPr>
            <w:tcW w:w="3060" w:type="dxa"/>
          </w:tcPr>
          <w:p w14:paraId="5A957646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3.0</w:t>
            </w:r>
          </w:p>
        </w:tc>
      </w:tr>
      <w:tr w:rsidR="00207FED" w14:paraId="5BF9396A" w14:textId="77777777">
        <w:trPr>
          <w:jc w:val="center"/>
        </w:trPr>
        <w:tc>
          <w:tcPr>
            <w:tcW w:w="5148" w:type="dxa"/>
          </w:tcPr>
          <w:p w14:paraId="6D5A8E0F" w14:textId="77777777" w:rsidR="00207FED" w:rsidRDefault="00207FED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Health Level 7 (HL</w:t>
            </w:r>
            <w:r w:rsidR="008F07D2">
              <w:t>7</w:t>
            </w:r>
            <w:r>
              <w:t>)</w:t>
            </w:r>
          </w:p>
        </w:tc>
        <w:tc>
          <w:tcPr>
            <w:tcW w:w="3060" w:type="dxa"/>
          </w:tcPr>
          <w:p w14:paraId="4608D5A7" w14:textId="77777777" w:rsidR="00207FED" w:rsidRDefault="007D12D5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2.4</w:t>
            </w:r>
          </w:p>
        </w:tc>
      </w:tr>
      <w:tr w:rsidR="00207FED" w14:paraId="0F2D3D3F" w14:textId="77777777">
        <w:trPr>
          <w:jc w:val="center"/>
        </w:trPr>
        <w:tc>
          <w:tcPr>
            <w:tcW w:w="5148" w:type="dxa"/>
          </w:tcPr>
          <w:p w14:paraId="031C77DF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Computerized Patient Record System (CPRS)</w:t>
            </w:r>
          </w:p>
        </w:tc>
        <w:tc>
          <w:tcPr>
            <w:tcW w:w="3060" w:type="dxa"/>
          </w:tcPr>
          <w:p w14:paraId="762F49C0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26.0</w:t>
            </w:r>
          </w:p>
        </w:tc>
      </w:tr>
      <w:tr w:rsidR="00207FED" w14:paraId="0CE46396" w14:textId="77777777">
        <w:trPr>
          <w:jc w:val="center"/>
        </w:trPr>
        <w:tc>
          <w:tcPr>
            <w:tcW w:w="5148" w:type="dxa"/>
          </w:tcPr>
          <w:p w14:paraId="5593530E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r>
              <w:t>Integrated Billing (IB)</w:t>
            </w:r>
          </w:p>
        </w:tc>
        <w:tc>
          <w:tcPr>
            <w:tcW w:w="3060" w:type="dxa"/>
          </w:tcPr>
          <w:p w14:paraId="0FE630A2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2.0</w:t>
            </w:r>
          </w:p>
        </w:tc>
      </w:tr>
      <w:tr w:rsidR="00207FED" w14:paraId="741CBCFD" w14:textId="77777777">
        <w:trPr>
          <w:jc w:val="center"/>
        </w:trPr>
        <w:tc>
          <w:tcPr>
            <w:tcW w:w="5148" w:type="dxa"/>
          </w:tcPr>
          <w:p w14:paraId="30CD35D4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</w:pPr>
            <w:smartTag w:uri="urn:schemas-microsoft-com:office:smarttags" w:element="place">
              <w:r>
                <w:t>VistA</w:t>
              </w:r>
            </w:smartTag>
            <w:r>
              <w:t xml:space="preserve"> Data Extraction Framework (VDEF)</w:t>
            </w:r>
          </w:p>
        </w:tc>
        <w:tc>
          <w:tcPr>
            <w:tcW w:w="3060" w:type="dxa"/>
          </w:tcPr>
          <w:p w14:paraId="4B96D2AB" w14:textId="77777777" w:rsidR="00207FED" w:rsidRDefault="00C64D80" w:rsidP="007C6DE5">
            <w:pPr>
              <w:tabs>
                <w:tab w:val="left" w:pos="720"/>
                <w:tab w:val="left" w:pos="5130"/>
              </w:tabs>
              <w:spacing w:before="20" w:after="20"/>
              <w:jc w:val="center"/>
            </w:pPr>
            <w:r>
              <w:t>1.0</w:t>
            </w:r>
          </w:p>
        </w:tc>
      </w:tr>
    </w:tbl>
    <w:p w14:paraId="0D8B3212" w14:textId="77777777" w:rsidR="007C4756" w:rsidRDefault="007C4756" w:rsidP="00655162">
      <w:pPr>
        <w:pStyle w:val="Paragraph3"/>
        <w:ind w:left="0"/>
        <w:jc w:val="left"/>
        <w:rPr>
          <w:sz w:val="24"/>
          <w:szCs w:val="24"/>
        </w:rPr>
      </w:pPr>
    </w:p>
    <w:p w14:paraId="300C8F44" w14:textId="77777777" w:rsidR="007C4756" w:rsidRDefault="001B0844" w:rsidP="008F07D2">
      <w:pPr>
        <w:pStyle w:val="BodyText"/>
        <w:ind w:left="720"/>
      </w:pPr>
      <w:r>
        <w:t>NOTE</w:t>
      </w:r>
      <w:r w:rsidR="00065BE6">
        <w:t>:</w:t>
      </w:r>
      <w:r w:rsidR="000C63C0">
        <w:t xml:space="preserve"> </w:t>
      </w:r>
      <w:r w:rsidR="007C4756">
        <w:t>The Clinical Indicator Data Capture (CIDC</w:t>
      </w:r>
      <w:r w:rsidR="000B7EEA">
        <w:t xml:space="preserve">) </w:t>
      </w:r>
      <w:r w:rsidR="00B95F46">
        <w:t>patch</w:t>
      </w:r>
      <w:r w:rsidR="00325C30">
        <w:t>es</w:t>
      </w:r>
      <w:r w:rsidR="00B95F46">
        <w:t xml:space="preserve"> PSO*7*143 </w:t>
      </w:r>
      <w:r w:rsidR="000B7EEA">
        <w:t>and</w:t>
      </w:r>
      <w:r w:rsidR="007C4756">
        <w:t xml:space="preserve"> IB *2</w:t>
      </w:r>
      <w:r>
        <w:t>*</w:t>
      </w:r>
      <w:r w:rsidR="007C4756">
        <w:t xml:space="preserve">260 </w:t>
      </w:r>
      <w:r w:rsidR="00E65B2A">
        <w:t xml:space="preserve">are required and </w:t>
      </w:r>
      <w:r w:rsidR="007C4756">
        <w:t>must</w:t>
      </w:r>
      <w:r w:rsidR="00E53EDF">
        <w:t xml:space="preserve"> be installed and operational.</w:t>
      </w:r>
      <w:r w:rsidR="00994D6E">
        <w:t xml:space="preserve"> </w:t>
      </w:r>
    </w:p>
    <w:p w14:paraId="6CE0FC6A" w14:textId="77777777" w:rsidR="000625DC" w:rsidRDefault="00325C30" w:rsidP="001B0844">
      <w:pPr>
        <w:pStyle w:val="BodyText"/>
      </w:pPr>
      <w:r>
        <w:t>C</w:t>
      </w:r>
      <w:r w:rsidR="000625DC" w:rsidRPr="00263299">
        <w:t xml:space="preserve">hanges </w:t>
      </w:r>
      <w:r w:rsidR="000E6260">
        <w:t>have been</w:t>
      </w:r>
      <w:r w:rsidR="000625DC" w:rsidRPr="00263299">
        <w:t xml:space="preserve"> made to </w:t>
      </w:r>
      <w:r w:rsidR="00EA610B">
        <w:t>Outpatient Pharmacy</w:t>
      </w:r>
      <w:r w:rsidR="000625DC" w:rsidRPr="00263299">
        <w:t xml:space="preserve"> to accommodate the inclusion of the </w:t>
      </w:r>
      <w:r w:rsidR="008F07D2">
        <w:t xml:space="preserve">COTS billing </w:t>
      </w:r>
      <w:r w:rsidR="0016001F">
        <w:t xml:space="preserve">system </w:t>
      </w:r>
      <w:r w:rsidR="00524A46">
        <w:t>A</w:t>
      </w:r>
      <w:r w:rsidR="000625DC" w:rsidRPr="00263299">
        <w:t xml:space="preserve">ccount </w:t>
      </w:r>
      <w:r w:rsidR="00524A46">
        <w:t>N</w:t>
      </w:r>
      <w:r w:rsidR="000625DC" w:rsidRPr="00263299">
        <w:t xml:space="preserve">umber and </w:t>
      </w:r>
      <w:r>
        <w:t>Charge Identifier</w:t>
      </w:r>
      <w:r w:rsidR="000625DC" w:rsidRPr="00263299">
        <w:t>.</w:t>
      </w:r>
      <w:r w:rsidR="000C63C0">
        <w:t xml:space="preserve"> </w:t>
      </w:r>
      <w:r w:rsidR="000625DC" w:rsidRPr="00263299">
        <w:t>The</w:t>
      </w:r>
      <w:r>
        <w:t xml:space="preserve">se changes </w:t>
      </w:r>
      <w:r w:rsidR="00EF5B65">
        <w:t>are</w:t>
      </w:r>
      <w:r w:rsidR="000625DC" w:rsidRPr="00263299">
        <w:t xml:space="preserve"> outlined in the </w:t>
      </w:r>
      <w:r w:rsidR="004111F7">
        <w:rPr>
          <w:highlight w:val="yellow"/>
        </w:rPr>
        <w:t>REDACTED</w:t>
      </w:r>
      <w:r w:rsidR="00EF1494">
        <w:t>.</w:t>
      </w:r>
    </w:p>
    <w:p w14:paraId="0E40711C" w14:textId="77777777" w:rsidR="00283935" w:rsidRDefault="0026263A" w:rsidP="007C6DE5">
      <w:pPr>
        <w:pStyle w:val="Heading2"/>
      </w:pPr>
      <w:bookmarkStart w:id="6" w:name="_Toc148862467"/>
      <w:r>
        <w:t>Overview of New Functionality</w:t>
      </w:r>
      <w:bookmarkEnd w:id="6"/>
    </w:p>
    <w:p w14:paraId="594009B9" w14:textId="77777777" w:rsidR="008A7788" w:rsidRDefault="00832563" w:rsidP="0032185D">
      <w:pPr>
        <w:pStyle w:val="BodyText"/>
      </w:pPr>
      <w:r>
        <w:t>New</w:t>
      </w:r>
      <w:r w:rsidR="00283935">
        <w:t xml:space="preserve"> functionality</w:t>
      </w:r>
      <w:r w:rsidR="00283935" w:rsidRPr="00263299">
        <w:t xml:space="preserve"> will ensure that all prescripti</w:t>
      </w:r>
      <w:r>
        <w:t xml:space="preserve">on fills </w:t>
      </w:r>
      <w:r w:rsidR="008A7788">
        <w:t xml:space="preserve">(including refills </w:t>
      </w:r>
      <w:r w:rsidR="00A95840">
        <w:t xml:space="preserve">but not partial fills) </w:t>
      </w:r>
      <w:r>
        <w:t>will have</w:t>
      </w:r>
      <w:r w:rsidR="0032185D">
        <w:t xml:space="preserve"> a</w:t>
      </w:r>
      <w:r w:rsidR="00283935">
        <w:t xml:space="preserve"> check for a</w:t>
      </w:r>
      <w:r w:rsidR="00283935" w:rsidRPr="0032185D">
        <w:t>c</w:t>
      </w:r>
      <w:r w:rsidR="00283935">
        <w:t xml:space="preserve">tivation of the </w:t>
      </w:r>
      <w:r w:rsidR="00AA74FF">
        <w:t xml:space="preserve">COTS </w:t>
      </w:r>
      <w:r w:rsidR="00283935">
        <w:t>billing system</w:t>
      </w:r>
      <w:r w:rsidR="00B269EE">
        <w:t xml:space="preserve"> (</w:t>
      </w:r>
      <w:r w:rsidR="005E0790">
        <w:t xml:space="preserve">PFSS </w:t>
      </w:r>
      <w:r w:rsidR="00B269EE">
        <w:t>On/Off Switch)</w:t>
      </w:r>
      <w:r w:rsidR="007C6DE5">
        <w:t>.</w:t>
      </w:r>
      <w:r w:rsidR="00A95840">
        <w:t xml:space="preserve"> </w:t>
      </w:r>
    </w:p>
    <w:p w14:paraId="08C1F426" w14:textId="77777777" w:rsidR="00283935" w:rsidRDefault="00A95840" w:rsidP="0032185D">
      <w:pPr>
        <w:pStyle w:val="BodyText"/>
      </w:pPr>
      <w:r>
        <w:t xml:space="preserve">If </w:t>
      </w:r>
      <w:r w:rsidR="008A7788">
        <w:t xml:space="preserve">the switch is </w:t>
      </w:r>
      <w:r>
        <w:t>activated</w:t>
      </w:r>
      <w:r w:rsidR="008A7788">
        <w:t xml:space="preserve">, the following functionality is </w:t>
      </w:r>
      <w:r w:rsidR="00484840">
        <w:t>operational</w:t>
      </w:r>
      <w:r>
        <w:t>:</w:t>
      </w:r>
    </w:p>
    <w:p w14:paraId="13C00589" w14:textId="77777777" w:rsidR="00283935" w:rsidRPr="0032185D" w:rsidRDefault="00283935" w:rsidP="008A7788">
      <w:pPr>
        <w:pStyle w:val="Bullet1"/>
        <w:tabs>
          <w:tab w:val="left" w:pos="720"/>
        </w:tabs>
      </w:pPr>
      <w:r w:rsidRPr="0032185D">
        <w:t xml:space="preserve">An account reference number </w:t>
      </w:r>
      <w:r w:rsidR="007A4A77" w:rsidRPr="0032185D">
        <w:t xml:space="preserve">upon finish </w:t>
      </w:r>
      <w:r w:rsidR="00196C98" w:rsidRPr="0032185D">
        <w:t>and</w:t>
      </w:r>
      <w:r w:rsidR="007A4A77" w:rsidRPr="0032185D">
        <w:t xml:space="preserve"> </w:t>
      </w:r>
      <w:r w:rsidRPr="0032185D">
        <w:t>a unique charge identifie</w:t>
      </w:r>
      <w:r w:rsidR="008A086D" w:rsidRPr="0032185D">
        <w:t>r upon release</w:t>
      </w:r>
      <w:r w:rsidRPr="0032185D">
        <w:t>.</w:t>
      </w:r>
    </w:p>
    <w:p w14:paraId="48A1274B" w14:textId="77777777" w:rsidR="00E9333D" w:rsidRPr="0032185D" w:rsidRDefault="00283935" w:rsidP="008A7788">
      <w:pPr>
        <w:pStyle w:val="Bullet1"/>
        <w:tabs>
          <w:tab w:val="left" w:pos="720"/>
        </w:tabs>
      </w:pPr>
      <w:r w:rsidRPr="0032185D">
        <w:t xml:space="preserve">An interface to successfully communicate charge and credit information </w:t>
      </w:r>
      <w:r w:rsidR="00832563" w:rsidRPr="0032185D">
        <w:t xml:space="preserve">and updates </w:t>
      </w:r>
      <w:r w:rsidRPr="0032185D">
        <w:t xml:space="preserve">to </w:t>
      </w:r>
      <w:r w:rsidR="00832563" w:rsidRPr="0032185D">
        <w:t>the</w:t>
      </w:r>
      <w:r w:rsidRPr="0032185D">
        <w:t xml:space="preserve"> </w:t>
      </w:r>
      <w:r w:rsidR="00832563" w:rsidRPr="0032185D">
        <w:t>COTS</w:t>
      </w:r>
      <w:r w:rsidRPr="0032185D">
        <w:t xml:space="preserve"> billing system.</w:t>
      </w:r>
    </w:p>
    <w:p w14:paraId="696D4FDF" w14:textId="77777777" w:rsidR="00732DFC" w:rsidRPr="0032185D" w:rsidRDefault="00732DFC" w:rsidP="008A7788">
      <w:pPr>
        <w:pStyle w:val="Bullet1"/>
      </w:pPr>
      <w:r w:rsidRPr="0032185D">
        <w:t>An associated charge code</w:t>
      </w:r>
      <w:r w:rsidR="00524A46" w:rsidRPr="0032185D">
        <w:t>/</w:t>
      </w:r>
      <w:r w:rsidRPr="0032185D">
        <w:t>service code and charge location for all prescription charges sent to the COTS billing system.</w:t>
      </w:r>
    </w:p>
    <w:p w14:paraId="219DFFDF" w14:textId="77777777" w:rsidR="007634FA" w:rsidRPr="0032185D" w:rsidRDefault="007634FA" w:rsidP="00484840">
      <w:pPr>
        <w:pStyle w:val="BodyText"/>
      </w:pPr>
    </w:p>
    <w:p w14:paraId="456DCA07" w14:textId="77777777" w:rsidR="00A712FD" w:rsidRPr="0032185D" w:rsidRDefault="00A712FD" w:rsidP="008A7788">
      <w:pPr>
        <w:pStyle w:val="Bullet1"/>
        <w:numPr>
          <w:ilvl w:val="0"/>
          <w:numId w:val="0"/>
        </w:numPr>
        <w:tabs>
          <w:tab w:val="left" w:pos="720"/>
        </w:tabs>
        <w:ind w:left="360"/>
      </w:pPr>
    </w:p>
    <w:p w14:paraId="1FEC5B57" w14:textId="77777777" w:rsidR="0026263A" w:rsidRDefault="000E2CB7" w:rsidP="00763AC1">
      <w:pPr>
        <w:pStyle w:val="Heading1"/>
      </w:pPr>
      <w:bookmarkStart w:id="7" w:name="_Toc148862468"/>
      <w:r>
        <w:t>Outpatient Pharmacy</w:t>
      </w:r>
      <w:r w:rsidR="0026263A">
        <w:t xml:space="preserve"> Enhancements</w:t>
      </w:r>
      <w:bookmarkEnd w:id="7"/>
    </w:p>
    <w:p w14:paraId="4978E88E" w14:textId="77777777" w:rsidR="00732DFC" w:rsidRDefault="00732DFC">
      <w:pPr>
        <w:pStyle w:val="BodyText"/>
      </w:pPr>
      <w:r>
        <w:t xml:space="preserve">The new features, functions, and enhancements of </w:t>
      </w:r>
      <w:r w:rsidR="00EA610B">
        <w:t>P</w:t>
      </w:r>
      <w:r>
        <w:t xml:space="preserve">atch </w:t>
      </w:r>
      <w:r w:rsidR="00147E0C">
        <w:t xml:space="preserve">PSO*7*201 </w:t>
      </w:r>
      <w:r>
        <w:t>are grouped and discussed below.</w:t>
      </w:r>
      <w:r w:rsidR="000C63C0">
        <w:t xml:space="preserve"> </w:t>
      </w:r>
      <w:r>
        <w:t>These changes provide a check for PFSS functionality, an account reference number and unique charge identifier, and a means of communicating information to the COTS billing system.</w:t>
      </w:r>
    </w:p>
    <w:p w14:paraId="3E7E6228" w14:textId="77777777" w:rsidR="00435B63" w:rsidRDefault="00435B63">
      <w:pPr>
        <w:pStyle w:val="BodyText"/>
      </w:pPr>
      <w:r w:rsidRPr="0032185D">
        <w:t xml:space="preserve">The following </w:t>
      </w:r>
      <w:r w:rsidR="00277ABF">
        <w:t>c</w:t>
      </w:r>
      <w:r w:rsidRPr="0032185D">
        <w:t>hanges are implemented only when the PFSS Switch is set to ON, unless specifically noted otherwise.</w:t>
      </w:r>
    </w:p>
    <w:p w14:paraId="118878D1" w14:textId="77777777" w:rsidR="00732DFC" w:rsidRDefault="00732DFC" w:rsidP="00732DFC">
      <w:pPr>
        <w:pStyle w:val="Heading2"/>
      </w:pPr>
      <w:bookmarkStart w:id="8" w:name="_Toc148862469"/>
      <w:r>
        <w:t xml:space="preserve">PFSS Switch </w:t>
      </w:r>
      <w:r w:rsidR="005E557C">
        <w:t>Status</w:t>
      </w:r>
      <w:bookmarkEnd w:id="8"/>
    </w:p>
    <w:p w14:paraId="3B8FAD10" w14:textId="77777777" w:rsidR="008A086D" w:rsidRDefault="00EA610B">
      <w:pPr>
        <w:pStyle w:val="BodyText"/>
      </w:pPr>
      <w:r>
        <w:t>Outpatient Pharmacy</w:t>
      </w:r>
      <w:r w:rsidR="001355C1">
        <w:t xml:space="preserve"> </w:t>
      </w:r>
      <w:r w:rsidR="003C2E77">
        <w:t>is</w:t>
      </w:r>
      <w:r w:rsidR="003449B0">
        <w:t xml:space="preserve"> modified to verify the status of the PFSS switch.</w:t>
      </w:r>
      <w:r w:rsidR="000C63C0">
        <w:t xml:space="preserve"> </w:t>
      </w:r>
      <w:r w:rsidR="003449B0">
        <w:t>If the PFSS switch is active (</w:t>
      </w:r>
      <w:r w:rsidR="000E2CB7">
        <w:t>ON</w:t>
      </w:r>
      <w:r w:rsidR="003449B0">
        <w:t>), prescription information will be passed to the new COTS billing system for</w:t>
      </w:r>
      <w:r w:rsidR="00BB1B7B">
        <w:t xml:space="preserve"> copay determination and </w:t>
      </w:r>
      <w:r w:rsidR="003449B0">
        <w:t>processing.</w:t>
      </w:r>
      <w:r w:rsidR="000C63C0">
        <w:t xml:space="preserve"> </w:t>
      </w:r>
      <w:r w:rsidR="003449B0">
        <w:t>If the PFSS switch is not activated (O</w:t>
      </w:r>
      <w:r w:rsidR="000E2CB7">
        <w:t>FF</w:t>
      </w:r>
      <w:r w:rsidR="003449B0">
        <w:t xml:space="preserve">), the current </w:t>
      </w:r>
      <w:r w:rsidR="00732DFC">
        <w:t>IB</w:t>
      </w:r>
      <w:r w:rsidR="003449B0">
        <w:t xml:space="preserve"> </w:t>
      </w:r>
      <w:r w:rsidR="00BB1B7B">
        <w:t xml:space="preserve">copay </w:t>
      </w:r>
      <w:r w:rsidR="003449B0">
        <w:t>process will continue.</w:t>
      </w:r>
      <w:r w:rsidR="000C63C0">
        <w:t xml:space="preserve"> </w:t>
      </w:r>
      <w:r w:rsidR="003449B0">
        <w:t>In either scenario, the exchange of information will take place in the background with no user impact.</w:t>
      </w:r>
    </w:p>
    <w:p w14:paraId="11EF0F10" w14:textId="77777777" w:rsidR="003449B0" w:rsidRPr="00484840" w:rsidRDefault="00484840" w:rsidP="00484840">
      <w:pPr>
        <w:pStyle w:val="BodyText"/>
        <w:ind w:left="720"/>
        <w:rPr>
          <w:iCs w:val="0"/>
        </w:rPr>
      </w:pPr>
      <w:r w:rsidRPr="00484840">
        <w:rPr>
          <w:iCs w:val="0"/>
        </w:rPr>
        <w:t xml:space="preserve">NOTE: </w:t>
      </w:r>
      <w:r w:rsidR="0016001F" w:rsidRPr="00484840">
        <w:rPr>
          <w:iCs w:val="0"/>
        </w:rPr>
        <w:t xml:space="preserve">If the PFSS switch had previously been </w:t>
      </w:r>
      <w:r w:rsidR="008A086D" w:rsidRPr="00484840">
        <w:rPr>
          <w:iCs w:val="0"/>
        </w:rPr>
        <w:t xml:space="preserve">“ON” </w:t>
      </w:r>
      <w:r w:rsidR="0016001F" w:rsidRPr="00484840">
        <w:rPr>
          <w:iCs w:val="0"/>
        </w:rPr>
        <w:t>and a PFSS Account Re</w:t>
      </w:r>
      <w:r w:rsidR="00DD308A" w:rsidRPr="00484840">
        <w:rPr>
          <w:iCs w:val="0"/>
        </w:rPr>
        <w:t>ference is defined for the fill</w:t>
      </w:r>
      <w:r w:rsidR="0016001F" w:rsidRPr="00484840">
        <w:rPr>
          <w:iCs w:val="0"/>
        </w:rPr>
        <w:t>, the prescription</w:t>
      </w:r>
      <w:r w:rsidR="005D7AEB" w:rsidRPr="00484840">
        <w:rPr>
          <w:iCs w:val="0"/>
        </w:rPr>
        <w:t xml:space="preserve"> information</w:t>
      </w:r>
      <w:r w:rsidR="0016001F" w:rsidRPr="00484840">
        <w:rPr>
          <w:iCs w:val="0"/>
        </w:rPr>
        <w:t xml:space="preserve"> will </w:t>
      </w:r>
      <w:r w:rsidR="009B6CEB" w:rsidRPr="00484840">
        <w:rPr>
          <w:iCs w:val="0"/>
        </w:rPr>
        <w:t xml:space="preserve">be sent </w:t>
      </w:r>
      <w:r w:rsidR="0016001F" w:rsidRPr="00484840">
        <w:rPr>
          <w:iCs w:val="0"/>
        </w:rPr>
        <w:t>to the COTS billing system regardless of the status of the switch.</w:t>
      </w:r>
    </w:p>
    <w:p w14:paraId="1B21A0E5" w14:textId="77777777" w:rsidR="005E557C" w:rsidRDefault="00116CF0" w:rsidP="005E557C">
      <w:pPr>
        <w:pStyle w:val="Heading2"/>
      </w:pPr>
      <w:bookmarkStart w:id="9" w:name="_Toc148862470"/>
      <w:r>
        <w:t xml:space="preserve">PFSS </w:t>
      </w:r>
      <w:r w:rsidR="00802B68">
        <w:t>Account Reference and Charge Identifier</w:t>
      </w:r>
      <w:bookmarkEnd w:id="9"/>
    </w:p>
    <w:p w14:paraId="742640FD" w14:textId="77777777" w:rsidR="00246EFB" w:rsidRDefault="00116CF0">
      <w:pPr>
        <w:pStyle w:val="BodyText"/>
      </w:pPr>
      <w:r>
        <w:t xml:space="preserve">Two unique identifiers have been added </w:t>
      </w:r>
      <w:r w:rsidR="00246EFB">
        <w:t xml:space="preserve">to the </w:t>
      </w:r>
      <w:r w:rsidR="00EA610B">
        <w:t>Outpatient Pharmacy</w:t>
      </w:r>
      <w:r w:rsidR="00246EFB">
        <w:t xml:space="preserve"> prescription process:</w:t>
      </w:r>
    </w:p>
    <w:p w14:paraId="7A9814E8" w14:textId="77777777" w:rsidR="00246EFB" w:rsidRDefault="00246EFB" w:rsidP="00246EFB">
      <w:pPr>
        <w:pStyle w:val="ListNumber"/>
        <w:tabs>
          <w:tab w:val="clear" w:pos="360"/>
          <w:tab w:val="num" w:pos="720"/>
        </w:tabs>
        <w:ind w:left="720"/>
      </w:pPr>
      <w:r>
        <w:t>PFSS Account Reference</w:t>
      </w:r>
    </w:p>
    <w:p w14:paraId="3766F0CF" w14:textId="77777777" w:rsidR="00116CF0" w:rsidRDefault="00116CF0" w:rsidP="00246EFB">
      <w:pPr>
        <w:pStyle w:val="ListNumber"/>
        <w:tabs>
          <w:tab w:val="clear" w:pos="360"/>
          <w:tab w:val="num" w:pos="720"/>
        </w:tabs>
        <w:ind w:left="720"/>
      </w:pPr>
      <w:r>
        <w:t>Charge Identifie</w:t>
      </w:r>
      <w:r w:rsidR="00246EFB">
        <w:t>r</w:t>
      </w:r>
    </w:p>
    <w:p w14:paraId="0330F7AA" w14:textId="77777777" w:rsidR="005D7AEB" w:rsidRDefault="00CB594E">
      <w:pPr>
        <w:pStyle w:val="BodyText"/>
      </w:pPr>
      <w:r>
        <w:t xml:space="preserve">In the current </w:t>
      </w:r>
      <w:r w:rsidR="00F7122D">
        <w:t xml:space="preserve">prescription </w:t>
      </w:r>
      <w:r>
        <w:t>order</w:t>
      </w:r>
      <w:r w:rsidR="009B6CEB">
        <w:t xml:space="preserve"> entry </w:t>
      </w:r>
      <w:r>
        <w:t xml:space="preserve">process, </w:t>
      </w:r>
      <w:r w:rsidR="005D7AEB">
        <w:t xml:space="preserve">a new order is created by </w:t>
      </w:r>
      <w:r w:rsidR="00246EFB">
        <w:t xml:space="preserve">performing </w:t>
      </w:r>
      <w:r w:rsidR="005D7AEB">
        <w:t>any of the following actions:</w:t>
      </w:r>
    </w:p>
    <w:p w14:paraId="0899ECA8" w14:textId="77777777" w:rsidR="005D7AEB" w:rsidRDefault="005D7AEB" w:rsidP="005D7AEB">
      <w:pPr>
        <w:pStyle w:val="Bullet1"/>
      </w:pPr>
      <w:r>
        <w:t xml:space="preserve">Entering </w:t>
      </w:r>
      <w:r w:rsidR="009B6CEB">
        <w:t xml:space="preserve">a </w:t>
      </w:r>
      <w:r w:rsidR="00F7122D">
        <w:t>new order</w:t>
      </w:r>
    </w:p>
    <w:p w14:paraId="1418AFD8" w14:textId="77777777" w:rsidR="005D7AEB" w:rsidRDefault="005D7AEB" w:rsidP="005D7AEB">
      <w:pPr>
        <w:pStyle w:val="Bullet1"/>
      </w:pPr>
      <w:r>
        <w:t>C</w:t>
      </w:r>
      <w:r w:rsidR="003449B0">
        <w:t>opying</w:t>
      </w:r>
      <w:r w:rsidR="009B6CEB">
        <w:t xml:space="preserve"> an existing </w:t>
      </w:r>
      <w:r w:rsidR="00F7122D">
        <w:t xml:space="preserve">prescription </w:t>
      </w:r>
      <w:r w:rsidR="009B6CEB">
        <w:t xml:space="preserve">to a new </w:t>
      </w:r>
      <w:r w:rsidR="00F7122D">
        <w:t>order</w:t>
      </w:r>
    </w:p>
    <w:p w14:paraId="121EAE87" w14:textId="77777777" w:rsidR="005D7AEB" w:rsidRDefault="005D7AEB" w:rsidP="005D7AEB">
      <w:pPr>
        <w:pStyle w:val="Bullet1"/>
      </w:pPr>
      <w:r>
        <w:t>R</w:t>
      </w:r>
      <w:r w:rsidR="003449B0">
        <w:t>enewing</w:t>
      </w:r>
      <w:r w:rsidR="00F7122D">
        <w:t xml:space="preserve"> a prescription</w:t>
      </w:r>
    </w:p>
    <w:p w14:paraId="3E1A3D0F" w14:textId="77777777" w:rsidR="005D7AEB" w:rsidRDefault="005D7AEB" w:rsidP="005D7AEB">
      <w:pPr>
        <w:pStyle w:val="Bullet1"/>
      </w:pPr>
      <w:r>
        <w:t>E</w:t>
      </w:r>
      <w:r w:rsidR="003449B0">
        <w:t>diting a prescription</w:t>
      </w:r>
      <w:r w:rsidR="007634FA">
        <w:t xml:space="preserve"> (</w:t>
      </w:r>
      <w:r w:rsidR="00994D6E">
        <w:t>starred fields)</w:t>
      </w:r>
    </w:p>
    <w:p w14:paraId="0FA539A3" w14:textId="77777777" w:rsidR="003449B0" w:rsidRDefault="00116CF0">
      <w:pPr>
        <w:pStyle w:val="BodyText"/>
      </w:pPr>
      <w:r>
        <w:t xml:space="preserve">When a new order is </w:t>
      </w:r>
      <w:r w:rsidRPr="00246EFB">
        <w:rPr>
          <w:u w:val="single"/>
        </w:rPr>
        <w:t>finished</w:t>
      </w:r>
      <w:r>
        <w:t xml:space="preserve">, </w:t>
      </w:r>
      <w:r w:rsidR="005D7AEB">
        <w:t>OP</w:t>
      </w:r>
      <w:r w:rsidR="00F7122D">
        <w:t xml:space="preserve"> </w:t>
      </w:r>
      <w:r w:rsidR="001472C4">
        <w:t>is modified to request</w:t>
      </w:r>
      <w:r w:rsidR="001355C1">
        <w:t xml:space="preserve"> a PFSS Account Reference </w:t>
      </w:r>
      <w:r w:rsidR="00413A00">
        <w:t xml:space="preserve">from IBB </w:t>
      </w:r>
      <w:r w:rsidR="00405E24">
        <w:t>(a subsystem of IB)</w:t>
      </w:r>
      <w:r w:rsidR="00CB594E">
        <w:t>.</w:t>
      </w:r>
    </w:p>
    <w:p w14:paraId="50A0E174" w14:textId="77777777" w:rsidR="00246EFB" w:rsidRDefault="00705E02">
      <w:pPr>
        <w:pStyle w:val="BodyText"/>
      </w:pPr>
      <w:r>
        <w:t xml:space="preserve">When a prescription is </w:t>
      </w:r>
      <w:r w:rsidRPr="00246EFB">
        <w:rPr>
          <w:u w:val="single"/>
        </w:rPr>
        <w:t>released</w:t>
      </w:r>
      <w:r w:rsidR="00A715C2">
        <w:rPr>
          <w:u w:val="single"/>
        </w:rPr>
        <w:t>,</w:t>
      </w:r>
      <w:r w:rsidR="007634FA">
        <w:rPr>
          <w:u w:val="single"/>
        </w:rPr>
        <w:t xml:space="preserve"> </w:t>
      </w:r>
      <w:r w:rsidR="00994D6E">
        <w:rPr>
          <w:u w:val="single"/>
        </w:rPr>
        <w:t xml:space="preserve">including </w:t>
      </w:r>
      <w:r w:rsidR="007634FA">
        <w:rPr>
          <w:u w:val="single"/>
        </w:rPr>
        <w:t xml:space="preserve">CMOP </w:t>
      </w:r>
      <w:r w:rsidR="002643A7">
        <w:rPr>
          <w:u w:val="single"/>
        </w:rPr>
        <w:t xml:space="preserve">and </w:t>
      </w:r>
      <w:r w:rsidR="00A715C2">
        <w:rPr>
          <w:u w:val="single"/>
        </w:rPr>
        <w:t>Outpatient Automation Interface (</w:t>
      </w:r>
      <w:r w:rsidR="007634FA">
        <w:rPr>
          <w:u w:val="single"/>
        </w:rPr>
        <w:t>OPAI</w:t>
      </w:r>
      <w:r w:rsidR="00A715C2">
        <w:rPr>
          <w:u w:val="single"/>
        </w:rPr>
        <w:t>)</w:t>
      </w:r>
      <w:r w:rsidR="007634FA">
        <w:rPr>
          <w:u w:val="single"/>
        </w:rPr>
        <w:t xml:space="preserve"> </w:t>
      </w:r>
      <w:r w:rsidR="002643A7">
        <w:rPr>
          <w:u w:val="single"/>
        </w:rPr>
        <w:t>releases</w:t>
      </w:r>
      <w:r w:rsidR="0032185D">
        <w:rPr>
          <w:u w:val="single"/>
        </w:rPr>
        <w:t>,</w:t>
      </w:r>
      <w:r>
        <w:t xml:space="preserve"> </w:t>
      </w:r>
      <w:r w:rsidR="00EA610B">
        <w:t>Outpatient Pharmacy</w:t>
      </w:r>
      <w:r w:rsidR="00246EFB">
        <w:t xml:space="preserve"> is modified to request </w:t>
      </w:r>
      <w:r>
        <w:t xml:space="preserve">a unique </w:t>
      </w:r>
      <w:r w:rsidR="00116CF0">
        <w:t>C</w:t>
      </w:r>
      <w:r w:rsidR="008F07D2">
        <w:t xml:space="preserve">harge </w:t>
      </w:r>
      <w:r w:rsidR="00116CF0">
        <w:t>I</w:t>
      </w:r>
      <w:r>
        <w:t>dentifier from IBB.</w:t>
      </w:r>
      <w:r w:rsidR="000C63C0">
        <w:t xml:space="preserve"> </w:t>
      </w:r>
    </w:p>
    <w:p w14:paraId="46F604AB" w14:textId="77777777" w:rsidR="00705E02" w:rsidRDefault="00246EFB">
      <w:pPr>
        <w:pStyle w:val="BodyText"/>
      </w:pPr>
      <w:r>
        <w:t>These two new identifiers will uniquely identify the prescription fill in the COTS billing system.</w:t>
      </w:r>
    </w:p>
    <w:p w14:paraId="671DF2AE" w14:textId="77777777" w:rsidR="00802B68" w:rsidRDefault="00802B68" w:rsidP="00802B68">
      <w:pPr>
        <w:pStyle w:val="Heading2"/>
      </w:pPr>
      <w:bookmarkStart w:id="10" w:name="_Toc148862471"/>
      <w:r>
        <w:t>Messages to the COTS Billing System</w:t>
      </w:r>
      <w:bookmarkEnd w:id="10"/>
    </w:p>
    <w:p w14:paraId="02F3DFE5" w14:textId="77777777" w:rsidR="00637254" w:rsidRDefault="00EA610B">
      <w:pPr>
        <w:pStyle w:val="BodyText"/>
      </w:pPr>
      <w:r>
        <w:t xml:space="preserve">Outpatient Pharmacy </w:t>
      </w:r>
      <w:r w:rsidR="00802B68">
        <w:t xml:space="preserve">is modified to send messages </w:t>
      </w:r>
      <w:r w:rsidR="002643A7">
        <w:t xml:space="preserve">using </w:t>
      </w:r>
      <w:r w:rsidR="00802B68">
        <w:t xml:space="preserve">the </w:t>
      </w:r>
      <w:r w:rsidR="002643A7">
        <w:t>IB Application Programmer Interface (API) to the COTS</w:t>
      </w:r>
      <w:r w:rsidR="00802B68">
        <w:t xml:space="preserve"> billing system</w:t>
      </w:r>
      <w:r w:rsidR="00A715C2">
        <w:t>.</w:t>
      </w:r>
      <w:r w:rsidR="00262BDB">
        <w:t xml:space="preserve"> </w:t>
      </w:r>
      <w:r w:rsidR="00246EFB">
        <w:t>These messages pass information on charge</w:t>
      </w:r>
      <w:r w:rsidR="00637254">
        <w:t>s</w:t>
      </w:r>
      <w:r w:rsidR="00246EFB">
        <w:t>, charge update</w:t>
      </w:r>
      <w:r w:rsidR="00637254">
        <w:t>s</w:t>
      </w:r>
      <w:r w:rsidR="00246EFB">
        <w:t>, and charge credit</w:t>
      </w:r>
      <w:r w:rsidR="00637254">
        <w:t>s</w:t>
      </w:r>
      <w:r w:rsidR="00246EFB">
        <w:t xml:space="preserve">. </w:t>
      </w:r>
    </w:p>
    <w:p w14:paraId="60E11022" w14:textId="77777777" w:rsidR="00802B68" w:rsidRDefault="00484840" w:rsidP="006B2729">
      <w:pPr>
        <w:pStyle w:val="BodyText"/>
        <w:ind w:left="720"/>
      </w:pPr>
      <w:r>
        <w:br w:type="page"/>
      </w:r>
      <w:r w:rsidR="006B2729">
        <w:t xml:space="preserve">NOTE: </w:t>
      </w:r>
      <w:r w:rsidR="00802B68">
        <w:t xml:space="preserve">IB will continue to be used for the initial copay eligibility assessment that is performed at finish. There are no changes to the </w:t>
      </w:r>
      <w:r w:rsidR="00EA610B">
        <w:t xml:space="preserve">Outpatient Pharmacy </w:t>
      </w:r>
      <w:r w:rsidR="00802B68">
        <w:t xml:space="preserve">copay evaluation for </w:t>
      </w:r>
      <w:r w:rsidR="00CF776E">
        <w:t>Service Connection (</w:t>
      </w:r>
      <w:r w:rsidR="00802B68">
        <w:t>SC</w:t>
      </w:r>
      <w:r w:rsidR="00CF776E">
        <w:t>)</w:t>
      </w:r>
      <w:r w:rsidR="00802B68">
        <w:t xml:space="preserve">, </w:t>
      </w:r>
      <w:r w:rsidR="00CF776E">
        <w:t>Environmental Indicators (</w:t>
      </w:r>
      <w:r w:rsidR="00802B68">
        <w:t>EI</w:t>
      </w:r>
      <w:r w:rsidR="00CF776E">
        <w:t>)</w:t>
      </w:r>
      <w:r w:rsidR="00802B68">
        <w:t xml:space="preserve">, </w:t>
      </w:r>
      <w:r w:rsidR="00AC7A0E">
        <w:t>s</w:t>
      </w:r>
      <w:r w:rsidR="00802B68">
        <w:t xml:space="preserve">upply </w:t>
      </w:r>
      <w:r w:rsidR="00AC7A0E">
        <w:t>i</w:t>
      </w:r>
      <w:r w:rsidR="00802B68">
        <w:t xml:space="preserve">tems and </w:t>
      </w:r>
      <w:r w:rsidR="00AC7A0E">
        <w:t>i</w:t>
      </w:r>
      <w:r w:rsidR="00802B68">
        <w:t xml:space="preserve">nvestigational </w:t>
      </w:r>
      <w:r w:rsidR="00AC7A0E">
        <w:t>d</w:t>
      </w:r>
      <w:r w:rsidR="00802B68">
        <w:t xml:space="preserve">rugs, income exemption, and RX </w:t>
      </w:r>
      <w:r w:rsidR="00F45187">
        <w:t xml:space="preserve">(Pharmacy) </w:t>
      </w:r>
      <w:r w:rsidR="00802B68">
        <w:t xml:space="preserve">Patient Status checks. </w:t>
      </w:r>
      <w:r w:rsidR="00637254">
        <w:t>The final copay billing determination, h</w:t>
      </w:r>
      <w:r w:rsidR="00802B68">
        <w:t xml:space="preserve">owever, </w:t>
      </w:r>
      <w:r w:rsidR="00637254">
        <w:t xml:space="preserve">will be performed by </w:t>
      </w:r>
      <w:r w:rsidR="00802B68">
        <w:t xml:space="preserve">the </w:t>
      </w:r>
      <w:r w:rsidR="0083589A">
        <w:t xml:space="preserve">COTS billing system </w:t>
      </w:r>
      <w:r w:rsidR="00802B68">
        <w:t xml:space="preserve">based on the </w:t>
      </w:r>
      <w:r w:rsidR="00EA610B">
        <w:t xml:space="preserve">Outpatient Pharmacy </w:t>
      </w:r>
      <w:r w:rsidR="009867B3">
        <w:t>copay evaluation</w:t>
      </w:r>
      <w:r w:rsidR="00802B68">
        <w:t xml:space="preserve"> and current IB business rules.</w:t>
      </w:r>
    </w:p>
    <w:p w14:paraId="3534CE2F" w14:textId="77777777" w:rsidR="00754894" w:rsidRDefault="00EA610B">
      <w:pPr>
        <w:pStyle w:val="BodyText"/>
      </w:pPr>
      <w:r>
        <w:t xml:space="preserve">Outpatient Pharmacy </w:t>
      </w:r>
      <w:r w:rsidR="00941716">
        <w:t>will send the following messages to the COTS billing system via IBB: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6404"/>
      </w:tblGrid>
      <w:tr w:rsidR="00941716" w14:paraId="40716B6F" w14:textId="77777777" w:rsidTr="00D479D8">
        <w:tc>
          <w:tcPr>
            <w:tcW w:w="2160" w:type="dxa"/>
            <w:shd w:val="clear" w:color="auto" w:fill="D9D9D9"/>
          </w:tcPr>
          <w:p w14:paraId="45D6A5C9" w14:textId="77777777" w:rsidR="00941716" w:rsidRDefault="00941716" w:rsidP="00941716">
            <w:pPr>
              <w:pStyle w:val="TableHeading"/>
            </w:pPr>
            <w:r>
              <w:t xml:space="preserve">Message </w:t>
            </w:r>
            <w:r w:rsidR="009B0752">
              <w:t>Function</w:t>
            </w:r>
          </w:p>
        </w:tc>
        <w:tc>
          <w:tcPr>
            <w:tcW w:w="6588" w:type="dxa"/>
            <w:shd w:val="clear" w:color="auto" w:fill="D9D9D9"/>
          </w:tcPr>
          <w:p w14:paraId="56A2D926" w14:textId="77777777" w:rsidR="00941716" w:rsidRDefault="00941716" w:rsidP="00941716">
            <w:pPr>
              <w:pStyle w:val="TableHeading"/>
            </w:pPr>
            <w:r>
              <w:t>Reason</w:t>
            </w:r>
            <w:r w:rsidR="009B0752">
              <w:t>(</w:t>
            </w:r>
            <w:r>
              <w:t>s</w:t>
            </w:r>
            <w:r w:rsidR="009B0752">
              <w:t>)</w:t>
            </w:r>
            <w:r>
              <w:t xml:space="preserve"> for Sending</w:t>
            </w:r>
          </w:p>
        </w:tc>
      </w:tr>
      <w:tr w:rsidR="00941716" w14:paraId="6AD12405" w14:textId="77777777" w:rsidTr="00D479D8">
        <w:tc>
          <w:tcPr>
            <w:tcW w:w="2160" w:type="dxa"/>
            <w:shd w:val="clear" w:color="auto" w:fill="auto"/>
          </w:tcPr>
          <w:p w14:paraId="5A3358FD" w14:textId="77777777" w:rsidR="00941716" w:rsidRDefault="00941716" w:rsidP="00941716">
            <w:pPr>
              <w:pStyle w:val="TableText"/>
            </w:pPr>
            <w:r>
              <w:t>Charge</w:t>
            </w:r>
          </w:p>
        </w:tc>
        <w:tc>
          <w:tcPr>
            <w:tcW w:w="6588" w:type="dxa"/>
            <w:shd w:val="clear" w:color="auto" w:fill="auto"/>
          </w:tcPr>
          <w:p w14:paraId="7EE9CFAD" w14:textId="77777777" w:rsidR="00941716" w:rsidRDefault="00941716" w:rsidP="00D479D8">
            <w:pPr>
              <w:pStyle w:val="TableText"/>
              <w:numPr>
                <w:ilvl w:val="0"/>
                <w:numId w:val="25"/>
              </w:numPr>
            </w:pPr>
            <w:r>
              <w:t>A prescription is released.</w:t>
            </w:r>
          </w:p>
        </w:tc>
      </w:tr>
      <w:tr w:rsidR="00941716" w14:paraId="06AA94A2" w14:textId="77777777" w:rsidTr="00D479D8">
        <w:tc>
          <w:tcPr>
            <w:tcW w:w="2160" w:type="dxa"/>
            <w:shd w:val="clear" w:color="auto" w:fill="auto"/>
          </w:tcPr>
          <w:p w14:paraId="745FBD8A" w14:textId="77777777" w:rsidR="00941716" w:rsidRDefault="00941716" w:rsidP="00941716">
            <w:pPr>
              <w:pStyle w:val="TableText"/>
            </w:pPr>
            <w:r>
              <w:t>Charge Credit</w:t>
            </w:r>
          </w:p>
        </w:tc>
        <w:tc>
          <w:tcPr>
            <w:tcW w:w="6588" w:type="dxa"/>
            <w:shd w:val="clear" w:color="auto" w:fill="auto"/>
          </w:tcPr>
          <w:p w14:paraId="17F73C5D" w14:textId="77777777" w:rsidR="00941716" w:rsidRDefault="00941716" w:rsidP="00D479D8">
            <w:pPr>
              <w:pStyle w:val="TableText"/>
              <w:numPr>
                <w:ilvl w:val="0"/>
                <w:numId w:val="29"/>
              </w:numPr>
            </w:pPr>
            <w:r>
              <w:t>Return to stock, or a delete that performs a return to stock.</w:t>
            </w:r>
          </w:p>
          <w:p w14:paraId="02D37E8D" w14:textId="77777777" w:rsidR="00941716" w:rsidRDefault="00941716" w:rsidP="00D479D8">
            <w:pPr>
              <w:pStyle w:val="TableText"/>
              <w:numPr>
                <w:ilvl w:val="0"/>
                <w:numId w:val="29"/>
              </w:numPr>
            </w:pPr>
            <w:r>
              <w:t xml:space="preserve">Copay charges cancelled on a released prescription </w:t>
            </w:r>
            <w:r w:rsidR="009B0752">
              <w:t xml:space="preserve">by using the </w:t>
            </w:r>
            <w:r w:rsidR="009B0752" w:rsidRPr="00D479D8">
              <w:rPr>
                <w:i/>
              </w:rPr>
              <w:t>Reset Copay Status/Cancel Charges</w:t>
            </w:r>
            <w:r w:rsidR="009B0752">
              <w:t xml:space="preserve"> [PSOCP RESET COPAY STATUS] option.</w:t>
            </w:r>
          </w:p>
        </w:tc>
      </w:tr>
      <w:tr w:rsidR="00941716" w14:paraId="226D5480" w14:textId="77777777" w:rsidTr="00D479D8">
        <w:tc>
          <w:tcPr>
            <w:tcW w:w="2160" w:type="dxa"/>
            <w:shd w:val="clear" w:color="auto" w:fill="auto"/>
          </w:tcPr>
          <w:p w14:paraId="5914C12D" w14:textId="77777777" w:rsidR="00941716" w:rsidRDefault="00941716" w:rsidP="00941716">
            <w:pPr>
              <w:pStyle w:val="TableText"/>
            </w:pPr>
            <w:r>
              <w:t>Charge Update</w:t>
            </w:r>
          </w:p>
        </w:tc>
        <w:tc>
          <w:tcPr>
            <w:tcW w:w="6588" w:type="dxa"/>
            <w:shd w:val="clear" w:color="auto" w:fill="auto"/>
          </w:tcPr>
          <w:p w14:paraId="0C43C045" w14:textId="77777777" w:rsidR="00941716" w:rsidRDefault="009B0752" w:rsidP="00D479D8">
            <w:pPr>
              <w:pStyle w:val="TableText"/>
              <w:numPr>
                <w:ilvl w:val="0"/>
                <w:numId w:val="30"/>
              </w:numPr>
            </w:pPr>
            <w:r>
              <w:t>T</w:t>
            </w:r>
            <w:r w:rsidR="00941716">
              <w:t xml:space="preserve">he patient’s SC and/or EI modified </w:t>
            </w:r>
            <w:r>
              <w:t xml:space="preserve">on a released prescription </w:t>
            </w:r>
            <w:r w:rsidR="00941716">
              <w:t xml:space="preserve">without cancelling copay by using the </w:t>
            </w:r>
            <w:r w:rsidR="00941716" w:rsidRPr="00D479D8">
              <w:rPr>
                <w:i/>
              </w:rPr>
              <w:t>Reset Copay Status/Cancel Charges</w:t>
            </w:r>
            <w:r w:rsidR="00941716">
              <w:t xml:space="preserve"> [PSOCP RESET COPAY STATUS] option.</w:t>
            </w:r>
          </w:p>
          <w:p w14:paraId="1E33D4F6" w14:textId="77777777" w:rsidR="009B0752" w:rsidRDefault="009B0752" w:rsidP="00D479D8">
            <w:pPr>
              <w:pStyle w:val="TableText"/>
              <w:numPr>
                <w:ilvl w:val="0"/>
                <w:numId w:val="30"/>
              </w:numPr>
            </w:pPr>
            <w:r>
              <w:t>T</w:t>
            </w:r>
            <w:r w:rsidRPr="00F86E92">
              <w:t>he Days Supply edited on a released prescription</w:t>
            </w:r>
            <w:r>
              <w:t xml:space="preserve">. </w:t>
            </w:r>
          </w:p>
          <w:p w14:paraId="457D9631" w14:textId="77777777" w:rsidR="00941716" w:rsidRDefault="009B0752" w:rsidP="00D479D8">
            <w:pPr>
              <w:pStyle w:val="TableText"/>
              <w:ind w:left="720"/>
            </w:pPr>
            <w:r>
              <w:t>NOTE: T</w:t>
            </w:r>
            <w:r w:rsidRPr="00F86E92">
              <w:t>he COTS billing system will pick up the latest charge update.</w:t>
            </w:r>
          </w:p>
          <w:p w14:paraId="7DF7B1CF" w14:textId="77777777" w:rsidR="009B0752" w:rsidRDefault="009B0752" w:rsidP="00D479D8">
            <w:pPr>
              <w:pStyle w:val="TableText"/>
              <w:numPr>
                <w:ilvl w:val="0"/>
                <w:numId w:val="30"/>
              </w:numPr>
            </w:pPr>
            <w:r w:rsidRPr="00D479D8">
              <w:rPr>
                <w:szCs w:val="22"/>
              </w:rPr>
              <w:t xml:space="preserve">The provider changed the SC/EI of a released prescription from </w:t>
            </w:r>
            <w:r w:rsidR="00E40660" w:rsidRPr="00D479D8">
              <w:rPr>
                <w:szCs w:val="22"/>
              </w:rPr>
              <w:t xml:space="preserve">the </w:t>
            </w:r>
            <w:r w:rsidRPr="00D479D8">
              <w:rPr>
                <w:szCs w:val="22"/>
              </w:rPr>
              <w:t>CPRS side.</w:t>
            </w:r>
          </w:p>
        </w:tc>
      </w:tr>
    </w:tbl>
    <w:p w14:paraId="574F878B" w14:textId="77777777" w:rsidR="00941716" w:rsidRPr="009B0752" w:rsidRDefault="00941716">
      <w:pPr>
        <w:pStyle w:val="BodyText"/>
        <w:rPr>
          <w:sz w:val="16"/>
          <w:szCs w:val="16"/>
        </w:rPr>
      </w:pPr>
    </w:p>
    <w:p w14:paraId="210FBF8E" w14:textId="77777777" w:rsidR="00B979AF" w:rsidRDefault="009B0752">
      <w:pPr>
        <w:pStyle w:val="BodyText"/>
      </w:pPr>
      <w:r>
        <w:t>If</w:t>
      </w:r>
      <w:r w:rsidR="00941716">
        <w:t xml:space="preserve"> there is a change in</w:t>
      </w:r>
      <w:r w:rsidR="00DE7C5E">
        <w:t xml:space="preserve"> </w:t>
      </w:r>
      <w:r w:rsidR="002F10FF">
        <w:t>copay</w:t>
      </w:r>
      <w:r w:rsidR="00DE7C5E">
        <w:t xml:space="preserve"> status, </w:t>
      </w:r>
      <w:r w:rsidR="00B979AF">
        <w:t>no charge message will be sent</w:t>
      </w:r>
      <w:r w:rsidR="00941716">
        <w:t>.</w:t>
      </w:r>
      <w:r w:rsidR="00B979AF">
        <w:t xml:space="preserve"> </w:t>
      </w:r>
      <w:r w:rsidR="00941716">
        <w:t>T</w:t>
      </w:r>
      <w:r>
        <w:t>he copay status</w:t>
      </w:r>
      <w:r w:rsidR="00B979AF">
        <w:t xml:space="preserve"> change is </w:t>
      </w:r>
      <w:r w:rsidR="00941716">
        <w:t xml:space="preserve">flagged as </w:t>
      </w:r>
      <w:r w:rsidR="00D636D6">
        <w:t>effective</w:t>
      </w:r>
      <w:r w:rsidR="00941716">
        <w:t xml:space="preserve"> for future fills</w:t>
      </w:r>
      <w:r w:rsidR="00B979AF">
        <w:t>.</w:t>
      </w:r>
    </w:p>
    <w:p w14:paraId="74347F2D" w14:textId="77777777" w:rsidR="00636410" w:rsidRDefault="00636410" w:rsidP="00B777A7">
      <w:pPr>
        <w:pStyle w:val="Heading2"/>
      </w:pPr>
      <w:bookmarkStart w:id="11" w:name="_Toc148862472"/>
      <w:r>
        <w:t>Charge Location</w:t>
      </w:r>
      <w:bookmarkEnd w:id="11"/>
    </w:p>
    <w:p w14:paraId="1CFFE453" w14:textId="77777777" w:rsidR="00424D72" w:rsidRDefault="00EA610B">
      <w:pPr>
        <w:pStyle w:val="BodyText"/>
      </w:pPr>
      <w:r>
        <w:t xml:space="preserve">Outpatient Pharmacy </w:t>
      </w:r>
      <w:r w:rsidR="001A6C64">
        <w:t>is modified to add a</w:t>
      </w:r>
      <w:r w:rsidR="0032280D">
        <w:t xml:space="preserve"> new C</w:t>
      </w:r>
      <w:r w:rsidR="00B777A7">
        <w:t>harge</w:t>
      </w:r>
      <w:r w:rsidR="0032280D">
        <w:t xml:space="preserve"> L</w:t>
      </w:r>
      <w:r w:rsidR="00B777A7">
        <w:t>ocation</w:t>
      </w:r>
      <w:r w:rsidR="0032280D">
        <w:t xml:space="preserve"> field.</w:t>
      </w:r>
      <w:r w:rsidR="000C63C0">
        <w:t xml:space="preserve"> </w:t>
      </w:r>
      <w:r w:rsidR="0032280D">
        <w:t>Upon installation</w:t>
      </w:r>
      <w:r w:rsidR="00B777A7">
        <w:t xml:space="preserve"> of the patch</w:t>
      </w:r>
      <w:r w:rsidR="0032280D">
        <w:t xml:space="preserve">, the user will need to </w:t>
      </w:r>
      <w:r w:rsidR="009B0752">
        <w:t>define the location in the new CHARGE LOCATION field (#1007) in the OUTPATIENT SITE file (#59).</w:t>
      </w:r>
      <w:r w:rsidR="00E40660" w:rsidRPr="00E40660">
        <w:t xml:space="preserve"> </w:t>
      </w:r>
      <w:r w:rsidR="00E40660">
        <w:t>This field is used to group charges in the COTS billing system according to the type of service.</w:t>
      </w:r>
    </w:p>
    <w:p w14:paraId="1FE70B1D" w14:textId="77777777" w:rsidR="001472C4" w:rsidRDefault="00E40660" w:rsidP="00E40660">
      <w:pPr>
        <w:pStyle w:val="BodyText"/>
        <w:ind w:left="720"/>
      </w:pPr>
      <w:r w:rsidRPr="001472C4">
        <w:rPr>
          <w:b/>
        </w:rPr>
        <w:t>IMPORTANT</w:t>
      </w:r>
      <w:r>
        <w:t xml:space="preserve">: Entering and defining the Charge Locations is crucial to the success of this function. Initially, however, a unique Charge Location must be entered in the HOSPITAL LOCATION file (#44) by Registration or Scheduling. </w:t>
      </w:r>
      <w:r w:rsidR="0032280D">
        <w:t xml:space="preserve">It is recommended that </w:t>
      </w:r>
      <w:r w:rsidR="00424D72">
        <w:t>the Charge Location</w:t>
      </w:r>
      <w:r w:rsidR="0032280D">
        <w:t xml:space="preserve"> be coordinated with the </w:t>
      </w:r>
      <w:smartTag w:uri="urn:schemas-microsoft-com:office:smarttags" w:element="place">
        <w:smartTag w:uri="urn:schemas-microsoft-com:office:smarttags" w:element="PlaceName">
          <w:r w:rsidR="0032280D">
            <w:t>Medical</w:t>
          </w:r>
        </w:smartTag>
        <w:r w:rsidR="0032280D">
          <w:t xml:space="preserve"> </w:t>
        </w:r>
        <w:smartTag w:uri="urn:schemas-microsoft-com:office:smarttags" w:element="PlaceType">
          <w:r w:rsidR="0032280D">
            <w:t>Center</w:t>
          </w:r>
        </w:smartTag>
      </w:smartTag>
      <w:r w:rsidR="0032280D">
        <w:t>’s business office.</w:t>
      </w:r>
      <w:r w:rsidR="000C63C0">
        <w:t xml:space="preserve"> </w:t>
      </w:r>
      <w:r w:rsidR="00561963">
        <w:t xml:space="preserve">A Charge Location should be defined for every </w:t>
      </w:r>
      <w:r w:rsidR="00F86E92">
        <w:t xml:space="preserve">division </w:t>
      </w:r>
      <w:r w:rsidR="00561963">
        <w:t>currently in the OUTPATIENT SITE file (#59)</w:t>
      </w:r>
      <w:r w:rsidR="00DD308A">
        <w:t>,</w:t>
      </w:r>
      <w:r w:rsidR="0032280D">
        <w:t xml:space="preserve"> which means </w:t>
      </w:r>
      <w:r w:rsidR="00564ACE">
        <w:t xml:space="preserve">that </w:t>
      </w:r>
      <w:r w:rsidR="0032280D">
        <w:t xml:space="preserve">there could be multiple </w:t>
      </w:r>
      <w:r w:rsidR="00EC30EA">
        <w:t xml:space="preserve">hospital </w:t>
      </w:r>
      <w:r w:rsidR="0032280D">
        <w:t xml:space="preserve">locations </w:t>
      </w:r>
      <w:r w:rsidR="00564ACE">
        <w:t>or one location for all division</w:t>
      </w:r>
      <w:r>
        <w:t>s</w:t>
      </w:r>
      <w:r w:rsidR="0032280D">
        <w:t>.</w:t>
      </w:r>
      <w:r w:rsidR="001472C4" w:rsidRPr="001472C4">
        <w:t xml:space="preserve"> </w:t>
      </w:r>
    </w:p>
    <w:p w14:paraId="7DA20B88" w14:textId="77777777" w:rsidR="0032280D" w:rsidRDefault="001472C4" w:rsidP="007015AC">
      <w:pPr>
        <w:pStyle w:val="BodyText"/>
      </w:pPr>
      <w:r>
        <w:t xml:space="preserve">If a Charge Location is not defined for a particular division, </w:t>
      </w:r>
      <w:r w:rsidR="00EA610B">
        <w:t xml:space="preserve">Outpatient Pharmacy </w:t>
      </w:r>
      <w:r>
        <w:t xml:space="preserve">will search all </w:t>
      </w:r>
      <w:r w:rsidR="00564ACE">
        <w:t xml:space="preserve">active </w:t>
      </w:r>
      <w:r>
        <w:t xml:space="preserve">divisions </w:t>
      </w:r>
      <w:r w:rsidR="007015AC">
        <w:t>in the OUTPATIENT SITE file (#59</w:t>
      </w:r>
      <w:r w:rsidR="00564ACE">
        <w:t xml:space="preserve">) </w:t>
      </w:r>
      <w:r>
        <w:t xml:space="preserve">for a Charge Location and use the first one it finds. If </w:t>
      </w:r>
      <w:r w:rsidR="002643A7">
        <w:t xml:space="preserve">the PFSS switch is </w:t>
      </w:r>
      <w:r w:rsidR="00A715C2">
        <w:t>ON</w:t>
      </w:r>
      <w:r w:rsidR="002643A7">
        <w:t xml:space="preserve"> and </w:t>
      </w:r>
      <w:r>
        <w:t xml:space="preserve">no Charge Locations are defined in any divisions, the information will not be passed on to </w:t>
      </w:r>
      <w:r w:rsidR="00771FD9">
        <w:t xml:space="preserve">IB </w:t>
      </w:r>
      <w:r w:rsidR="002643A7">
        <w:t>o</w:t>
      </w:r>
      <w:r w:rsidR="00771FD9">
        <w:t xml:space="preserve">r </w:t>
      </w:r>
      <w:r>
        <w:t xml:space="preserve">the COTS billing system. </w:t>
      </w:r>
    </w:p>
    <w:p w14:paraId="4CA162DB" w14:textId="77777777" w:rsidR="0026263A" w:rsidRDefault="009B0752">
      <w:pPr>
        <w:pStyle w:val="Heading2"/>
      </w:pPr>
      <w:r>
        <w:br w:type="page"/>
      </w:r>
      <w:bookmarkStart w:id="12" w:name="_Toc148862473"/>
      <w:r w:rsidR="0026263A">
        <w:t>Files and Fields</w:t>
      </w:r>
      <w:bookmarkEnd w:id="12"/>
    </w:p>
    <w:p w14:paraId="665A4E89" w14:textId="77777777" w:rsidR="0026263A" w:rsidRDefault="0026263A">
      <w:pPr>
        <w:pStyle w:val="BodyText"/>
      </w:pPr>
      <w:r>
        <w:t xml:space="preserve">This section contains new or </w:t>
      </w:r>
      <w:r w:rsidR="001C520E">
        <w:t>updated</w:t>
      </w:r>
      <w:r>
        <w:t xml:space="preserve"> files and fields in the </w:t>
      </w:r>
      <w:r w:rsidR="00EA610B">
        <w:t xml:space="preserve">Outpatient Pharmacy </w:t>
      </w:r>
      <w:r w:rsidR="00614476">
        <w:t>package.</w:t>
      </w:r>
    </w:p>
    <w:p w14:paraId="3183DBF3" w14:textId="77777777" w:rsidR="007E7087" w:rsidRDefault="007E7087" w:rsidP="00400392">
      <w:pPr>
        <w:pStyle w:val="Heading4"/>
      </w:pPr>
      <w:r>
        <w:t>OUTPATIENT SITE file (#59)</w:t>
      </w:r>
      <w:r w:rsidR="001C520E">
        <w:t xml:space="preserve"> Update</w:t>
      </w:r>
    </w:p>
    <w:p w14:paraId="2A99CE9F" w14:textId="77777777" w:rsidR="007E7087" w:rsidRDefault="007E7087" w:rsidP="007E7087">
      <w:pPr>
        <w:pStyle w:val="Heading5"/>
      </w:pPr>
      <w:r>
        <w:t>New Field</w:t>
      </w:r>
    </w:p>
    <w:p w14:paraId="69987F54" w14:textId="77777777" w:rsidR="000D1042" w:rsidRDefault="000D1042" w:rsidP="007C4D3E">
      <w:pPr>
        <w:pStyle w:val="BodyText"/>
      </w:pPr>
      <w:r w:rsidRPr="007C4D3E">
        <w:t xml:space="preserve">CHARGE LOCATION field </w:t>
      </w:r>
      <w:r w:rsidR="004D6723" w:rsidRPr="007C4D3E">
        <w:t>(#1007)</w:t>
      </w:r>
      <w:r w:rsidR="001C520E">
        <w:t xml:space="preserve"> </w:t>
      </w:r>
    </w:p>
    <w:p w14:paraId="1A59A3FE" w14:textId="77777777" w:rsidR="0026263A" w:rsidRDefault="0026263A" w:rsidP="00400392">
      <w:pPr>
        <w:pStyle w:val="Heading4"/>
      </w:pPr>
      <w:r>
        <w:t>PRESCRIPTION file (#52)</w:t>
      </w:r>
      <w:r w:rsidR="00926ECB">
        <w:t xml:space="preserve"> Update</w:t>
      </w:r>
    </w:p>
    <w:p w14:paraId="7BF4FF04" w14:textId="77777777" w:rsidR="00DC2A8C" w:rsidRDefault="0026263A" w:rsidP="007C4D3E">
      <w:pPr>
        <w:pStyle w:val="Heading5"/>
      </w:pPr>
      <w:r>
        <w:t>New Fields</w:t>
      </w:r>
    </w:p>
    <w:p w14:paraId="00E8420E" w14:textId="77777777" w:rsidR="00DC2A8C" w:rsidRDefault="00DC2A8C" w:rsidP="007C4D3E">
      <w:pPr>
        <w:pStyle w:val="BodyText"/>
      </w:pPr>
      <w:r>
        <w:t xml:space="preserve">PFSS ACCOUNT REFERENCE </w:t>
      </w:r>
      <w:r w:rsidR="00926ECB">
        <w:t>field</w:t>
      </w:r>
      <w:r w:rsidR="00A06E01">
        <w:t xml:space="preserve"> </w:t>
      </w:r>
      <w:r>
        <w:t>(#125)</w:t>
      </w:r>
    </w:p>
    <w:p w14:paraId="693AC177" w14:textId="77777777" w:rsidR="00DC2A8C" w:rsidRDefault="00DC2A8C" w:rsidP="007C4D3E">
      <w:pPr>
        <w:pStyle w:val="BodyText"/>
      </w:pPr>
      <w:r>
        <w:t>PFSS CHARGE ID field (#126)</w:t>
      </w:r>
    </w:p>
    <w:p w14:paraId="0E1CDCC8" w14:textId="77777777" w:rsidR="00DC2A8C" w:rsidRDefault="00DC2A8C" w:rsidP="007C4D3E">
      <w:pPr>
        <w:pStyle w:val="BodyText"/>
      </w:pPr>
      <w:r>
        <w:t xml:space="preserve">In REFILL </w:t>
      </w:r>
      <w:r w:rsidR="00871524">
        <w:t>subfile</w:t>
      </w:r>
      <w:r>
        <w:t xml:space="preserve"> (#52.1):</w:t>
      </w:r>
      <w:r w:rsidR="007C4D3E">
        <w:tab/>
      </w:r>
      <w:r>
        <w:t>PFSS ACCOUNT REFERENCE field (#21)</w:t>
      </w:r>
    </w:p>
    <w:p w14:paraId="044EAED7" w14:textId="77777777" w:rsidR="00DC2A8C" w:rsidRPr="00DC2A8C" w:rsidRDefault="007C4D3E" w:rsidP="007C4D3E">
      <w:pPr>
        <w:pStyle w:val="BodyText"/>
      </w:pPr>
      <w:r>
        <w:tab/>
      </w:r>
      <w:r w:rsidR="00926ECB">
        <w:tab/>
      </w:r>
      <w:r w:rsidR="00926ECB">
        <w:tab/>
      </w:r>
      <w:r w:rsidR="00926ECB">
        <w:tab/>
      </w:r>
      <w:r w:rsidR="00DC2A8C">
        <w:t>PFSS CHARGE ID field (#22)</w:t>
      </w:r>
    </w:p>
    <w:p w14:paraId="59961AD6" w14:textId="77777777" w:rsidR="0026263A" w:rsidRDefault="0026263A">
      <w:pPr>
        <w:pStyle w:val="Heading5"/>
      </w:pPr>
      <w:r>
        <w:t>Changed Fields</w:t>
      </w:r>
    </w:p>
    <w:p w14:paraId="6E906E70" w14:textId="77777777" w:rsidR="00971B9D" w:rsidRDefault="00954F84" w:rsidP="007C4D3E">
      <w:pPr>
        <w:pStyle w:val="BodyText"/>
      </w:pPr>
      <w:r>
        <w:t xml:space="preserve">When PFSS functionality is activated, the following </w:t>
      </w:r>
      <w:r w:rsidR="007015AC">
        <w:t xml:space="preserve">IB billing </w:t>
      </w:r>
      <w:r>
        <w:t>fields will no longer be po</w:t>
      </w:r>
      <w:r w:rsidR="007015AC">
        <w:t>pulated:</w:t>
      </w:r>
    </w:p>
    <w:p w14:paraId="35E9B1B4" w14:textId="77777777" w:rsidR="00954F84" w:rsidRDefault="00954F84" w:rsidP="007C4D3E">
      <w:pPr>
        <w:pStyle w:val="ListBullet2"/>
      </w:pPr>
      <w:r>
        <w:t xml:space="preserve">IB NUMBER </w:t>
      </w:r>
      <w:r w:rsidR="00926ECB">
        <w:t>field</w:t>
      </w:r>
      <w:r w:rsidR="007015AC">
        <w:t xml:space="preserve"> </w:t>
      </w:r>
      <w:r>
        <w:t>(#106)</w:t>
      </w:r>
    </w:p>
    <w:p w14:paraId="61531956" w14:textId="77777777" w:rsidR="00954F84" w:rsidRDefault="00954F84" w:rsidP="007C4D3E">
      <w:pPr>
        <w:pStyle w:val="ListBullet2"/>
      </w:pPr>
      <w:r>
        <w:t xml:space="preserve">COPAY TYPE AUDIT </w:t>
      </w:r>
      <w:r w:rsidR="00926ECB">
        <w:t>field</w:t>
      </w:r>
      <w:r w:rsidR="00F54D1D">
        <w:t xml:space="preserve"> </w:t>
      </w:r>
      <w:r>
        <w:t>(#106.5)</w:t>
      </w:r>
    </w:p>
    <w:p w14:paraId="4BFFD501" w14:textId="77777777" w:rsidR="007C4D3E" w:rsidRDefault="00954F84" w:rsidP="007C4D3E">
      <w:pPr>
        <w:pStyle w:val="ListBullet2"/>
      </w:pPr>
      <w:r>
        <w:t xml:space="preserve">COPAY EXCEEDING CAP </w:t>
      </w:r>
      <w:r w:rsidR="00926ECB">
        <w:t>field</w:t>
      </w:r>
      <w:r w:rsidR="00F54D1D">
        <w:t xml:space="preserve"> </w:t>
      </w:r>
      <w:r>
        <w:t>(#106.6)</w:t>
      </w:r>
    </w:p>
    <w:p w14:paraId="309B5C42" w14:textId="77777777" w:rsidR="00954F84" w:rsidRDefault="00926ECB" w:rsidP="007C4D3E">
      <w:pPr>
        <w:pStyle w:val="ListBullet2"/>
      </w:pPr>
      <w:r>
        <w:t xml:space="preserve">In </w:t>
      </w:r>
      <w:r w:rsidR="00F54D24">
        <w:t xml:space="preserve">REFILL </w:t>
      </w:r>
      <w:r>
        <w:t>subfile (#52.1):</w:t>
      </w:r>
      <w:r>
        <w:tab/>
      </w:r>
      <w:r w:rsidR="00954F84">
        <w:t xml:space="preserve">IB NUMBER </w:t>
      </w:r>
      <w:r>
        <w:t xml:space="preserve">field </w:t>
      </w:r>
      <w:r w:rsidR="00954F84">
        <w:t>(#9)</w:t>
      </w:r>
    </w:p>
    <w:p w14:paraId="532F2219" w14:textId="77777777" w:rsidR="00954F84" w:rsidRDefault="00F54D24" w:rsidP="00926ECB">
      <w:pPr>
        <w:pStyle w:val="ListBullet2"/>
        <w:numPr>
          <w:ilvl w:val="0"/>
          <w:numId w:val="0"/>
        </w:numPr>
        <w:ind w:left="2520" w:firstLine="360"/>
      </w:pPr>
      <w:r>
        <w:tab/>
      </w:r>
      <w:r w:rsidR="00954F84">
        <w:t xml:space="preserve">COPAY EXCEEDING CAP </w:t>
      </w:r>
      <w:r w:rsidR="00926ECB">
        <w:t xml:space="preserve">field </w:t>
      </w:r>
      <w:r w:rsidR="00954F84">
        <w:t>(#9.1)</w:t>
      </w:r>
    </w:p>
    <w:p w14:paraId="523BF5EB" w14:textId="77777777" w:rsidR="00251BAA" w:rsidRDefault="00251BAA" w:rsidP="00251BAA">
      <w:pPr>
        <w:pStyle w:val="Heading2"/>
      </w:pPr>
      <w:bookmarkStart w:id="13" w:name="_Toc148862474"/>
      <w:r>
        <w:t>Changed Option</w:t>
      </w:r>
      <w:bookmarkEnd w:id="13"/>
    </w:p>
    <w:p w14:paraId="6156143B" w14:textId="77777777" w:rsidR="00251BAA" w:rsidRDefault="00251BAA" w:rsidP="00251BAA">
      <w:pPr>
        <w:pStyle w:val="BodyText"/>
      </w:pPr>
      <w:r>
        <w:t xml:space="preserve">The </w:t>
      </w:r>
      <w:r w:rsidR="00EA610B">
        <w:t>Outpatient Pharmacy</w:t>
      </w:r>
      <w:r w:rsidR="00EA610B" w:rsidRPr="0016001F">
        <w:rPr>
          <w:i/>
        </w:rPr>
        <w:t xml:space="preserve"> </w:t>
      </w:r>
      <w:r w:rsidR="0016001F" w:rsidRPr="0016001F">
        <w:rPr>
          <w:i/>
        </w:rPr>
        <w:t>S</w:t>
      </w:r>
      <w:r w:rsidRPr="0016001F">
        <w:rPr>
          <w:i/>
        </w:rPr>
        <w:t xml:space="preserve">ite </w:t>
      </w:r>
      <w:r w:rsidR="0016001F" w:rsidRPr="0016001F">
        <w:rPr>
          <w:i/>
        </w:rPr>
        <w:t>P</w:t>
      </w:r>
      <w:r w:rsidRPr="0016001F">
        <w:rPr>
          <w:i/>
        </w:rPr>
        <w:t xml:space="preserve">arameter </w:t>
      </w:r>
      <w:r w:rsidR="0016001F" w:rsidRPr="0016001F">
        <w:rPr>
          <w:i/>
        </w:rPr>
        <w:t>E</w:t>
      </w:r>
      <w:r w:rsidRPr="0016001F">
        <w:rPr>
          <w:i/>
        </w:rPr>
        <w:t>nter/</w:t>
      </w:r>
      <w:r w:rsidR="0016001F" w:rsidRPr="0016001F">
        <w:rPr>
          <w:i/>
        </w:rPr>
        <w:t>E</w:t>
      </w:r>
      <w:r w:rsidRPr="0016001F">
        <w:rPr>
          <w:i/>
        </w:rPr>
        <w:t>dit</w:t>
      </w:r>
      <w:r>
        <w:t xml:space="preserve"> [PSO SITE PARAMETERS] </w:t>
      </w:r>
      <w:r w:rsidR="00082D2C">
        <w:t xml:space="preserve">option </w:t>
      </w:r>
      <w:r w:rsidR="00BA3FFE">
        <w:t xml:space="preserve">is modified </w:t>
      </w:r>
      <w:r>
        <w:t>to allow entry of the new CHARGE LOCATION field.</w:t>
      </w:r>
      <w:r w:rsidR="00C33057">
        <w:t xml:space="preserve"> Information in t</w:t>
      </w:r>
      <w:r w:rsidR="002759E8">
        <w:t>his field cannot be deleted, but it can be replaced by another Charge Location.</w:t>
      </w:r>
    </w:p>
    <w:p w14:paraId="3E530FCC" w14:textId="77777777" w:rsidR="00676F13" w:rsidRDefault="00676F13" w:rsidP="00676F13">
      <w:pPr>
        <w:pStyle w:val="BodyText"/>
      </w:pPr>
    </w:p>
    <w:sectPr w:rsidR="00676F1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92C3" w14:textId="77777777" w:rsidR="00754389" w:rsidRDefault="00754389">
      <w:r>
        <w:separator/>
      </w:r>
    </w:p>
  </w:endnote>
  <w:endnote w:type="continuationSeparator" w:id="0">
    <w:p w14:paraId="0EF5D9E2" w14:textId="77777777" w:rsidR="00754389" w:rsidRDefault="0075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6ABA" w14:textId="77777777" w:rsidR="00A07DD0" w:rsidRDefault="00A07DD0" w:rsidP="00EA610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715">
      <w:rPr>
        <w:rStyle w:val="PageNumber"/>
        <w:noProof/>
      </w:rPr>
      <w:t>iv</w:t>
    </w:r>
    <w:r>
      <w:rPr>
        <w:rStyle w:val="PageNumber"/>
      </w:rPr>
      <w:fldChar w:fldCharType="end"/>
    </w:r>
    <w:r>
      <w:tab/>
      <w:t>Outpatient Pharmacy</w:t>
    </w:r>
    <w:r>
      <w:tab/>
      <w:t>September 2006</w:t>
    </w:r>
  </w:p>
  <w:p w14:paraId="53670AC8" w14:textId="77777777" w:rsidR="00A07DD0" w:rsidRDefault="00A07DD0" w:rsidP="00FA0A62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331570C0" w14:textId="77777777" w:rsidR="00A07DD0" w:rsidRPr="00FA0A62" w:rsidRDefault="00A07DD0" w:rsidP="00FA0A62">
    <w:pPr>
      <w:pStyle w:val="Footer"/>
    </w:pPr>
    <w:r>
      <w:rPr>
        <w:rStyle w:val="PageNumber"/>
      </w:rPr>
      <w:tab/>
      <w:t>PSO*7*201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190F" w14:textId="77777777" w:rsidR="00A07DD0" w:rsidRDefault="00A07DD0" w:rsidP="00EA610B">
    <w:pPr>
      <w:pStyle w:val="Footer"/>
      <w:rPr>
        <w:rStyle w:val="PageNumber"/>
      </w:rPr>
    </w:pPr>
    <w:r>
      <w:t>September 2006</w:t>
    </w:r>
    <w:r>
      <w:tab/>
    </w:r>
    <w:bookmarkStart w:id="0" w:name="OLE_LINK3"/>
    <w:bookmarkStart w:id="1" w:name="OLE_LINK4"/>
    <w:r>
      <w:t>Outpatient Pharmacy</w:t>
    </w:r>
    <w:bookmarkEnd w:id="0"/>
    <w:bookmarkEnd w:id="1"/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715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6C610FF1" w14:textId="77777777" w:rsidR="00A07DD0" w:rsidRDefault="00A07DD0" w:rsidP="00A55DCC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62AD72EE" w14:textId="77777777" w:rsidR="00A07DD0" w:rsidRDefault="00A07DD0" w:rsidP="00E40816">
    <w:pPr>
      <w:pStyle w:val="Footer"/>
    </w:pPr>
    <w:r>
      <w:rPr>
        <w:rStyle w:val="PageNumber"/>
      </w:rPr>
      <w:tab/>
      <w:t>PSO*7*201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F0CC" w14:textId="77777777" w:rsidR="00A07DD0" w:rsidRDefault="00A07DD0" w:rsidP="00EA610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715">
      <w:rPr>
        <w:rStyle w:val="PageNumber"/>
        <w:noProof/>
      </w:rPr>
      <w:t>4</w:t>
    </w:r>
    <w:r>
      <w:rPr>
        <w:rStyle w:val="PageNumber"/>
      </w:rPr>
      <w:fldChar w:fldCharType="end"/>
    </w:r>
    <w:r>
      <w:tab/>
      <w:t>Outpatient Pharmacy</w:t>
    </w:r>
    <w:r>
      <w:tab/>
      <w:t>September 2006</w:t>
    </w:r>
  </w:p>
  <w:p w14:paraId="055C9090" w14:textId="77777777" w:rsidR="00A07DD0" w:rsidRDefault="00A07DD0" w:rsidP="00FA0A62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4B229E9B" w14:textId="77777777" w:rsidR="00A07DD0" w:rsidRPr="00FA0A62" w:rsidRDefault="00A07DD0" w:rsidP="00FA0A62">
    <w:pPr>
      <w:pStyle w:val="Footer"/>
    </w:pPr>
    <w:r>
      <w:rPr>
        <w:rStyle w:val="PageNumber"/>
      </w:rPr>
      <w:tab/>
      <w:t>PSO*7*201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8087" w14:textId="77777777" w:rsidR="00A07DD0" w:rsidRDefault="00A07DD0" w:rsidP="00EA610B">
    <w:pPr>
      <w:pStyle w:val="Footer"/>
      <w:rPr>
        <w:rStyle w:val="PageNumber"/>
      </w:rPr>
    </w:pPr>
    <w:r>
      <w:t>September 2006</w:t>
    </w:r>
    <w:r>
      <w:tab/>
      <w:t>Outpatient Pharmacy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71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40E8500" w14:textId="77777777" w:rsidR="00A07DD0" w:rsidRDefault="00A07DD0" w:rsidP="00A55DCC">
    <w:pPr>
      <w:pStyle w:val="Footer"/>
      <w:tabs>
        <w:tab w:val="clear" w:pos="4320"/>
        <w:tab w:val="center" w:pos="4680"/>
      </w:tabs>
      <w:jc w:val="center"/>
      <w:rPr>
        <w:rStyle w:val="PageNumber"/>
      </w:rPr>
    </w:pPr>
    <w:r>
      <w:t>Release Notes</w:t>
    </w:r>
  </w:p>
  <w:p w14:paraId="0C110F32" w14:textId="77777777" w:rsidR="00A07DD0" w:rsidRDefault="00A07DD0" w:rsidP="00E40816">
    <w:pPr>
      <w:pStyle w:val="Footer"/>
    </w:pPr>
    <w:r>
      <w:rPr>
        <w:rStyle w:val="PageNumber"/>
      </w:rPr>
      <w:tab/>
      <w:t>PSO*7*201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3C21" w14:textId="77777777" w:rsidR="00754389" w:rsidRDefault="00754389">
      <w:r>
        <w:separator/>
      </w:r>
    </w:p>
  </w:footnote>
  <w:footnote w:type="continuationSeparator" w:id="0">
    <w:p w14:paraId="68E78778" w14:textId="77777777" w:rsidR="00754389" w:rsidRDefault="0075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0F440A6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4AE6E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A56E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FFCD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38244AD6"/>
    <w:lvl w:ilvl="0">
      <w:start w:val="1"/>
      <w:numFmt w:val="decimal"/>
      <w:lvlText w:val="%1."/>
      <w:legacy w:legacy="1" w:legacySpace="504" w:legacyIndent="792"/>
      <w:lvlJc w:val="right"/>
      <w:pPr>
        <w:ind w:left="792" w:hanging="792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08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1710" w:hanging="7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423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2970" w:hanging="720"/>
      </w:pPr>
      <w:rPr>
        <w:i w:val="0"/>
        <w:sz w:val="20"/>
        <w:szCs w:val="20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252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288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3240" w:hanging="72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766399"/>
    <w:multiLevelType w:val="hybridMultilevel"/>
    <w:tmpl w:val="DE2E49FA"/>
    <w:lvl w:ilvl="0" w:tplc="3CC26CC2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A3398"/>
    <w:multiLevelType w:val="hybridMultilevel"/>
    <w:tmpl w:val="0DE2DBFA"/>
    <w:lvl w:ilvl="0" w:tplc="54CA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B1278"/>
    <w:multiLevelType w:val="hybridMultilevel"/>
    <w:tmpl w:val="836673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A2105E"/>
    <w:multiLevelType w:val="hybridMultilevel"/>
    <w:tmpl w:val="1FD0C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36E93"/>
    <w:multiLevelType w:val="multilevel"/>
    <w:tmpl w:val="61E4B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1" w15:restartNumberingAfterBreak="0">
    <w:nsid w:val="0FDC273B"/>
    <w:multiLevelType w:val="hybridMultilevel"/>
    <w:tmpl w:val="86BEAB1C"/>
    <w:lvl w:ilvl="0" w:tplc="9B9E7AE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E556F"/>
    <w:multiLevelType w:val="multilevel"/>
    <w:tmpl w:val="B09E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66D93"/>
    <w:multiLevelType w:val="multilevel"/>
    <w:tmpl w:val="43B4ABD0"/>
    <w:lvl w:ilvl="0">
      <w:start w:val="1"/>
      <w:numFmt w:val="decimal"/>
      <w:lvlText w:val="%1."/>
      <w:lvlJc w:val="right"/>
      <w:pPr>
        <w:tabs>
          <w:tab w:val="num" w:pos="0"/>
        </w:tabs>
        <w:ind w:left="88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4" w15:restartNumberingAfterBreak="0">
    <w:nsid w:val="1F52543F"/>
    <w:multiLevelType w:val="hybridMultilevel"/>
    <w:tmpl w:val="FB0ECD3A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662A"/>
    <w:multiLevelType w:val="multilevel"/>
    <w:tmpl w:val="3C027822"/>
    <w:lvl w:ilvl="0">
      <w:start w:val="1"/>
      <w:numFmt w:val="decimal"/>
      <w:lvlText w:val="%1."/>
      <w:lvlJc w:val="right"/>
      <w:pPr>
        <w:tabs>
          <w:tab w:val="num" w:pos="0"/>
        </w:tabs>
        <w:ind w:left="88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008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6" w15:restartNumberingAfterBreak="0">
    <w:nsid w:val="234D6EBA"/>
    <w:multiLevelType w:val="multilevel"/>
    <w:tmpl w:val="61E4BF9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pStyle w:val="StyleHeading4NotBold1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7" w15:restartNumberingAfterBreak="0">
    <w:nsid w:val="3A2C593A"/>
    <w:multiLevelType w:val="multilevel"/>
    <w:tmpl w:val="43B4ABD0"/>
    <w:lvl w:ilvl="0">
      <w:start w:val="1"/>
      <w:numFmt w:val="decimal"/>
      <w:lvlText w:val="%1."/>
      <w:lvlJc w:val="right"/>
      <w:pPr>
        <w:tabs>
          <w:tab w:val="num" w:pos="0"/>
        </w:tabs>
        <w:ind w:left="88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18" w15:restartNumberingAfterBreak="0">
    <w:nsid w:val="3BDD3AE7"/>
    <w:multiLevelType w:val="hybridMultilevel"/>
    <w:tmpl w:val="131C96F0"/>
    <w:lvl w:ilvl="0" w:tplc="54CA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876F4"/>
    <w:multiLevelType w:val="hybridMultilevel"/>
    <w:tmpl w:val="84B46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2F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05E7945"/>
    <w:multiLevelType w:val="multilevel"/>
    <w:tmpl w:val="496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C2A01"/>
    <w:multiLevelType w:val="hybridMultilevel"/>
    <w:tmpl w:val="480C41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74A7785"/>
    <w:multiLevelType w:val="hybridMultilevel"/>
    <w:tmpl w:val="3D681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C138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902EF"/>
    <w:multiLevelType w:val="hybridMultilevel"/>
    <w:tmpl w:val="5CA451BC"/>
    <w:lvl w:ilvl="0" w:tplc="54CA3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40120"/>
    <w:multiLevelType w:val="multilevel"/>
    <w:tmpl w:val="31968E8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720"/>
      </w:pPr>
      <w:rPr>
        <w:rFonts w:hint="default"/>
      </w:rPr>
    </w:lvl>
  </w:abstractNum>
  <w:abstractNum w:abstractNumId="26" w15:restartNumberingAfterBreak="0">
    <w:nsid w:val="6A644F4E"/>
    <w:multiLevelType w:val="multilevel"/>
    <w:tmpl w:val="6764CC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6CD2"/>
    <w:multiLevelType w:val="hybridMultilevel"/>
    <w:tmpl w:val="B2B6A1E0"/>
    <w:lvl w:ilvl="0" w:tplc="64DC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6994"/>
    <w:multiLevelType w:val="hybridMultilevel"/>
    <w:tmpl w:val="1F1A8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F6DB4"/>
    <w:multiLevelType w:val="hybridMultilevel"/>
    <w:tmpl w:val="A5D2EB60"/>
    <w:lvl w:ilvl="0" w:tplc="22C08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EAE5076"/>
    <w:multiLevelType w:val="hybridMultilevel"/>
    <w:tmpl w:val="027EFE78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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48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30"/>
  </w:num>
  <w:num w:numId="9">
    <w:abstractNumId w:val="6"/>
  </w:num>
  <w:num w:numId="10">
    <w:abstractNumId w:val="4"/>
  </w:num>
  <w:num w:numId="11">
    <w:abstractNumId w:val="27"/>
  </w:num>
  <w:num w:numId="12">
    <w:abstractNumId w:val="23"/>
  </w:num>
  <w:num w:numId="13">
    <w:abstractNumId w:val="29"/>
  </w:num>
  <w:num w:numId="14">
    <w:abstractNumId w:val="22"/>
  </w:num>
  <w:num w:numId="15">
    <w:abstractNumId w:val="28"/>
  </w:num>
  <w:num w:numId="16">
    <w:abstractNumId w:val="19"/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3"/>
  </w:num>
  <w:num w:numId="22">
    <w:abstractNumId w:val="17"/>
  </w:num>
  <w:num w:numId="23">
    <w:abstractNumId w:val="25"/>
  </w:num>
  <w:num w:numId="24">
    <w:abstractNumId w:val="10"/>
  </w:num>
  <w:num w:numId="25">
    <w:abstractNumId w:val="18"/>
  </w:num>
  <w:num w:numId="26">
    <w:abstractNumId w:val="16"/>
  </w:num>
  <w:num w:numId="27">
    <w:abstractNumId w:val="16"/>
  </w:num>
  <w:num w:numId="28">
    <w:abstractNumId w:val="6"/>
  </w:num>
  <w:num w:numId="29">
    <w:abstractNumId w:val="7"/>
  </w:num>
  <w:num w:numId="30">
    <w:abstractNumId w:val="24"/>
  </w:num>
  <w:num w:numId="31">
    <w:abstractNumId w:val="21"/>
  </w:num>
  <w:num w:numId="32">
    <w:abstractNumId w:val="20"/>
  </w:num>
  <w:num w:numId="33">
    <w:abstractNumId w:val="11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08"/>
    <w:rsid w:val="000071AE"/>
    <w:rsid w:val="000147C7"/>
    <w:rsid w:val="00030D29"/>
    <w:rsid w:val="00032C06"/>
    <w:rsid w:val="00051574"/>
    <w:rsid w:val="000600E5"/>
    <w:rsid w:val="00061AD7"/>
    <w:rsid w:val="000625DC"/>
    <w:rsid w:val="00065BE6"/>
    <w:rsid w:val="00082D2C"/>
    <w:rsid w:val="0009400B"/>
    <w:rsid w:val="00096C4E"/>
    <w:rsid w:val="00096E73"/>
    <w:rsid w:val="000A03E9"/>
    <w:rsid w:val="000A236E"/>
    <w:rsid w:val="000B0ABD"/>
    <w:rsid w:val="000B7EEA"/>
    <w:rsid w:val="000C63C0"/>
    <w:rsid w:val="000D1042"/>
    <w:rsid w:val="000D3D9F"/>
    <w:rsid w:val="000E2CB7"/>
    <w:rsid w:val="000E3211"/>
    <w:rsid w:val="000E6260"/>
    <w:rsid w:val="000F4266"/>
    <w:rsid w:val="00116CF0"/>
    <w:rsid w:val="001355C1"/>
    <w:rsid w:val="00136DD6"/>
    <w:rsid w:val="001472C4"/>
    <w:rsid w:val="00147E0C"/>
    <w:rsid w:val="001500AA"/>
    <w:rsid w:val="0015438B"/>
    <w:rsid w:val="0016001F"/>
    <w:rsid w:val="001606B5"/>
    <w:rsid w:val="00172FFF"/>
    <w:rsid w:val="00196138"/>
    <w:rsid w:val="00196C98"/>
    <w:rsid w:val="001A16E0"/>
    <w:rsid w:val="001A6C64"/>
    <w:rsid w:val="001B0844"/>
    <w:rsid w:val="001C31FE"/>
    <w:rsid w:val="001C520E"/>
    <w:rsid w:val="00203908"/>
    <w:rsid w:val="00207FED"/>
    <w:rsid w:val="00214FD3"/>
    <w:rsid w:val="00227C40"/>
    <w:rsid w:val="00235F99"/>
    <w:rsid w:val="00236A12"/>
    <w:rsid w:val="00246EFB"/>
    <w:rsid w:val="00251BAA"/>
    <w:rsid w:val="0026263A"/>
    <w:rsid w:val="00262BDB"/>
    <w:rsid w:val="002643A7"/>
    <w:rsid w:val="00266A2A"/>
    <w:rsid w:val="002731AF"/>
    <w:rsid w:val="002742E2"/>
    <w:rsid w:val="00274A65"/>
    <w:rsid w:val="002759E8"/>
    <w:rsid w:val="00277ABF"/>
    <w:rsid w:val="00283935"/>
    <w:rsid w:val="0028656F"/>
    <w:rsid w:val="00294DC3"/>
    <w:rsid w:val="002B2F54"/>
    <w:rsid w:val="002C149F"/>
    <w:rsid w:val="002C2559"/>
    <w:rsid w:val="002C4D3E"/>
    <w:rsid w:val="002D13F5"/>
    <w:rsid w:val="002D334A"/>
    <w:rsid w:val="002E1E70"/>
    <w:rsid w:val="002E518A"/>
    <w:rsid w:val="002E670C"/>
    <w:rsid w:val="002F10FF"/>
    <w:rsid w:val="002F5196"/>
    <w:rsid w:val="003111B8"/>
    <w:rsid w:val="00315EEA"/>
    <w:rsid w:val="00320BC8"/>
    <w:rsid w:val="0032185D"/>
    <w:rsid w:val="0032280D"/>
    <w:rsid w:val="00323431"/>
    <w:rsid w:val="00325C30"/>
    <w:rsid w:val="00331998"/>
    <w:rsid w:val="003449B0"/>
    <w:rsid w:val="00346653"/>
    <w:rsid w:val="00357D9D"/>
    <w:rsid w:val="00371968"/>
    <w:rsid w:val="00380AA0"/>
    <w:rsid w:val="00382FD5"/>
    <w:rsid w:val="003A6748"/>
    <w:rsid w:val="003B3BD3"/>
    <w:rsid w:val="003B7522"/>
    <w:rsid w:val="003C2E77"/>
    <w:rsid w:val="003D32AF"/>
    <w:rsid w:val="003F1B46"/>
    <w:rsid w:val="003F699E"/>
    <w:rsid w:val="00400392"/>
    <w:rsid w:val="0040352B"/>
    <w:rsid w:val="004055CE"/>
    <w:rsid w:val="00405E24"/>
    <w:rsid w:val="004111F7"/>
    <w:rsid w:val="004128D1"/>
    <w:rsid w:val="00413A00"/>
    <w:rsid w:val="00424D72"/>
    <w:rsid w:val="00435B63"/>
    <w:rsid w:val="0043687E"/>
    <w:rsid w:val="00452610"/>
    <w:rsid w:val="004548B1"/>
    <w:rsid w:val="00457E1C"/>
    <w:rsid w:val="00475865"/>
    <w:rsid w:val="0047777F"/>
    <w:rsid w:val="00483696"/>
    <w:rsid w:val="00484840"/>
    <w:rsid w:val="00495ABD"/>
    <w:rsid w:val="00497A3C"/>
    <w:rsid w:val="004A0035"/>
    <w:rsid w:val="004A3464"/>
    <w:rsid w:val="004A6865"/>
    <w:rsid w:val="004A6E69"/>
    <w:rsid w:val="004D28F1"/>
    <w:rsid w:val="004D4F3D"/>
    <w:rsid w:val="004D6723"/>
    <w:rsid w:val="004E07B3"/>
    <w:rsid w:val="004F130B"/>
    <w:rsid w:val="00500001"/>
    <w:rsid w:val="00523194"/>
    <w:rsid w:val="00524A46"/>
    <w:rsid w:val="0053093F"/>
    <w:rsid w:val="00537D9B"/>
    <w:rsid w:val="005434C6"/>
    <w:rsid w:val="005519C4"/>
    <w:rsid w:val="0055292F"/>
    <w:rsid w:val="00561963"/>
    <w:rsid w:val="00561D44"/>
    <w:rsid w:val="005627B9"/>
    <w:rsid w:val="0056379E"/>
    <w:rsid w:val="00564ACE"/>
    <w:rsid w:val="00596C55"/>
    <w:rsid w:val="005B2959"/>
    <w:rsid w:val="005D451D"/>
    <w:rsid w:val="005D7AEB"/>
    <w:rsid w:val="005E0790"/>
    <w:rsid w:val="005E557C"/>
    <w:rsid w:val="005E6042"/>
    <w:rsid w:val="005F171D"/>
    <w:rsid w:val="005F3598"/>
    <w:rsid w:val="005F7656"/>
    <w:rsid w:val="00614476"/>
    <w:rsid w:val="00617027"/>
    <w:rsid w:val="00624885"/>
    <w:rsid w:val="00636410"/>
    <w:rsid w:val="00637254"/>
    <w:rsid w:val="006415F8"/>
    <w:rsid w:val="00645041"/>
    <w:rsid w:val="00646F73"/>
    <w:rsid w:val="006473B5"/>
    <w:rsid w:val="00651C39"/>
    <w:rsid w:val="00654D83"/>
    <w:rsid w:val="00654FD1"/>
    <w:rsid w:val="00655162"/>
    <w:rsid w:val="00676F13"/>
    <w:rsid w:val="00681FCB"/>
    <w:rsid w:val="00690522"/>
    <w:rsid w:val="006A0127"/>
    <w:rsid w:val="006B1FB4"/>
    <w:rsid w:val="006B2729"/>
    <w:rsid w:val="006B560D"/>
    <w:rsid w:val="006B6AB0"/>
    <w:rsid w:val="006C5BC3"/>
    <w:rsid w:val="006C6715"/>
    <w:rsid w:val="006D5703"/>
    <w:rsid w:val="006F3067"/>
    <w:rsid w:val="006F4005"/>
    <w:rsid w:val="007015AC"/>
    <w:rsid w:val="00705E02"/>
    <w:rsid w:val="00707A5E"/>
    <w:rsid w:val="007141CC"/>
    <w:rsid w:val="007148A7"/>
    <w:rsid w:val="00725AFF"/>
    <w:rsid w:val="00732DFC"/>
    <w:rsid w:val="00742BBD"/>
    <w:rsid w:val="00754389"/>
    <w:rsid w:val="00754894"/>
    <w:rsid w:val="007634FA"/>
    <w:rsid w:val="00763AC1"/>
    <w:rsid w:val="00770530"/>
    <w:rsid w:val="00771FD9"/>
    <w:rsid w:val="007A3969"/>
    <w:rsid w:val="007A4A77"/>
    <w:rsid w:val="007A6215"/>
    <w:rsid w:val="007A70D0"/>
    <w:rsid w:val="007B1322"/>
    <w:rsid w:val="007B6CAE"/>
    <w:rsid w:val="007B719D"/>
    <w:rsid w:val="007C11DD"/>
    <w:rsid w:val="007C4756"/>
    <w:rsid w:val="007C4D3E"/>
    <w:rsid w:val="007C6DE5"/>
    <w:rsid w:val="007D12D5"/>
    <w:rsid w:val="007E69FB"/>
    <w:rsid w:val="007E7087"/>
    <w:rsid w:val="00802B68"/>
    <w:rsid w:val="00813B06"/>
    <w:rsid w:val="00815760"/>
    <w:rsid w:val="00831BC9"/>
    <w:rsid w:val="00832563"/>
    <w:rsid w:val="00832732"/>
    <w:rsid w:val="00833CE1"/>
    <w:rsid w:val="0083589A"/>
    <w:rsid w:val="00843CB1"/>
    <w:rsid w:val="00845581"/>
    <w:rsid w:val="00846C01"/>
    <w:rsid w:val="00852707"/>
    <w:rsid w:val="0085585A"/>
    <w:rsid w:val="00857112"/>
    <w:rsid w:val="00862283"/>
    <w:rsid w:val="00871259"/>
    <w:rsid w:val="00871524"/>
    <w:rsid w:val="00880DA1"/>
    <w:rsid w:val="008821F2"/>
    <w:rsid w:val="00884938"/>
    <w:rsid w:val="008A086D"/>
    <w:rsid w:val="008A0F8D"/>
    <w:rsid w:val="008A7788"/>
    <w:rsid w:val="008D0F95"/>
    <w:rsid w:val="008D31FD"/>
    <w:rsid w:val="008D5AB2"/>
    <w:rsid w:val="008E0229"/>
    <w:rsid w:val="008F07D2"/>
    <w:rsid w:val="008F3AEC"/>
    <w:rsid w:val="008F7DD3"/>
    <w:rsid w:val="009003B5"/>
    <w:rsid w:val="00903CBF"/>
    <w:rsid w:val="009077E2"/>
    <w:rsid w:val="00907D46"/>
    <w:rsid w:val="00921F20"/>
    <w:rsid w:val="00926ECB"/>
    <w:rsid w:val="00927D45"/>
    <w:rsid w:val="0093522F"/>
    <w:rsid w:val="00941716"/>
    <w:rsid w:val="0094664F"/>
    <w:rsid w:val="00954F84"/>
    <w:rsid w:val="00961471"/>
    <w:rsid w:val="00971B9D"/>
    <w:rsid w:val="009730F5"/>
    <w:rsid w:val="00973E52"/>
    <w:rsid w:val="009867B3"/>
    <w:rsid w:val="00987698"/>
    <w:rsid w:val="009946E8"/>
    <w:rsid w:val="00994D6E"/>
    <w:rsid w:val="0099675B"/>
    <w:rsid w:val="009967AF"/>
    <w:rsid w:val="009A042D"/>
    <w:rsid w:val="009A27E1"/>
    <w:rsid w:val="009B0752"/>
    <w:rsid w:val="009B246D"/>
    <w:rsid w:val="009B5CDC"/>
    <w:rsid w:val="009B6CEB"/>
    <w:rsid w:val="009C1E8F"/>
    <w:rsid w:val="009D02C1"/>
    <w:rsid w:val="009D0C68"/>
    <w:rsid w:val="009F27D8"/>
    <w:rsid w:val="009F3079"/>
    <w:rsid w:val="00A03BE1"/>
    <w:rsid w:val="00A046BE"/>
    <w:rsid w:val="00A04D0B"/>
    <w:rsid w:val="00A063EA"/>
    <w:rsid w:val="00A0678D"/>
    <w:rsid w:val="00A06C90"/>
    <w:rsid w:val="00A06E01"/>
    <w:rsid w:val="00A07DD0"/>
    <w:rsid w:val="00A10E18"/>
    <w:rsid w:val="00A40E80"/>
    <w:rsid w:val="00A40F62"/>
    <w:rsid w:val="00A4318C"/>
    <w:rsid w:val="00A55DCC"/>
    <w:rsid w:val="00A64997"/>
    <w:rsid w:val="00A712FD"/>
    <w:rsid w:val="00A715C2"/>
    <w:rsid w:val="00A810AE"/>
    <w:rsid w:val="00A921FF"/>
    <w:rsid w:val="00A92C0D"/>
    <w:rsid w:val="00A95840"/>
    <w:rsid w:val="00AA74FF"/>
    <w:rsid w:val="00AB2AB7"/>
    <w:rsid w:val="00AB3130"/>
    <w:rsid w:val="00AC4487"/>
    <w:rsid w:val="00AC71C0"/>
    <w:rsid w:val="00AC7A0E"/>
    <w:rsid w:val="00AD274B"/>
    <w:rsid w:val="00AE4BF6"/>
    <w:rsid w:val="00AF3582"/>
    <w:rsid w:val="00AF5DA6"/>
    <w:rsid w:val="00B0312B"/>
    <w:rsid w:val="00B03A19"/>
    <w:rsid w:val="00B10D3D"/>
    <w:rsid w:val="00B11507"/>
    <w:rsid w:val="00B16239"/>
    <w:rsid w:val="00B1653A"/>
    <w:rsid w:val="00B269EE"/>
    <w:rsid w:val="00B3572A"/>
    <w:rsid w:val="00B37818"/>
    <w:rsid w:val="00B426D5"/>
    <w:rsid w:val="00B43745"/>
    <w:rsid w:val="00B45D32"/>
    <w:rsid w:val="00B627FD"/>
    <w:rsid w:val="00B777A7"/>
    <w:rsid w:val="00B95F46"/>
    <w:rsid w:val="00B96F76"/>
    <w:rsid w:val="00B979AF"/>
    <w:rsid w:val="00BA3FFE"/>
    <w:rsid w:val="00BA4C4C"/>
    <w:rsid w:val="00BB1B7B"/>
    <w:rsid w:val="00BC36F1"/>
    <w:rsid w:val="00BC78E4"/>
    <w:rsid w:val="00BD08F3"/>
    <w:rsid w:val="00BD0A83"/>
    <w:rsid w:val="00BD72F6"/>
    <w:rsid w:val="00BF0373"/>
    <w:rsid w:val="00C028D2"/>
    <w:rsid w:val="00C030E4"/>
    <w:rsid w:val="00C2228C"/>
    <w:rsid w:val="00C31262"/>
    <w:rsid w:val="00C3262C"/>
    <w:rsid w:val="00C33057"/>
    <w:rsid w:val="00C34727"/>
    <w:rsid w:val="00C4576C"/>
    <w:rsid w:val="00C521A4"/>
    <w:rsid w:val="00C57304"/>
    <w:rsid w:val="00C615C0"/>
    <w:rsid w:val="00C64D80"/>
    <w:rsid w:val="00C73C31"/>
    <w:rsid w:val="00C765C0"/>
    <w:rsid w:val="00CA4993"/>
    <w:rsid w:val="00CB594E"/>
    <w:rsid w:val="00CB6CBA"/>
    <w:rsid w:val="00CC102C"/>
    <w:rsid w:val="00CC5188"/>
    <w:rsid w:val="00CD25FA"/>
    <w:rsid w:val="00CD4322"/>
    <w:rsid w:val="00CE696D"/>
    <w:rsid w:val="00CF31D8"/>
    <w:rsid w:val="00CF776E"/>
    <w:rsid w:val="00D0622A"/>
    <w:rsid w:val="00D12E60"/>
    <w:rsid w:val="00D1347E"/>
    <w:rsid w:val="00D2410E"/>
    <w:rsid w:val="00D32B19"/>
    <w:rsid w:val="00D334B3"/>
    <w:rsid w:val="00D3419D"/>
    <w:rsid w:val="00D479D8"/>
    <w:rsid w:val="00D56E6C"/>
    <w:rsid w:val="00D61E63"/>
    <w:rsid w:val="00D636D6"/>
    <w:rsid w:val="00D67689"/>
    <w:rsid w:val="00D67F86"/>
    <w:rsid w:val="00D76EB7"/>
    <w:rsid w:val="00D770F4"/>
    <w:rsid w:val="00D96979"/>
    <w:rsid w:val="00D97B7B"/>
    <w:rsid w:val="00D97E3A"/>
    <w:rsid w:val="00DA3E98"/>
    <w:rsid w:val="00DA6D05"/>
    <w:rsid w:val="00DB47C2"/>
    <w:rsid w:val="00DB4B10"/>
    <w:rsid w:val="00DC2A8C"/>
    <w:rsid w:val="00DC2FA3"/>
    <w:rsid w:val="00DD308A"/>
    <w:rsid w:val="00DD7C44"/>
    <w:rsid w:val="00DE13BA"/>
    <w:rsid w:val="00DE7281"/>
    <w:rsid w:val="00DE7C5E"/>
    <w:rsid w:val="00DF2D7D"/>
    <w:rsid w:val="00DF5AD8"/>
    <w:rsid w:val="00E0271F"/>
    <w:rsid w:val="00E11EE1"/>
    <w:rsid w:val="00E16A21"/>
    <w:rsid w:val="00E20B99"/>
    <w:rsid w:val="00E20ED6"/>
    <w:rsid w:val="00E2217D"/>
    <w:rsid w:val="00E256F3"/>
    <w:rsid w:val="00E36CA8"/>
    <w:rsid w:val="00E40660"/>
    <w:rsid w:val="00E40816"/>
    <w:rsid w:val="00E44D79"/>
    <w:rsid w:val="00E46E7A"/>
    <w:rsid w:val="00E53EDF"/>
    <w:rsid w:val="00E54BE8"/>
    <w:rsid w:val="00E62F60"/>
    <w:rsid w:val="00E65B2A"/>
    <w:rsid w:val="00E6755A"/>
    <w:rsid w:val="00E72996"/>
    <w:rsid w:val="00E77AC4"/>
    <w:rsid w:val="00E84BAA"/>
    <w:rsid w:val="00E92089"/>
    <w:rsid w:val="00E92642"/>
    <w:rsid w:val="00E9333D"/>
    <w:rsid w:val="00E93E20"/>
    <w:rsid w:val="00E95C97"/>
    <w:rsid w:val="00EA6013"/>
    <w:rsid w:val="00EA610B"/>
    <w:rsid w:val="00EB75AC"/>
    <w:rsid w:val="00EC30EA"/>
    <w:rsid w:val="00ED49C9"/>
    <w:rsid w:val="00ED6FB7"/>
    <w:rsid w:val="00EE5CF3"/>
    <w:rsid w:val="00EF1494"/>
    <w:rsid w:val="00EF5A21"/>
    <w:rsid w:val="00EF5B65"/>
    <w:rsid w:val="00EF78AD"/>
    <w:rsid w:val="00F25C2C"/>
    <w:rsid w:val="00F359AA"/>
    <w:rsid w:val="00F43B1F"/>
    <w:rsid w:val="00F45187"/>
    <w:rsid w:val="00F523FC"/>
    <w:rsid w:val="00F54D1D"/>
    <w:rsid w:val="00F54D24"/>
    <w:rsid w:val="00F5757A"/>
    <w:rsid w:val="00F7122D"/>
    <w:rsid w:val="00F8355B"/>
    <w:rsid w:val="00F84A18"/>
    <w:rsid w:val="00F84DEB"/>
    <w:rsid w:val="00F86A45"/>
    <w:rsid w:val="00F86E92"/>
    <w:rsid w:val="00FA0A62"/>
    <w:rsid w:val="00FA2521"/>
    <w:rsid w:val="00FA267F"/>
    <w:rsid w:val="00FB23E2"/>
    <w:rsid w:val="00FC59F8"/>
    <w:rsid w:val="00FC5CC7"/>
    <w:rsid w:val="00FE3B49"/>
    <w:rsid w:val="00FE4F30"/>
    <w:rsid w:val="00FE7C0E"/>
    <w:rsid w:val="00FF2C6D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1">
      <v:stroke weight=".5pt"/>
    </o:shapedefaults>
    <o:shapelayout v:ext="edit">
      <o:idmap v:ext="edit" data="1"/>
    </o:shapelayout>
  </w:shapeDefaults>
  <w:decimalSymbol w:val="."/>
  <w:listSeparator w:val=","/>
  <w14:docId w14:val="431E5A11"/>
  <w15:chartTrackingRefBased/>
  <w15:docId w15:val="{77DF48F1-47F2-4C6D-9995-EB7F5EE1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BodyText"/>
    <w:autoRedefine/>
    <w:qFormat/>
    <w:rsid w:val="00763AC1"/>
    <w:pPr>
      <w:keepNext/>
      <w:pageBreakBefore/>
      <w:numPr>
        <w:numId w:val="19"/>
      </w:numPr>
      <w:spacing w:before="240" w:after="60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BodyText"/>
    <w:qFormat/>
    <w:rsid w:val="003C2E77"/>
    <w:pPr>
      <w:keepNext/>
      <w:numPr>
        <w:ilvl w:val="1"/>
        <w:numId w:val="19"/>
      </w:numPr>
      <w:spacing w:before="400" w:after="60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BodyText"/>
    <w:qFormat/>
    <w:rsid w:val="00B11507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BodyText"/>
    <w:autoRedefine/>
    <w:qFormat/>
    <w:rsid w:val="00B777A7"/>
    <w:pPr>
      <w:keepNext/>
      <w:spacing w:before="400" w:after="60"/>
      <w:outlineLvl w:val="3"/>
    </w:pPr>
    <w:rPr>
      <w:rFonts w:ascii="Arial" w:hAnsi="Arial"/>
      <w:b/>
      <w:sz w:val="24"/>
      <w:szCs w:val="36"/>
    </w:rPr>
  </w:style>
  <w:style w:type="paragraph" w:styleId="Heading5">
    <w:name w:val="heading 5"/>
    <w:basedOn w:val="Normal"/>
    <w:next w:val="Normal"/>
    <w:qFormat/>
    <w:rsid w:val="00614476"/>
    <w:pPr>
      <w:keepNext/>
      <w:spacing w:before="240"/>
      <w:outlineLvl w:val="4"/>
    </w:pPr>
    <w:rPr>
      <w:b/>
      <w:iCs/>
      <w:u w:val="single"/>
    </w:rPr>
  </w:style>
  <w:style w:type="paragraph" w:styleId="Heading6">
    <w:name w:val="heading 6"/>
    <w:basedOn w:val="Normal"/>
    <w:next w:val="Normal"/>
    <w:qFormat/>
    <w:rsid w:val="00B11507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qFormat/>
    <w:rsid w:val="00B11507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B11507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B11507"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pPr>
      <w:spacing w:before="60" w:after="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vHistory">
    <w:name w:val="RevHistory"/>
    <w:basedOn w:val="Normal"/>
    <w:pPr>
      <w:widowControl w:val="0"/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autoRedefine/>
    <w:qFormat/>
    <w:rsid w:val="00A92C0D"/>
    <w:pPr>
      <w:spacing w:before="240" w:after="60"/>
    </w:pPr>
    <w:rPr>
      <w:rFonts w:ascii="Arial" w:hAnsi="Arial" w:cs="Arial"/>
      <w:b/>
      <w:bCs/>
      <w:kern w:val="28"/>
      <w:sz w:val="36"/>
      <w:szCs w:val="36"/>
    </w:rPr>
  </w:style>
  <w:style w:type="paragraph" w:customStyle="1" w:styleId="Version">
    <w:name w:val="Version"/>
    <w:basedOn w:val="Title"/>
    <w:rsid w:val="00400392"/>
    <w:pPr>
      <w:spacing w:before="800"/>
    </w:pPr>
    <w:rPr>
      <w:b w:val="0"/>
      <w:bCs w:val="0"/>
      <w:caps/>
      <w:color w:val="00000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240"/>
    </w:pPr>
    <w:rPr>
      <w:b/>
      <w:bCs/>
      <w:caps/>
      <w:sz w:val="28"/>
    </w:rPr>
  </w:style>
  <w:style w:type="paragraph" w:customStyle="1" w:styleId="RevisionDate">
    <w:name w:val="RevisionDate"/>
    <w:basedOn w:val="RevHistory"/>
    <w:pPr>
      <w:spacing w:before="240"/>
      <w:jc w:val="center"/>
    </w:pPr>
    <w:rPr>
      <w:b w:val="0"/>
      <w:sz w:val="24"/>
    </w:rPr>
  </w:style>
  <w:style w:type="paragraph" w:styleId="TOC2">
    <w:name w:val="toc 2"/>
    <w:basedOn w:val="Normal"/>
    <w:next w:val="Normal"/>
    <w:autoRedefine/>
    <w:semiHidden/>
    <w:rsid w:val="00B03A19"/>
    <w:pPr>
      <w:tabs>
        <w:tab w:val="left" w:pos="1080"/>
        <w:tab w:val="right" w:leader="dot" w:pos="8640"/>
      </w:tabs>
      <w:spacing w:before="60" w:after="60"/>
      <w:ind w:left="540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40"/>
      </w:tabs>
      <w:ind w:left="446"/>
    </w:pPr>
    <w:rPr>
      <w:i/>
      <w:iCs/>
      <w:noProof/>
      <w:sz w:val="24"/>
    </w:rPr>
  </w:style>
  <w:style w:type="paragraph" w:styleId="TOC4">
    <w:name w:val="toc 4"/>
    <w:basedOn w:val="Normal"/>
    <w:next w:val="Normal"/>
    <w:autoRedefine/>
    <w:semiHidden/>
    <w:rsid w:val="00B03A19"/>
    <w:pPr>
      <w:tabs>
        <w:tab w:val="left" w:pos="1620"/>
        <w:tab w:val="right" w:leader="dot" w:pos="8630"/>
      </w:tabs>
      <w:ind w:left="1080"/>
    </w:pPr>
    <w:rPr>
      <w:noProof/>
    </w:rPr>
  </w:style>
  <w:style w:type="paragraph" w:styleId="TOC5">
    <w:name w:val="toc 5"/>
    <w:basedOn w:val="Normal"/>
    <w:next w:val="Normal"/>
    <w:autoRedefine/>
    <w:semiHidden/>
    <w:rsid w:val="00B03A19"/>
    <w:pPr>
      <w:tabs>
        <w:tab w:val="right" w:leader="dot" w:pos="8630"/>
      </w:tabs>
      <w:ind w:left="144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  <w:rPr>
      <w:iCs/>
    </w:rPr>
  </w:style>
  <w:style w:type="paragraph" w:styleId="ListContinue">
    <w:name w:val="List Continue"/>
    <w:basedOn w:val="Normal"/>
    <w:pPr>
      <w:spacing w:before="120"/>
      <w:ind w:left="360"/>
    </w:pPr>
  </w:style>
  <w:style w:type="paragraph" w:styleId="ListBullet">
    <w:name w:val="List Bullet"/>
    <w:basedOn w:val="Normal"/>
    <w:pPr>
      <w:numPr>
        <w:numId w:val="2"/>
      </w:numPr>
      <w:spacing w:before="120"/>
    </w:pPr>
  </w:style>
  <w:style w:type="paragraph" w:customStyle="1" w:styleId="Tabletext0">
    <w:name w:val="Tabletext"/>
    <w:basedOn w:val="Normal"/>
    <w:pPr>
      <w:keepLines/>
      <w:widowControl w:val="0"/>
      <w:spacing w:after="60" w:line="240" w:lineRule="atLeast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Cs w:val="21"/>
    </w:rPr>
  </w:style>
  <w:style w:type="paragraph" w:customStyle="1" w:styleId="InfoBlue">
    <w:name w:val="InfoBlue"/>
    <w:basedOn w:val="Normal"/>
    <w:next w:val="BodyText"/>
    <w:pPr>
      <w:spacing w:before="120"/>
    </w:pPr>
    <w:rPr>
      <w:i/>
      <w:iCs/>
      <w:color w:val="0000FF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szCs w:val="21"/>
    </w:rPr>
  </w:style>
  <w:style w:type="paragraph" w:styleId="IndexHeading">
    <w:name w:val="index heading"/>
    <w:basedOn w:val="Normal"/>
    <w:next w:val="Index1"/>
    <w:semiHidden/>
    <w:pPr>
      <w:spacing w:before="240" w:after="120"/>
    </w:pPr>
    <w:rPr>
      <w:b/>
      <w:bCs/>
      <w:szCs w:val="31"/>
    </w:rPr>
  </w:style>
  <w:style w:type="paragraph" w:styleId="ListBullet2">
    <w:name w:val="List Bullet 2"/>
    <w:basedOn w:val="Normal"/>
    <w:pPr>
      <w:numPr>
        <w:numId w:val="5"/>
      </w:numPr>
      <w:spacing w:before="120"/>
    </w:pPr>
  </w:style>
  <w:style w:type="paragraph" w:styleId="ListNumber">
    <w:name w:val="List Number"/>
    <w:basedOn w:val="Normal"/>
    <w:pPr>
      <w:numPr>
        <w:numId w:val="3"/>
      </w:numPr>
      <w:spacing w:before="120"/>
    </w:pPr>
  </w:style>
  <w:style w:type="paragraph" w:styleId="ListNumber2">
    <w:name w:val="List Number 2"/>
    <w:basedOn w:val="Normal"/>
    <w:pPr>
      <w:numPr>
        <w:numId w:val="4"/>
      </w:numPr>
      <w:spacing w:before="120"/>
    </w:pPr>
  </w:style>
  <w:style w:type="paragraph" w:styleId="BodyTextIndent">
    <w:name w:val="Body Text Indent"/>
    <w:basedOn w:val="Normal"/>
    <w:pPr>
      <w:spacing w:before="120"/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customStyle="1" w:styleId="Paragraph2">
    <w:name w:val="Paragraph2"/>
    <w:basedOn w:val="Normal"/>
    <w:pPr>
      <w:spacing w:before="80"/>
      <w:jc w:val="both"/>
    </w:pPr>
    <w:rPr>
      <w:sz w:val="20"/>
      <w:szCs w:val="20"/>
    </w:rPr>
  </w:style>
  <w:style w:type="paragraph" w:customStyle="1" w:styleId="Bullet1">
    <w:name w:val="Bullet1"/>
    <w:basedOn w:val="Normal"/>
    <w:link w:val="Bullet1CharChar"/>
    <w:rsid w:val="008A7788"/>
    <w:pPr>
      <w:numPr>
        <w:numId w:val="33"/>
      </w:numPr>
    </w:pPr>
  </w:style>
  <w:style w:type="paragraph" w:customStyle="1" w:styleId="Paragraph3">
    <w:name w:val="Paragraph3"/>
    <w:basedOn w:val="Normal"/>
    <w:link w:val="Paragraph3Char"/>
    <w:pPr>
      <w:spacing w:before="80"/>
      <w:ind w:left="360"/>
      <w:jc w:val="both"/>
    </w:pPr>
    <w:rPr>
      <w:sz w:val="20"/>
      <w:szCs w:val="20"/>
    </w:rPr>
  </w:style>
  <w:style w:type="character" w:customStyle="1" w:styleId="Paragraph3Char">
    <w:name w:val="Paragraph3 Char"/>
    <w:link w:val="Paragraph3"/>
    <w:rsid w:val="000625DC"/>
    <w:rPr>
      <w:lang w:val="en-US" w:eastAsia="en-US" w:bidi="ar-SA"/>
    </w:rPr>
  </w:style>
  <w:style w:type="paragraph" w:customStyle="1" w:styleId="Logo">
    <w:name w:val="Logo"/>
    <w:basedOn w:val="Normal"/>
    <w:rsid w:val="00207FED"/>
    <w:pPr>
      <w:widowControl w:val="0"/>
      <w:spacing w:after="3120"/>
      <w:jc w:val="center"/>
    </w:pPr>
    <w:rPr>
      <w:noProof/>
      <w:sz w:val="24"/>
      <w:szCs w:val="20"/>
    </w:rPr>
  </w:style>
  <w:style w:type="paragraph" w:styleId="BalloonText">
    <w:name w:val="Balloon Text"/>
    <w:basedOn w:val="Normal"/>
    <w:semiHidden/>
    <w:rsid w:val="001B08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F07D2"/>
    <w:rPr>
      <w:sz w:val="16"/>
      <w:szCs w:val="16"/>
    </w:rPr>
  </w:style>
  <w:style w:type="paragraph" w:styleId="CommentText">
    <w:name w:val="annotation text"/>
    <w:basedOn w:val="Normal"/>
    <w:semiHidden/>
    <w:rsid w:val="008F07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7D2"/>
    <w:rPr>
      <w:b/>
      <w:bCs/>
    </w:rPr>
  </w:style>
  <w:style w:type="character" w:customStyle="1" w:styleId="Bullet1CharChar">
    <w:name w:val="Bullet1 Char Char"/>
    <w:link w:val="Bullet1"/>
    <w:rsid w:val="008A7788"/>
    <w:rPr>
      <w:sz w:val="22"/>
      <w:szCs w:val="24"/>
      <w:lang w:val="en-US" w:eastAsia="en-US" w:bidi="ar-SA"/>
    </w:rPr>
  </w:style>
  <w:style w:type="character" w:styleId="FollowedHyperlink">
    <w:name w:val="FollowedHyperlink"/>
    <w:rsid w:val="000E6260"/>
    <w:rPr>
      <w:color w:val="800080"/>
      <w:u w:val="single"/>
    </w:rPr>
  </w:style>
  <w:style w:type="paragraph" w:customStyle="1" w:styleId="StyleHeading4NotBold1">
    <w:name w:val="Style Heading 4 + Not Bold1"/>
    <w:basedOn w:val="Normal"/>
    <w:rsid w:val="00B11507"/>
    <w:pPr>
      <w:numPr>
        <w:ilvl w:val="3"/>
        <w:numId w:val="19"/>
      </w:numPr>
    </w:pPr>
  </w:style>
  <w:style w:type="paragraph" w:customStyle="1" w:styleId="StyleTitle24ptNotBoldBefore30pt">
    <w:name w:val="Style Title + 24 pt Not Bold Before:  30 pt"/>
    <w:basedOn w:val="Title"/>
    <w:rsid w:val="00DF5AD8"/>
    <w:pPr>
      <w:spacing w:before="600"/>
    </w:pPr>
    <w:rPr>
      <w:rFonts w:cs="Times New Roman"/>
      <w:b w:val="0"/>
      <w:bCs w:val="0"/>
      <w:sz w:val="40"/>
      <w:szCs w:val="40"/>
    </w:rPr>
  </w:style>
  <w:style w:type="paragraph" w:customStyle="1" w:styleId="TableHeading">
    <w:name w:val="Table Heading"/>
    <w:basedOn w:val="BodyText"/>
    <w:rsid w:val="00D76EB7"/>
    <w:pPr>
      <w:spacing w:before="60" w:after="60"/>
    </w:pPr>
    <w:rPr>
      <w:rFonts w:ascii="Arial" w:hAnsi="Arial"/>
      <w:b/>
      <w:iCs w:val="0"/>
      <w:sz w:val="20"/>
    </w:rPr>
  </w:style>
  <w:style w:type="character" w:customStyle="1" w:styleId="TableTextChar">
    <w:name w:val="Table Text Char"/>
    <w:link w:val="TableText"/>
    <w:rsid w:val="00D76EB7"/>
    <w:rPr>
      <w:sz w:val="22"/>
      <w:lang w:val="en-US" w:eastAsia="en-US" w:bidi="ar-SA"/>
    </w:rPr>
  </w:style>
  <w:style w:type="table" w:styleId="TableGrid">
    <w:name w:val="Table Grid"/>
    <w:basedOn w:val="TableNormal"/>
    <w:rsid w:val="0094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2"/>
    <w:basedOn w:val="Bullet1"/>
    <w:rsid w:val="0032185D"/>
    <w:pPr>
      <w:numPr>
        <w:numId w:val="9"/>
      </w:numPr>
    </w:pPr>
  </w:style>
  <w:style w:type="paragraph" w:styleId="Date">
    <w:name w:val="Date"/>
    <w:basedOn w:val="Normal"/>
    <w:next w:val="Normal"/>
    <w:rsid w:val="00EA610B"/>
  </w:style>
  <w:style w:type="paragraph" w:styleId="DocumentMap">
    <w:name w:val="Document Map"/>
    <w:basedOn w:val="Normal"/>
    <w:semiHidden/>
    <w:rsid w:val="006C67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vista.med.va.gov/billreplac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EDS</Company>
  <LinksUpToDate>false</LinksUpToDate>
  <CharactersWithSpaces>10021</CharactersWithSpaces>
  <SharedDoc>false</SharedDoc>
  <HLinks>
    <vt:vector size="78" baseType="variant">
      <vt:variant>
        <vt:i4>5046288</vt:i4>
      </vt:variant>
      <vt:variant>
        <vt:i4>69</vt:i4>
      </vt:variant>
      <vt:variant>
        <vt:i4>0</vt:i4>
      </vt:variant>
      <vt:variant>
        <vt:i4>5</vt:i4>
      </vt:variant>
      <vt:variant>
        <vt:lpwstr>http://tspr.vista.med.va.gov/warboard/ProjectDocs/PFSS_Cleveland_Pilot_1B/PFSS_SDD_Outpatient_Pharmacy.doc</vt:lpwstr>
      </vt:variant>
      <vt:variant>
        <vt:lpwstr/>
      </vt:variant>
      <vt:variant>
        <vt:i4>7077927</vt:i4>
      </vt:variant>
      <vt:variant>
        <vt:i4>66</vt:i4>
      </vt:variant>
      <vt:variant>
        <vt:i4>0</vt:i4>
      </vt:variant>
      <vt:variant>
        <vt:i4>5</vt:i4>
      </vt:variant>
      <vt:variant>
        <vt:lpwstr>http://tspr.vista.med.va.gov/warboard/ProjectDocs/PFSS_Cleveland_Pilot_1B/PFSS_SRS_ADT_Bed_Control_PTF.doc</vt:lpwstr>
      </vt:variant>
      <vt:variant>
        <vt:lpwstr/>
      </vt:variant>
      <vt:variant>
        <vt:i4>1966089</vt:i4>
      </vt:variant>
      <vt:variant>
        <vt:i4>63</vt:i4>
      </vt:variant>
      <vt:variant>
        <vt:i4>0</vt:i4>
      </vt:variant>
      <vt:variant>
        <vt:i4>5</vt:i4>
      </vt:variant>
      <vt:variant>
        <vt:lpwstr>http://vista.med.va.gov/billreplace/</vt:lpwstr>
      </vt:variant>
      <vt:variant>
        <vt:lpwstr/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_Toc148862474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_Toc148862473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_Toc148862472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_Toc148862471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_Toc148862470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_Toc148862469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_Toc148862468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_Toc148862467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_Toc148862466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_Toc148862465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Department of Veterans Affairs</cp:lastModifiedBy>
  <cp:revision>3</cp:revision>
  <cp:lastPrinted>2005-10-28T22:10:00Z</cp:lastPrinted>
  <dcterms:created xsi:type="dcterms:W3CDTF">2021-07-22T12:46:00Z</dcterms:created>
  <dcterms:modified xsi:type="dcterms:W3CDTF">2021-07-22T12:47:00Z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-408672776</vt:i4>
  </property>
  <property fmtid="{D5CDD505-2E9C-101B-9397-08002B2CF9AE}" pid="4" name="_EmailSubject">
    <vt:lpwstr>Release Notes Outpatient Pharmacy/NDF/PDM</vt:lpwstr>
  </property>
  <property fmtid="{D5CDD505-2E9C-101B-9397-08002B2CF9AE}" pid="5" name="_AuthorEmail">
    <vt:lpwstr>Jennifer.Nemetz@med.va.gov</vt:lpwstr>
  </property>
  <property fmtid="{D5CDD505-2E9C-101B-9397-08002B2CF9AE}" pid="6" name="_AuthorEmailDisplayName">
    <vt:lpwstr>Nemetz, Jennifer (EDS)</vt:lpwstr>
  </property>
  <property fmtid="{D5CDD505-2E9C-101B-9397-08002B2CF9AE}" pid="7" name="_PreviousAdHocReviewCycleID">
    <vt:i4>-2054473690</vt:i4>
  </property>
  <property fmtid="{D5CDD505-2E9C-101B-9397-08002B2CF9AE}" pid="8" name="_ReviewingToolsShownOnce">
    <vt:lpwstr/>
  </property>
</Properties>
</file>