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653712F5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420E07">
        <w:t>1.7.27.1</w:t>
      </w:r>
      <w:r w:rsidR="00F049E7">
        <w:t xml:space="preserve"> </w:t>
      </w:r>
      <w:r w:rsidR="00FF6D35"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58034FC1" w:rsidR="00AE1DED" w:rsidRDefault="0066155B" w:rsidP="00AE1DED">
      <w:pPr>
        <w:pStyle w:val="PubDate"/>
      </w:pPr>
      <w:r>
        <w:t>Ju</w:t>
      </w:r>
      <w:r w:rsidR="009F4E5F">
        <w:t>ly</w:t>
      </w:r>
      <w:r w:rsidR="00D464D4">
        <w:t xml:space="preserve"> </w:t>
      </w:r>
      <w:r w:rsidR="00DF6B23">
        <w:t>202</w:t>
      </w:r>
      <w:r w:rsidR="00864380">
        <w:t>2</w:t>
      </w:r>
    </w:p>
    <w:p w14:paraId="6781BA67" w14:textId="102678EB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420E07">
        <w:t>1</w:t>
      </w:r>
      <w:r w:rsidR="009D16DC">
        <w:t>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742C39" w:rsidRPr="00AC0E30" w14:paraId="07DE406B" w14:textId="77777777" w:rsidTr="3E9AD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09B23802" w14:textId="72CDA937" w:rsidR="00742C39" w:rsidRPr="00AC0E30" w:rsidRDefault="009D16DC" w:rsidP="00AC0E30">
            <w:r w:rsidRPr="009D16DC">
              <w:t>Date</w:t>
            </w:r>
          </w:p>
        </w:tc>
        <w:tc>
          <w:tcPr>
            <w:tcW w:w="989" w:type="dxa"/>
          </w:tcPr>
          <w:p w14:paraId="151B6864" w14:textId="52A64F08" w:rsidR="00742C39" w:rsidRPr="00AC0E30" w:rsidRDefault="009D16DC" w:rsidP="00AC0E30">
            <w:r w:rsidRPr="009D16DC">
              <w:t>Version</w:t>
            </w:r>
          </w:p>
        </w:tc>
        <w:tc>
          <w:tcPr>
            <w:tcW w:w="5695" w:type="dxa"/>
          </w:tcPr>
          <w:p w14:paraId="578078A1" w14:textId="1B6D5E27" w:rsidR="00742C39" w:rsidRPr="00AC0E30" w:rsidRDefault="009D16DC" w:rsidP="00AC0E30">
            <w:r w:rsidRPr="009D16DC">
              <w:t>Description</w:t>
            </w:r>
          </w:p>
        </w:tc>
        <w:tc>
          <w:tcPr>
            <w:tcW w:w="1531" w:type="dxa"/>
          </w:tcPr>
          <w:p w14:paraId="76A08A15" w14:textId="44B935F7" w:rsidR="00742C39" w:rsidRPr="00AC0E30" w:rsidRDefault="009D16DC" w:rsidP="00AC0E30">
            <w:r w:rsidRPr="009D16DC">
              <w:t>Author</w:t>
            </w:r>
          </w:p>
        </w:tc>
      </w:tr>
      <w:tr w:rsidR="009D16DC" w:rsidRPr="00AC0E30" w14:paraId="573C1B80" w14:textId="77777777" w:rsidTr="3E9AD3C0">
        <w:tc>
          <w:tcPr>
            <w:tcW w:w="1320" w:type="dxa"/>
          </w:tcPr>
          <w:p w14:paraId="1573F3F7" w14:textId="21880809" w:rsidR="009D16DC" w:rsidRDefault="009D16DC" w:rsidP="009D16DC">
            <w:r w:rsidRPr="00197E74">
              <w:t>07/28/2-22</w:t>
            </w:r>
          </w:p>
        </w:tc>
        <w:tc>
          <w:tcPr>
            <w:tcW w:w="989" w:type="dxa"/>
          </w:tcPr>
          <w:p w14:paraId="1C631044" w14:textId="7AA918A2" w:rsidR="009D16DC" w:rsidRDefault="009D16DC" w:rsidP="009D16DC">
            <w:r w:rsidRPr="00197E74">
              <w:t>1.0</w:t>
            </w:r>
          </w:p>
        </w:tc>
        <w:tc>
          <w:tcPr>
            <w:tcW w:w="5695" w:type="dxa"/>
          </w:tcPr>
          <w:p w14:paraId="1F73C9C3" w14:textId="4422F71D" w:rsidR="009D16DC" w:rsidRDefault="009D16DC" w:rsidP="009D16DC">
            <w:r w:rsidRPr="00197E74">
              <w:t>Approved version</w:t>
            </w:r>
          </w:p>
        </w:tc>
        <w:tc>
          <w:tcPr>
            <w:tcW w:w="1531" w:type="dxa"/>
          </w:tcPr>
          <w:p w14:paraId="380FF523" w14:textId="0C6EDB8B" w:rsidR="009D16DC" w:rsidRDefault="009D16DC" w:rsidP="009D16DC">
            <w:r w:rsidRPr="00197E74">
              <w:t>Liberty ITS</w:t>
            </w:r>
          </w:p>
        </w:tc>
      </w:tr>
      <w:tr w:rsidR="00D9269D" w:rsidRPr="00AC0E30" w14:paraId="4ACF30A6" w14:textId="77777777" w:rsidTr="3E9AD3C0">
        <w:tc>
          <w:tcPr>
            <w:tcW w:w="1320" w:type="dxa"/>
          </w:tcPr>
          <w:p w14:paraId="43904D58" w14:textId="4AF33423" w:rsidR="00D9269D" w:rsidRPr="00AC0E30" w:rsidRDefault="00C3429A" w:rsidP="00D9269D">
            <w:r>
              <w:t>0</w:t>
            </w:r>
            <w:r w:rsidR="009F4E5F">
              <w:t>7</w:t>
            </w:r>
            <w:r w:rsidR="00865219">
              <w:t>/</w:t>
            </w:r>
            <w:r w:rsidR="00420E07">
              <w:t>25</w:t>
            </w:r>
            <w:r w:rsidR="00D9269D">
              <w:t>/202</w:t>
            </w:r>
            <w:r>
              <w:t>2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5" w:type="dxa"/>
          </w:tcPr>
          <w:p w14:paraId="59F1474D" w14:textId="47DDC73D" w:rsidR="00D9269D" w:rsidRPr="00AC0E30" w:rsidRDefault="00D9269D" w:rsidP="00D9269D">
            <w:r>
              <w:t xml:space="preserve">Baseline for VS GUI </w:t>
            </w:r>
            <w:r w:rsidR="00420E07">
              <w:t>1.7.27.1</w:t>
            </w:r>
            <w:r w:rsidR="00F049E7">
              <w:t xml:space="preserve"> </w:t>
            </w:r>
            <w:r>
              <w:t>and SD*5.3*</w:t>
            </w:r>
            <w:r w:rsidR="00420E07">
              <w:t>819</w:t>
            </w:r>
          </w:p>
        </w:tc>
        <w:tc>
          <w:tcPr>
            <w:tcW w:w="1531" w:type="dxa"/>
          </w:tcPr>
          <w:p w14:paraId="18493050" w14:textId="3CD3F57A" w:rsidR="00D9269D" w:rsidRPr="00AC0E30" w:rsidRDefault="009F4E5F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1282E91C" w14:textId="5AE68AD6" w:rsidR="000A453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04192912" w:history="1">
        <w:r w:rsidR="000A4537" w:rsidRPr="001F2617">
          <w:rPr>
            <w:rStyle w:val="Hyperlink"/>
          </w:rPr>
          <w:t>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Introduction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_Toc104192912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35A060" w14:textId="227A3035" w:rsidR="000A4537" w:rsidRDefault="009D16DC">
      <w:pPr>
        <w:pStyle w:val="TOC2"/>
        <w:rPr>
          <w:rFonts w:asciiTheme="minorHAnsi" w:hAnsiTheme="minorHAnsi"/>
          <w:b w:val="0"/>
          <w:sz w:val="22"/>
        </w:rPr>
      </w:pPr>
      <w:hyperlink w:anchor="_Toc104192913" w:history="1">
        <w:r w:rsidR="000A4537" w:rsidRPr="001F2617">
          <w:rPr>
            <w:rStyle w:val="Hyperlink"/>
          </w:rPr>
          <w:t>1.1.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Purpose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_Toc104192913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7B566E78" w14:textId="7FED8D8B" w:rsidR="000A4537" w:rsidRDefault="009D16DC">
      <w:pPr>
        <w:pStyle w:val="TOC2"/>
        <w:rPr>
          <w:rFonts w:asciiTheme="minorHAnsi" w:hAnsiTheme="minorHAnsi"/>
          <w:b w:val="0"/>
          <w:sz w:val="22"/>
        </w:rPr>
      </w:pPr>
      <w:hyperlink w:anchor="_Toc104192914" w:history="1">
        <w:r w:rsidR="000A4537" w:rsidRPr="001F2617">
          <w:rPr>
            <w:rStyle w:val="Hyperlink"/>
          </w:rPr>
          <w:t>1.2.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Audience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_Toc104192914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DD8EB81" w14:textId="637A94B8" w:rsidR="000A4537" w:rsidRDefault="009D16DC">
      <w:pPr>
        <w:pStyle w:val="TOC1"/>
        <w:rPr>
          <w:rFonts w:asciiTheme="minorHAnsi" w:hAnsiTheme="minorHAnsi"/>
          <w:b w:val="0"/>
          <w:sz w:val="22"/>
        </w:rPr>
      </w:pPr>
      <w:hyperlink w:anchor="_Toc104192915" w:history="1">
        <w:r w:rsidR="000A4537" w:rsidRPr="001F2617">
          <w:rPr>
            <w:rStyle w:val="Hyperlink"/>
          </w:rPr>
          <w:t>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This Release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_Toc104192915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5CF7BB8" w14:textId="2F11BD19" w:rsidR="000A4537" w:rsidRDefault="009D16DC">
      <w:pPr>
        <w:pStyle w:val="TOC1"/>
        <w:rPr>
          <w:rFonts w:asciiTheme="minorHAnsi" w:hAnsiTheme="minorHAnsi"/>
          <w:b w:val="0"/>
          <w:sz w:val="22"/>
        </w:rPr>
      </w:pPr>
      <w:hyperlink w:anchor="_Toc104192916" w:history="1">
        <w:r w:rsidR="000A4537" w:rsidRPr="001F2617">
          <w:rPr>
            <w:rStyle w:val="Hyperlink"/>
          </w:rPr>
          <w:t>3.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Features and Functionality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_Toc104192916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CA231A" w14:textId="729E49C4" w:rsidR="000A4537" w:rsidRDefault="009D16DC">
      <w:pPr>
        <w:pStyle w:val="TOC2"/>
        <w:rPr>
          <w:rFonts w:asciiTheme="minorHAnsi" w:hAnsiTheme="minorHAnsi"/>
          <w:b w:val="0"/>
          <w:sz w:val="22"/>
        </w:rPr>
      </w:pPr>
      <w:hyperlink w:anchor="_Toc104192917" w:history="1">
        <w:r w:rsidR="000A4537" w:rsidRPr="001F2617">
          <w:rPr>
            <w:rStyle w:val="Hyperlink"/>
          </w:rPr>
          <w:t>3.1.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Enhancements Implemented and Defects Fixes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_Toc104192917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CB16D71" w14:textId="4FF1EB27" w:rsidR="000A4537" w:rsidRDefault="009D16DC">
      <w:pPr>
        <w:pStyle w:val="TOC1"/>
        <w:rPr>
          <w:rFonts w:asciiTheme="minorHAnsi" w:hAnsiTheme="minorHAnsi"/>
          <w:b w:val="0"/>
          <w:sz w:val="22"/>
        </w:rPr>
      </w:pPr>
      <w:hyperlink w:anchor="_Toc104192918" w:history="1">
        <w:r w:rsidR="000A4537" w:rsidRPr="001F2617">
          <w:rPr>
            <w:rStyle w:val="Hyperlink"/>
          </w:rPr>
          <w:t>4.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User Documentation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_Toc104192918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DC06F73" w14:textId="14F0FB58" w:rsidR="000A4537" w:rsidRDefault="009D16DC">
      <w:pPr>
        <w:pStyle w:val="TOC1"/>
        <w:rPr>
          <w:rFonts w:asciiTheme="minorHAnsi" w:hAnsiTheme="minorHAnsi"/>
          <w:b w:val="0"/>
          <w:sz w:val="22"/>
        </w:rPr>
      </w:pPr>
      <w:hyperlink w:anchor="_Toc104192919" w:history="1">
        <w:r w:rsidR="000A4537" w:rsidRPr="001F2617">
          <w:rPr>
            <w:rStyle w:val="Hyperlink"/>
          </w:rPr>
          <w:t>5.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Known Issues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_Toc104192919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9A1A1EC" w14:textId="5A808217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C4F4695" w14:textId="071D2FFC" w:rsidR="000A453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04192920" w:history="1">
        <w:r w:rsidR="000A4537" w:rsidRPr="00AC5016">
          <w:rPr>
            <w:rStyle w:val="Hyperlink"/>
            <w:noProof/>
          </w:rPr>
          <w:t>Table 1: Enhancements and Defects Fixes</w:t>
        </w:r>
        <w:r w:rsidR="000A4537">
          <w:rPr>
            <w:noProof/>
            <w:webHidden/>
          </w:rPr>
          <w:tab/>
        </w:r>
        <w:r w:rsidR="000A4537">
          <w:rPr>
            <w:noProof/>
            <w:webHidden/>
          </w:rPr>
          <w:fldChar w:fldCharType="begin"/>
        </w:r>
        <w:r w:rsidR="000A4537">
          <w:rPr>
            <w:noProof/>
            <w:webHidden/>
          </w:rPr>
          <w:instrText xml:space="preserve"> PAGEREF _Toc104192920 \h </w:instrText>
        </w:r>
        <w:r w:rsidR="000A4537">
          <w:rPr>
            <w:noProof/>
            <w:webHidden/>
          </w:rPr>
        </w:r>
        <w:r w:rsidR="000A4537">
          <w:rPr>
            <w:noProof/>
            <w:webHidden/>
          </w:rPr>
          <w:fldChar w:fldCharType="separate"/>
        </w:r>
        <w:r w:rsidR="000A4537">
          <w:rPr>
            <w:noProof/>
            <w:webHidden/>
          </w:rPr>
          <w:t>1</w:t>
        </w:r>
        <w:r w:rsidR="000A4537">
          <w:rPr>
            <w:noProof/>
            <w:webHidden/>
          </w:rPr>
          <w:fldChar w:fldCharType="end"/>
        </w:r>
      </w:hyperlink>
    </w:p>
    <w:p w14:paraId="65B07266" w14:textId="0853B659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104192912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104192913"/>
      <w:r>
        <w:t>Purpose</w:t>
      </w:r>
      <w:bookmarkEnd w:id="1"/>
    </w:p>
    <w:p w14:paraId="2EB75ABE" w14:textId="0CEF1253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420E07">
        <w:t>1.7.27.1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4255A3BB" w:rsidR="003A7D7E" w:rsidRDefault="003A7D7E" w:rsidP="003A7D7E">
      <w:pPr>
        <w:pStyle w:val="ListBullet"/>
      </w:pPr>
      <w:r>
        <w:t xml:space="preserve">VS GUI application </w:t>
      </w:r>
      <w:r w:rsidR="00420E07">
        <w:t>1.7.27.1</w:t>
      </w:r>
    </w:p>
    <w:p w14:paraId="4F5C48A9" w14:textId="5A14BC4A" w:rsidR="001101F4" w:rsidRDefault="003A7D7E" w:rsidP="003A7D7E">
      <w:pPr>
        <w:pStyle w:val="ListBullet"/>
      </w:pPr>
      <w:r>
        <w:t>VistA M patch SD*5.3*</w:t>
      </w:r>
      <w:r w:rsidR="00420E07">
        <w:t>819</w:t>
      </w:r>
    </w:p>
    <w:p w14:paraId="225C47F9" w14:textId="77777777" w:rsidR="003A7D7E" w:rsidRDefault="003A7D7E" w:rsidP="003A7D7E">
      <w:pPr>
        <w:pStyle w:val="Heading2"/>
      </w:pPr>
      <w:bookmarkStart w:id="2" w:name="_Toc104192914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104192915"/>
      <w:r>
        <w:t>This Release</w:t>
      </w:r>
      <w:bookmarkEnd w:id="3"/>
    </w:p>
    <w:p w14:paraId="6D4251E1" w14:textId="4DFB91F7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420E07">
        <w:t>1.7.27.1</w:t>
      </w:r>
      <w:r w:rsidR="00EE3765">
        <w:t xml:space="preserve"> </w:t>
      </w:r>
      <w:r w:rsidR="00C31064">
        <w:t>and VistA patch SD*5.3*</w:t>
      </w:r>
      <w:r w:rsidR="00420E07">
        <w:t>819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104192916"/>
      <w:bookmarkEnd w:id="4"/>
      <w:r>
        <w:t>Features and Functionality</w:t>
      </w:r>
      <w:bookmarkEnd w:id="5"/>
    </w:p>
    <w:p w14:paraId="1782B980" w14:textId="0615DAEC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420E07">
        <w:t>1.7.27.1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420E07">
        <w:t>819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104192917"/>
      <w:r>
        <w:t>Enhancements Implemented</w:t>
      </w:r>
      <w:r w:rsidR="007D1EC0">
        <w:t xml:space="preserve"> and Defects Fixes</w:t>
      </w:r>
      <w:bookmarkEnd w:id="6"/>
    </w:p>
    <w:p w14:paraId="32C98AF2" w14:textId="42AD2D1D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420E07">
        <w:t>1.7.27.1</w:t>
      </w:r>
      <w:r w:rsidR="00DE1C18">
        <w:t>.</w:t>
      </w:r>
      <w:r w:rsidR="00C82C68">
        <w:t xml:space="preserve"> The work item ID is the Jira issue number.</w:t>
      </w:r>
    </w:p>
    <w:p w14:paraId="46A64AC5" w14:textId="7312A0CC" w:rsidR="001C1ACF" w:rsidRDefault="006627B0" w:rsidP="006627B0">
      <w:pPr>
        <w:pStyle w:val="Caption"/>
      </w:pPr>
      <w:bookmarkStart w:id="7" w:name="_Toc104192920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410036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3E9AD3C0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420E07" w:rsidRPr="005B41E8" w14:paraId="35A56252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9E36030" w14:textId="77777777" w:rsidR="00420E07" w:rsidRPr="00983749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VSE-2865</w:t>
            </w:r>
          </w:p>
        </w:tc>
        <w:tc>
          <w:tcPr>
            <w:tcW w:w="8010" w:type="dxa"/>
          </w:tcPr>
          <w:p w14:paraId="42EDBE2B" w14:textId="77777777" w:rsidR="00420E07" w:rsidRPr="00983749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SDES GET USRPROFILE missing security keys and menu options</w:t>
            </w:r>
          </w:p>
        </w:tc>
      </w:tr>
      <w:tr w:rsidR="00420E07" w:rsidRPr="005B41E8" w14:paraId="1C608088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4B9B071" w14:textId="77777777" w:rsidR="00420E07" w:rsidRPr="00983749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VSE-2869</w:t>
            </w:r>
          </w:p>
        </w:tc>
        <w:tc>
          <w:tcPr>
            <w:tcW w:w="8010" w:type="dxa"/>
          </w:tcPr>
          <w:p w14:paraId="02B2B1ED" w14:textId="77777777" w:rsidR="00420E07" w:rsidRPr="00983749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Vista Error Processing EAS Tracking Number</w:t>
            </w:r>
          </w:p>
        </w:tc>
      </w:tr>
      <w:tr w:rsidR="00420E07" w:rsidRPr="005B41E8" w14:paraId="462537D2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D2F9410" w14:textId="77777777" w:rsidR="00420E07" w:rsidRPr="00983749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VSE-3082</w:t>
            </w:r>
          </w:p>
        </w:tc>
        <w:tc>
          <w:tcPr>
            <w:tcW w:w="8010" w:type="dxa"/>
          </w:tcPr>
          <w:p w14:paraId="654FEC32" w14:textId="77777777" w:rsidR="00420E07" w:rsidRPr="00983749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Context Menu - 508 - Keyboard Navigation for Context Menu.</w:t>
            </w:r>
          </w:p>
        </w:tc>
      </w:tr>
      <w:tr w:rsidR="00E53B7F" w:rsidRPr="005B41E8" w14:paraId="4DBDC3E0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F8A0DB0" w14:textId="686452F5" w:rsidR="00E53B7F" w:rsidRPr="0068082C" w:rsidRDefault="00E53B7F" w:rsidP="0085539C">
            <w:pPr>
              <w:rPr>
                <w:rFonts w:ascii="Arial" w:hAnsi="Arial" w:cs="Times New Roman (Body CS)"/>
              </w:rPr>
            </w:pPr>
            <w:bookmarkStart w:id="8" w:name="_Hlk109821074"/>
            <w:r>
              <w:rPr>
                <w:rFonts w:ascii="Arial" w:hAnsi="Arial" w:cs="Times New Roman (Body CS)"/>
              </w:rPr>
              <w:t>VSE-3115</w:t>
            </w:r>
          </w:p>
        </w:tc>
        <w:tc>
          <w:tcPr>
            <w:tcW w:w="8010" w:type="dxa"/>
          </w:tcPr>
          <w:p w14:paraId="2E3BF89F" w14:textId="0BF907E1" w:rsidR="00E53B7F" w:rsidRPr="0068082C" w:rsidRDefault="00E53B7F" w:rsidP="0085539C">
            <w:pPr>
              <w:rPr>
                <w:rFonts w:ascii="Arial" w:hAnsi="Arial" w:cs="Times New Roman (Body CS)"/>
              </w:rPr>
            </w:pPr>
            <w:r w:rsidRPr="00E53B7F">
              <w:rPr>
                <w:rFonts w:ascii="Arial" w:hAnsi="Arial" w:cs="Times New Roman (Body CS)"/>
              </w:rPr>
              <w:t>Frontend: App Freeze/Crash When Adding a User to a Clinic</w:t>
            </w:r>
          </w:p>
        </w:tc>
      </w:tr>
      <w:bookmarkEnd w:id="8"/>
      <w:tr w:rsidR="00420E07" w:rsidRPr="005B41E8" w14:paraId="5DD8288A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CDB3E38" w14:textId="77777777" w:rsidR="00420E07" w:rsidRPr="00983749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VSE-3127</w:t>
            </w:r>
          </w:p>
        </w:tc>
        <w:tc>
          <w:tcPr>
            <w:tcW w:w="8010" w:type="dxa"/>
          </w:tcPr>
          <w:p w14:paraId="21EEB666" w14:textId="77777777" w:rsidR="00420E07" w:rsidRPr="00983749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VistA: Fix slowness caused by large list of privileged users for a restricted clinic</w:t>
            </w:r>
          </w:p>
        </w:tc>
      </w:tr>
      <w:tr w:rsidR="00420E07" w:rsidRPr="005B41E8" w14:paraId="26F6962D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8982CE5" w14:textId="77777777" w:rsidR="00420E07" w:rsidRPr="00983749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VSE-3155</w:t>
            </w:r>
          </w:p>
        </w:tc>
        <w:tc>
          <w:tcPr>
            <w:tcW w:w="8010" w:type="dxa"/>
          </w:tcPr>
          <w:p w14:paraId="10FF2336" w14:textId="77777777" w:rsidR="00420E07" w:rsidRPr="00983749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VistA: Create a new "modality" field in SDEC APPT REQUEST (#409.85) file</w:t>
            </w:r>
          </w:p>
        </w:tc>
      </w:tr>
      <w:tr w:rsidR="00420E07" w:rsidRPr="005B41E8" w14:paraId="7C4C7C68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CEC01BB" w14:textId="77777777" w:rsidR="00420E07" w:rsidRPr="00983749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VSE-3160</w:t>
            </w:r>
          </w:p>
        </w:tc>
        <w:tc>
          <w:tcPr>
            <w:tcW w:w="8010" w:type="dxa"/>
          </w:tcPr>
          <w:p w14:paraId="650B446A" w14:textId="77777777" w:rsidR="00420E07" w:rsidRPr="00983749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VS GUI: Add "Day" View to User Preferences</w:t>
            </w:r>
          </w:p>
        </w:tc>
      </w:tr>
      <w:tr w:rsidR="00420E07" w:rsidRPr="005B41E8" w14:paraId="53CD45DB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D4DA32F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VSE-3161</w:t>
            </w:r>
          </w:p>
        </w:tc>
        <w:tc>
          <w:tcPr>
            <w:tcW w:w="8010" w:type="dxa"/>
          </w:tcPr>
          <w:p w14:paraId="467A1039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UI: Add Loading Indicator to Calendar for Visually Impaired User</w:t>
            </w:r>
          </w:p>
        </w:tc>
      </w:tr>
      <w:tr w:rsidR="00420E07" w:rsidRPr="005B41E8" w14:paraId="237D012D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4FDB2A9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VSE-3162</w:t>
            </w:r>
          </w:p>
        </w:tc>
        <w:tc>
          <w:tcPr>
            <w:tcW w:w="8010" w:type="dxa"/>
          </w:tcPr>
          <w:p w14:paraId="13BBB78B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UI: Enable JAWS to Read Specific Calendar View</w:t>
            </w:r>
          </w:p>
        </w:tc>
      </w:tr>
      <w:tr w:rsidR="00420E07" w:rsidRPr="005B41E8" w14:paraId="02044D9A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DA2DF3C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lastRenderedPageBreak/>
              <w:t>VSE-3198</w:t>
            </w:r>
          </w:p>
        </w:tc>
        <w:tc>
          <w:tcPr>
            <w:tcW w:w="8010" w:type="dxa"/>
          </w:tcPr>
          <w:p w14:paraId="3C5ACA01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VistA: Create a search RPC for Letter</w:t>
            </w:r>
          </w:p>
        </w:tc>
      </w:tr>
      <w:tr w:rsidR="00420E07" w:rsidRPr="005B41E8" w14:paraId="22DDB5EF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A21BA20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VSE-3199</w:t>
            </w:r>
          </w:p>
        </w:tc>
        <w:tc>
          <w:tcPr>
            <w:tcW w:w="8010" w:type="dxa"/>
          </w:tcPr>
          <w:p w14:paraId="7AEE4BC5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VistA: Create RPC to search for Provider</w:t>
            </w:r>
          </w:p>
        </w:tc>
      </w:tr>
      <w:tr w:rsidR="00420E07" w:rsidRPr="005B41E8" w14:paraId="11DB5D32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E9964EC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VSE-3211</w:t>
            </w:r>
          </w:p>
        </w:tc>
        <w:tc>
          <w:tcPr>
            <w:tcW w:w="8010" w:type="dxa"/>
          </w:tcPr>
          <w:p w14:paraId="4DC17612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VistA: Create a new RPC for privileged user search</w:t>
            </w:r>
          </w:p>
        </w:tc>
      </w:tr>
      <w:tr w:rsidR="00420E07" w:rsidRPr="005B41E8" w14:paraId="100DF3D0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792F3AC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VSE-3212</w:t>
            </w:r>
          </w:p>
        </w:tc>
        <w:tc>
          <w:tcPr>
            <w:tcW w:w="8010" w:type="dxa"/>
          </w:tcPr>
          <w:p w14:paraId="4B9AE347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68082C">
              <w:rPr>
                <w:rFonts w:ascii="Arial" w:hAnsi="Arial" w:cs="Times New Roman (Body CS)"/>
              </w:rPr>
              <w:t>VistA: Create new RPC to get Division</w:t>
            </w:r>
          </w:p>
        </w:tc>
      </w:tr>
      <w:tr w:rsidR="00420E07" w:rsidRPr="005B41E8" w14:paraId="38AA46CD" w14:textId="77777777" w:rsidTr="00420E07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57D0AE7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F80284">
              <w:rPr>
                <w:rFonts w:ascii="Arial" w:hAnsi="Arial" w:cs="Times New Roman (Body CS)"/>
              </w:rPr>
              <w:t>VSE-3337</w:t>
            </w:r>
          </w:p>
        </w:tc>
        <w:tc>
          <w:tcPr>
            <w:tcW w:w="8010" w:type="dxa"/>
          </w:tcPr>
          <w:p w14:paraId="4917FF4F" w14:textId="77777777" w:rsidR="00420E07" w:rsidRPr="0068082C" w:rsidRDefault="00420E07" w:rsidP="0085539C">
            <w:pPr>
              <w:rPr>
                <w:rFonts w:ascii="Arial" w:hAnsi="Arial" w:cs="Times New Roman (Body CS)"/>
              </w:rPr>
            </w:pPr>
            <w:r w:rsidRPr="00F80284">
              <w:rPr>
                <w:rFonts w:ascii="Arial" w:hAnsi="Arial" w:cs="Times New Roman (Body CS)"/>
              </w:rPr>
              <w:t>VistA: Add RPCs to the SDECRPC menu option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9" w:name="_Toc104192918"/>
      <w:r>
        <w:t>User Documentation</w:t>
      </w:r>
      <w:bookmarkEnd w:id="9"/>
    </w:p>
    <w:p w14:paraId="7C7110C2" w14:textId="45DAC954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420E07">
        <w:t>1.7.27.1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10" w:name="_Toc104192919"/>
      <w:r>
        <w:t>Known Issues</w:t>
      </w:r>
      <w:bookmarkEnd w:id="10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7994" w14:textId="77777777" w:rsidR="003552EC" w:rsidRDefault="003552EC" w:rsidP="00AE1DED">
      <w:pPr>
        <w:spacing w:before="0" w:after="0"/>
      </w:pPr>
      <w:r>
        <w:separator/>
      </w:r>
    </w:p>
  </w:endnote>
  <w:endnote w:type="continuationSeparator" w:id="0">
    <w:p w14:paraId="472D3798" w14:textId="77777777" w:rsidR="003552EC" w:rsidRDefault="003552EC" w:rsidP="00AE1DED">
      <w:pPr>
        <w:spacing w:before="0" w:after="0"/>
      </w:pPr>
      <w:r>
        <w:continuationSeparator/>
      </w:r>
    </w:p>
  </w:endnote>
  <w:endnote w:type="continuationNotice" w:id="1">
    <w:p w14:paraId="0C16333D" w14:textId="77777777" w:rsidR="003552EC" w:rsidRDefault="003552E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371B7765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F049E7">
      <w:t>2</w:t>
    </w:r>
    <w:r w:rsidR="00420E07">
      <w:t>7</w:t>
    </w:r>
    <w:r w:rsidR="009F4E5F">
      <w:t>.</w:t>
    </w:r>
    <w:r w:rsidR="00742C39">
      <w:t>1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66155B">
      <w:t>Ju</w:t>
    </w:r>
    <w:r w:rsidR="009F4E5F">
      <w:t>ly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7EB5" w14:textId="77777777" w:rsidR="003552EC" w:rsidRDefault="003552EC" w:rsidP="00AE1DED">
      <w:pPr>
        <w:spacing w:before="0" w:after="0"/>
      </w:pPr>
      <w:r>
        <w:separator/>
      </w:r>
    </w:p>
  </w:footnote>
  <w:footnote w:type="continuationSeparator" w:id="0">
    <w:p w14:paraId="2126EF89" w14:textId="77777777" w:rsidR="003552EC" w:rsidRDefault="003552EC" w:rsidP="00AE1DED">
      <w:pPr>
        <w:spacing w:before="0" w:after="0"/>
      </w:pPr>
      <w:r>
        <w:continuationSeparator/>
      </w:r>
    </w:p>
  </w:footnote>
  <w:footnote w:type="continuationNotice" w:id="1">
    <w:p w14:paraId="7CC12F1D" w14:textId="77777777" w:rsidR="003552EC" w:rsidRDefault="003552E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9D16DC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2062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9D16DC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2065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2053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9D16DC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2064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2052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4537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092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A78C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06FBE"/>
    <w:rsid w:val="00313002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42A5F"/>
    <w:rsid w:val="00343CD0"/>
    <w:rsid w:val="003459B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0E07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0110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172EC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45B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155B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2C39"/>
    <w:rsid w:val="007441BA"/>
    <w:rsid w:val="00744D85"/>
    <w:rsid w:val="007469B2"/>
    <w:rsid w:val="00747565"/>
    <w:rsid w:val="00747737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0C69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16DC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E6985"/>
    <w:rsid w:val="009F0B2E"/>
    <w:rsid w:val="009F18FE"/>
    <w:rsid w:val="009F2931"/>
    <w:rsid w:val="009F3BA0"/>
    <w:rsid w:val="009F46D6"/>
    <w:rsid w:val="009F4CA7"/>
    <w:rsid w:val="009F4E5F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1DF3"/>
    <w:rsid w:val="00A62B8F"/>
    <w:rsid w:val="00A7040D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2BE6"/>
    <w:rsid w:val="00BD315E"/>
    <w:rsid w:val="00BD32CC"/>
    <w:rsid w:val="00BD44D7"/>
    <w:rsid w:val="00BD51D8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2D89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709C7"/>
    <w:rsid w:val="00C72793"/>
    <w:rsid w:val="00C7399D"/>
    <w:rsid w:val="00C75D29"/>
    <w:rsid w:val="00C76AC8"/>
    <w:rsid w:val="00C82C68"/>
    <w:rsid w:val="00C87BF2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3B7F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9E7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1448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1941"/>
    <w:rsid w:val="00FB2BDA"/>
    <w:rsid w:val="00FB6C73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5E34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9AD3C0"/>
    <w:rsid w:val="3EC934D9"/>
    <w:rsid w:val="3F52995A"/>
    <w:rsid w:val="3F7701ED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9861E5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12" ma:contentTypeDescription="Create a new document." ma:contentTypeScope="" ma:versionID="662480de329034242e69160563a9bfa6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ebc993e164fce92e7353cc67f7c7e0a5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3B6A9-1572-46E9-BBDD-56CC2522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07D5F-4116-429E-B77C-3953A4DA3B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f569e0-e309-418e-83b4-2c4e8cec07c0"/>
    <ds:schemaRef ds:uri="http://purl.org/dc/elements/1.1/"/>
    <ds:schemaRef ds:uri="http://schemas.microsoft.com/office/2006/metadata/properties"/>
    <ds:schemaRef ds:uri="724947b5-cc16-4f4f-9f9c-8a872b8418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Word.dotx</Template>
  <TotalTime>12</TotalTime>
  <Pages>5</Pages>
  <Words>521</Words>
  <Characters>3435</Characters>
  <Application>Microsoft Office Word</Application>
  <DocSecurity>0</DocSecurity>
  <Lines>143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Booz Allen Hamilton</dc:creator>
  <cp:keywords/>
  <dc:description/>
  <cp:lastModifiedBy>Booz Allen Hamilton</cp:lastModifiedBy>
  <cp:revision>5</cp:revision>
  <cp:lastPrinted>2022-01-12T18:58:00Z</cp:lastPrinted>
  <dcterms:created xsi:type="dcterms:W3CDTF">2022-07-12T15:23:00Z</dcterms:created>
  <dcterms:modified xsi:type="dcterms:W3CDTF">2022-07-28T12:56:00Z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