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8"/>
        </w:rPr>
      </w:pPr>
    </w:p>
    <w:p>
      <w:pPr>
        <w:pStyle w:val="Title"/>
        <w:spacing w:line="448" w:lineRule="auto"/>
      </w:pPr>
      <w:r>
        <w:rPr>
          <w:spacing w:val="7"/>
        </w:rPr>
        <w:t>VistA </w:t>
      </w:r>
      <w:r>
        <w:rPr>
          <w:spacing w:val="8"/>
        </w:rPr>
        <w:t>Scheduling Enhancements </w:t>
      </w:r>
      <w:r>
        <w:rPr>
          <w:spacing w:val="7"/>
        </w:rPr>
        <w:t>(VSE) </w:t>
      </w:r>
      <w:r>
        <w:rPr>
          <w:spacing w:val="5"/>
        </w:rPr>
        <w:t>GUI </w:t>
      </w:r>
      <w:r>
        <w:rPr>
          <w:spacing w:val="7"/>
        </w:rPr>
        <w:t>Release </w:t>
      </w:r>
      <w:r>
        <w:rPr>
          <w:spacing w:val="8"/>
        </w:rPr>
        <w:t>1.7.1 </w:t>
      </w:r>
      <w:r>
        <w:rPr>
          <w:spacing w:val="7"/>
        </w:rPr>
        <w:t>Release</w:t>
      </w:r>
      <w:r>
        <w:rPr>
          <w:spacing w:val="63"/>
        </w:rPr>
        <w:t> </w:t>
      </w:r>
      <w:r>
        <w:rPr>
          <w:spacing w:val="7"/>
        </w:rPr>
        <w:t>Notes</w:t>
      </w:r>
    </w:p>
    <w:p>
      <w:pPr>
        <w:pStyle w:val="BodyText"/>
        <w:rPr>
          <w:rFonts w:ascii="Arial"/>
          <w:b/>
          <w:sz w:val="20"/>
        </w:rPr>
      </w:pPr>
    </w:p>
    <w:p>
      <w:pPr>
        <w:pStyle w:val="BodyText"/>
        <w:spacing w:before="10"/>
        <w:rPr>
          <w:rFonts w:ascii="Arial"/>
          <w:b/>
          <w:sz w:val="28"/>
        </w:rPr>
      </w:pPr>
      <w:r>
        <w:rPr/>
        <w:drawing>
          <wp:anchor distT="0" distB="0" distL="0" distR="0" allowOverlap="1" layoutInCell="1" locked="0" behindDoc="0" simplePos="0" relativeHeight="0">
            <wp:simplePos x="0" y="0"/>
            <wp:positionH relativeFrom="page">
              <wp:posOffset>2914650</wp:posOffset>
            </wp:positionH>
            <wp:positionV relativeFrom="paragraph">
              <wp:posOffset>235562</wp:posOffset>
            </wp:positionV>
            <wp:extent cx="2190750" cy="2190750"/>
            <wp:effectExtent l="0" t="0" r="0" b="0"/>
            <wp:wrapTopAndBottom/>
            <wp:docPr id="1" name="image1.jpeg" descr="Official Seal of the Department of Veterans Affairs"/>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190750" cy="2190750"/>
                    </a:xfrm>
                    <a:prstGeom prst="rect">
                      <a:avLst/>
                    </a:prstGeom>
                  </pic:spPr>
                </pic:pic>
              </a:graphicData>
            </a:graphic>
          </wp:anchor>
        </w:drawing>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Heading2"/>
        <w:spacing w:before="212"/>
        <w:ind w:left="0" w:right="210" w:firstLine="0"/>
        <w:jc w:val="center"/>
      </w:pPr>
      <w:r>
        <w:rPr/>
        <w:t>September 2020</w:t>
      </w:r>
    </w:p>
    <w:p>
      <w:pPr>
        <w:spacing w:line="508" w:lineRule="auto" w:before="119"/>
        <w:ind w:left="2568" w:right="2752" w:firstLine="1410"/>
        <w:jc w:val="left"/>
        <w:rPr>
          <w:rFonts w:ascii="Arial"/>
          <w:b/>
          <w:sz w:val="28"/>
        </w:rPr>
      </w:pPr>
      <w:r>
        <w:rPr>
          <w:rFonts w:ascii="Arial"/>
          <w:b/>
          <w:sz w:val="28"/>
        </w:rPr>
        <w:t>Version 1.0 Department of Veterans Affairs</w:t>
      </w:r>
    </w:p>
    <w:p>
      <w:pPr>
        <w:spacing w:after="0" w:line="508" w:lineRule="auto"/>
        <w:jc w:val="left"/>
        <w:rPr>
          <w:rFonts w:ascii="Arial"/>
          <w:sz w:val="28"/>
        </w:rPr>
        <w:sectPr>
          <w:type w:val="continuous"/>
          <w:pgSz w:w="12240" w:h="15840"/>
          <w:pgMar w:top="1500" w:bottom="280" w:left="1340" w:right="1140"/>
        </w:sectPr>
      </w:pPr>
    </w:p>
    <w:p>
      <w:pPr>
        <w:pStyle w:val="Heading2"/>
        <w:spacing w:before="80"/>
        <w:ind w:left="0" w:right="212" w:firstLine="0"/>
        <w:jc w:val="center"/>
      </w:pPr>
      <w:r>
        <w:rPr/>
        <w:t>Revision History</w:t>
      </w:r>
    </w:p>
    <w:p>
      <w:pPr>
        <w:pStyle w:val="BodyText"/>
        <w:spacing w:before="4"/>
        <w:rPr>
          <w:rFonts w:ascii="Arial"/>
          <w:b/>
          <w:sz w:val="1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6"/>
        <w:gridCol w:w="990"/>
        <w:gridCol w:w="5580"/>
        <w:gridCol w:w="1525"/>
      </w:tblGrid>
      <w:tr>
        <w:trPr>
          <w:trHeight w:val="310" w:hRule="atLeast"/>
        </w:trPr>
        <w:tc>
          <w:tcPr>
            <w:tcW w:w="1256" w:type="dxa"/>
            <w:shd w:val="clear" w:color="auto" w:fill="F1F1F1"/>
          </w:tcPr>
          <w:p>
            <w:pPr>
              <w:pStyle w:val="TableParagraph"/>
              <w:spacing w:before="41"/>
              <w:ind w:left="115"/>
              <w:rPr>
                <w:b/>
                <w:sz w:val="20"/>
              </w:rPr>
            </w:pPr>
            <w:r>
              <w:rPr>
                <w:b/>
                <w:sz w:val="20"/>
              </w:rPr>
              <w:t>Date</w:t>
            </w:r>
          </w:p>
        </w:tc>
        <w:tc>
          <w:tcPr>
            <w:tcW w:w="990" w:type="dxa"/>
            <w:shd w:val="clear" w:color="auto" w:fill="F1F1F1"/>
          </w:tcPr>
          <w:p>
            <w:pPr>
              <w:pStyle w:val="TableParagraph"/>
              <w:spacing w:before="41"/>
              <w:ind w:left="114"/>
              <w:rPr>
                <w:b/>
                <w:sz w:val="20"/>
              </w:rPr>
            </w:pPr>
            <w:r>
              <w:rPr>
                <w:b/>
                <w:sz w:val="20"/>
              </w:rPr>
              <w:t>Version</w:t>
            </w:r>
          </w:p>
        </w:tc>
        <w:tc>
          <w:tcPr>
            <w:tcW w:w="5580" w:type="dxa"/>
            <w:shd w:val="clear" w:color="auto" w:fill="F1F1F1"/>
          </w:tcPr>
          <w:p>
            <w:pPr>
              <w:pStyle w:val="TableParagraph"/>
              <w:spacing w:before="41"/>
              <w:ind w:left="114"/>
              <w:rPr>
                <w:b/>
                <w:sz w:val="20"/>
              </w:rPr>
            </w:pPr>
            <w:r>
              <w:rPr>
                <w:b/>
                <w:sz w:val="20"/>
              </w:rPr>
              <w:t>Description</w:t>
            </w:r>
          </w:p>
        </w:tc>
        <w:tc>
          <w:tcPr>
            <w:tcW w:w="1525" w:type="dxa"/>
            <w:shd w:val="clear" w:color="auto" w:fill="F1F1F1"/>
          </w:tcPr>
          <w:p>
            <w:pPr>
              <w:pStyle w:val="TableParagraph"/>
              <w:spacing w:before="41"/>
              <w:ind w:left="115"/>
              <w:rPr>
                <w:b/>
                <w:sz w:val="20"/>
              </w:rPr>
            </w:pPr>
            <w:r>
              <w:rPr>
                <w:b/>
                <w:sz w:val="20"/>
              </w:rPr>
              <w:t>Author</w:t>
            </w:r>
          </w:p>
        </w:tc>
      </w:tr>
      <w:tr>
        <w:trPr>
          <w:trHeight w:val="310" w:hRule="atLeast"/>
        </w:trPr>
        <w:tc>
          <w:tcPr>
            <w:tcW w:w="1256" w:type="dxa"/>
          </w:tcPr>
          <w:p>
            <w:pPr>
              <w:pStyle w:val="TableParagraph"/>
              <w:ind w:left="115"/>
              <w:rPr>
                <w:sz w:val="20"/>
              </w:rPr>
            </w:pPr>
            <w:r>
              <w:rPr>
                <w:sz w:val="20"/>
              </w:rPr>
              <w:t>09/28/2020</w:t>
            </w:r>
          </w:p>
        </w:tc>
        <w:tc>
          <w:tcPr>
            <w:tcW w:w="990" w:type="dxa"/>
          </w:tcPr>
          <w:p>
            <w:pPr>
              <w:pStyle w:val="TableParagraph"/>
              <w:ind w:left="114"/>
              <w:rPr>
                <w:sz w:val="20"/>
              </w:rPr>
            </w:pPr>
            <w:r>
              <w:rPr>
                <w:sz w:val="20"/>
              </w:rPr>
              <w:t>1.0</w:t>
            </w:r>
          </w:p>
        </w:tc>
        <w:tc>
          <w:tcPr>
            <w:tcW w:w="5580" w:type="dxa"/>
          </w:tcPr>
          <w:p>
            <w:pPr>
              <w:pStyle w:val="TableParagraph"/>
              <w:ind w:left="114"/>
              <w:rPr>
                <w:sz w:val="20"/>
              </w:rPr>
            </w:pPr>
            <w:r>
              <w:rPr>
                <w:sz w:val="20"/>
              </w:rPr>
              <w:t>Received approval from HSP</w:t>
            </w:r>
          </w:p>
        </w:tc>
        <w:tc>
          <w:tcPr>
            <w:tcW w:w="1525" w:type="dxa"/>
          </w:tcPr>
          <w:p>
            <w:pPr>
              <w:pStyle w:val="TableParagraph"/>
              <w:ind w:left="115"/>
              <w:rPr>
                <w:sz w:val="20"/>
              </w:rPr>
            </w:pPr>
            <w:r>
              <w:rPr>
                <w:sz w:val="20"/>
              </w:rPr>
              <w:t>Liberty</w:t>
            </w:r>
          </w:p>
        </w:tc>
      </w:tr>
      <w:tr>
        <w:trPr>
          <w:trHeight w:val="309" w:hRule="atLeast"/>
        </w:trPr>
        <w:tc>
          <w:tcPr>
            <w:tcW w:w="1256" w:type="dxa"/>
          </w:tcPr>
          <w:p>
            <w:pPr>
              <w:pStyle w:val="TableParagraph"/>
              <w:ind w:left="115"/>
              <w:rPr>
                <w:sz w:val="20"/>
              </w:rPr>
            </w:pPr>
            <w:r>
              <w:rPr>
                <w:sz w:val="20"/>
              </w:rPr>
              <w:t>09/28/2020</w:t>
            </w:r>
          </w:p>
        </w:tc>
        <w:tc>
          <w:tcPr>
            <w:tcW w:w="990" w:type="dxa"/>
          </w:tcPr>
          <w:p>
            <w:pPr>
              <w:pStyle w:val="TableParagraph"/>
              <w:ind w:left="114"/>
              <w:rPr>
                <w:sz w:val="20"/>
              </w:rPr>
            </w:pPr>
            <w:r>
              <w:rPr>
                <w:sz w:val="20"/>
              </w:rPr>
              <w:t>1.0</w:t>
            </w:r>
          </w:p>
        </w:tc>
        <w:tc>
          <w:tcPr>
            <w:tcW w:w="5580" w:type="dxa"/>
          </w:tcPr>
          <w:p>
            <w:pPr>
              <w:pStyle w:val="TableParagraph"/>
              <w:ind w:left="114"/>
              <w:rPr>
                <w:sz w:val="20"/>
              </w:rPr>
            </w:pPr>
            <w:r>
              <w:rPr>
                <w:sz w:val="20"/>
              </w:rPr>
              <w:t>Sent to HSP for review and approval</w:t>
            </w:r>
          </w:p>
        </w:tc>
        <w:tc>
          <w:tcPr>
            <w:tcW w:w="1525" w:type="dxa"/>
          </w:tcPr>
          <w:p>
            <w:pPr>
              <w:pStyle w:val="TableParagraph"/>
              <w:ind w:left="115"/>
              <w:rPr>
                <w:sz w:val="20"/>
              </w:rPr>
            </w:pPr>
            <w:r>
              <w:rPr>
                <w:sz w:val="20"/>
              </w:rPr>
              <w:t>Liberty</w:t>
            </w:r>
          </w:p>
        </w:tc>
      </w:tr>
      <w:tr>
        <w:trPr>
          <w:trHeight w:val="310" w:hRule="atLeast"/>
        </w:trPr>
        <w:tc>
          <w:tcPr>
            <w:tcW w:w="1256" w:type="dxa"/>
          </w:tcPr>
          <w:p>
            <w:pPr>
              <w:pStyle w:val="TableParagraph"/>
              <w:spacing w:before="41"/>
              <w:ind w:left="115"/>
              <w:rPr>
                <w:sz w:val="20"/>
              </w:rPr>
            </w:pPr>
            <w:r>
              <w:rPr>
                <w:sz w:val="20"/>
              </w:rPr>
              <w:t>09/15/2020</w:t>
            </w:r>
          </w:p>
        </w:tc>
        <w:tc>
          <w:tcPr>
            <w:tcW w:w="990" w:type="dxa"/>
          </w:tcPr>
          <w:p>
            <w:pPr>
              <w:pStyle w:val="TableParagraph"/>
              <w:spacing w:before="41"/>
              <w:ind w:left="114"/>
              <w:rPr>
                <w:sz w:val="20"/>
              </w:rPr>
            </w:pPr>
            <w:r>
              <w:rPr>
                <w:sz w:val="20"/>
              </w:rPr>
              <w:t>0.1</w:t>
            </w:r>
          </w:p>
        </w:tc>
        <w:tc>
          <w:tcPr>
            <w:tcW w:w="5580" w:type="dxa"/>
          </w:tcPr>
          <w:p>
            <w:pPr>
              <w:pStyle w:val="TableParagraph"/>
              <w:spacing w:before="41"/>
              <w:ind w:left="114"/>
              <w:rPr>
                <w:sz w:val="20"/>
              </w:rPr>
            </w:pPr>
            <w:r>
              <w:rPr>
                <w:sz w:val="20"/>
              </w:rPr>
              <w:t>Initial draft of artifact for VS GUI Release 1.7.1</w:t>
            </w:r>
          </w:p>
        </w:tc>
        <w:tc>
          <w:tcPr>
            <w:tcW w:w="1525" w:type="dxa"/>
          </w:tcPr>
          <w:p>
            <w:pPr>
              <w:pStyle w:val="TableParagraph"/>
              <w:spacing w:before="41"/>
              <w:ind w:left="115"/>
              <w:rPr>
                <w:sz w:val="20"/>
              </w:rPr>
            </w:pPr>
            <w:r>
              <w:rPr>
                <w:sz w:val="20"/>
              </w:rPr>
              <w:t>Liberty</w:t>
            </w:r>
          </w:p>
        </w:tc>
      </w:tr>
    </w:tbl>
    <w:p>
      <w:pPr>
        <w:spacing w:after="0"/>
        <w:rPr>
          <w:sz w:val="20"/>
        </w:rPr>
        <w:sectPr>
          <w:footerReference w:type="default" r:id="rId6"/>
          <w:pgSz w:w="12240" w:h="15840"/>
          <w:pgMar w:footer="741" w:header="0" w:top="1360" w:bottom="940" w:left="1340" w:right="1140"/>
        </w:sectPr>
      </w:pPr>
    </w:p>
    <w:p>
      <w:pPr>
        <w:spacing w:before="80"/>
        <w:ind w:left="0" w:right="211" w:firstLine="0"/>
        <w:jc w:val="center"/>
        <w:rPr>
          <w:rFonts w:ascii="Arial"/>
          <w:b/>
          <w:sz w:val="28"/>
        </w:rPr>
      </w:pPr>
      <w:r>
        <w:rPr>
          <w:rFonts w:ascii="Arial"/>
          <w:b/>
          <w:sz w:val="28"/>
        </w:rPr>
        <w:t>Table of Contents</w:t>
      </w:r>
    </w:p>
    <w:sdt>
      <w:sdtPr>
        <w:docPartObj>
          <w:docPartGallery w:val="Table of Contents"/>
          <w:docPartUnique/>
        </w:docPartObj>
      </w:sdtPr>
      <w:sdtEndPr/>
      <w:sdtContent>
        <w:p>
          <w:pPr>
            <w:pStyle w:val="TOC1"/>
            <w:numPr>
              <w:ilvl w:val="0"/>
              <w:numId w:val="1"/>
            </w:numPr>
            <w:tabs>
              <w:tab w:pos="539" w:val="left" w:leader="none"/>
              <w:tab w:pos="640" w:val="left" w:leader="none"/>
              <w:tab w:pos="9195" w:val="left" w:leader="dot"/>
            </w:tabs>
            <w:spacing w:line="240" w:lineRule="auto" w:before="121" w:after="0"/>
            <w:ind w:left="640" w:right="207" w:hanging="640"/>
            <w:jc w:val="left"/>
          </w:pPr>
          <w:hyperlink w:history="true" w:anchor="_bookmark0">
            <w:r>
              <w:rPr/>
              <w:t>Introduction</w:t>
              <w:tab/>
              <w:t>1</w:t>
            </w:r>
          </w:hyperlink>
        </w:p>
        <w:p>
          <w:pPr>
            <w:pStyle w:val="TOC3"/>
            <w:numPr>
              <w:ilvl w:val="1"/>
              <w:numId w:val="1"/>
            </w:numPr>
            <w:tabs>
              <w:tab w:pos="1270" w:val="left" w:leader="none"/>
              <w:tab w:pos="1271" w:val="left" w:leader="none"/>
              <w:tab w:pos="9339" w:val="left" w:leader="dot"/>
            </w:tabs>
            <w:spacing w:line="240" w:lineRule="auto" w:before="100" w:after="0"/>
            <w:ind w:left="1270" w:right="0" w:hanging="632"/>
            <w:jc w:val="left"/>
          </w:pPr>
          <w:hyperlink w:history="true" w:anchor="_bookmark1">
            <w:r>
              <w:rPr/>
              <w:t>Purpose</w:t>
              <w:tab/>
              <w:t>1</w:t>
            </w:r>
          </w:hyperlink>
        </w:p>
        <w:p>
          <w:pPr>
            <w:pStyle w:val="TOC3"/>
            <w:numPr>
              <w:ilvl w:val="1"/>
              <w:numId w:val="1"/>
            </w:numPr>
            <w:tabs>
              <w:tab w:pos="1270" w:val="left" w:leader="none"/>
              <w:tab w:pos="1271" w:val="left" w:leader="none"/>
              <w:tab w:pos="9339" w:val="left" w:leader="dot"/>
            </w:tabs>
            <w:spacing w:line="240" w:lineRule="auto" w:before="100" w:after="0"/>
            <w:ind w:left="1270" w:right="0" w:hanging="631"/>
            <w:jc w:val="left"/>
          </w:pPr>
          <w:hyperlink w:history="true" w:anchor="_bookmark2">
            <w:r>
              <w:rPr/>
              <w:t>Audience</w:t>
              <w:tab/>
              <w:t>1</w:t>
            </w:r>
          </w:hyperlink>
        </w:p>
        <w:p>
          <w:pPr>
            <w:pStyle w:val="TOC1"/>
            <w:numPr>
              <w:ilvl w:val="0"/>
              <w:numId w:val="1"/>
            </w:numPr>
            <w:tabs>
              <w:tab w:pos="539" w:val="left" w:leader="none"/>
              <w:tab w:pos="640" w:val="left" w:leader="none"/>
              <w:tab w:pos="9195" w:val="left" w:leader="dot"/>
            </w:tabs>
            <w:spacing w:line="240" w:lineRule="auto" w:before="101" w:after="0"/>
            <w:ind w:left="640" w:right="207" w:hanging="640"/>
            <w:jc w:val="left"/>
          </w:pPr>
          <w:hyperlink w:history="true" w:anchor="_bookmark3">
            <w:r>
              <w:rPr/>
              <w:t>This</w:t>
            </w:r>
            <w:r>
              <w:rPr>
                <w:spacing w:val="-1"/>
              </w:rPr>
              <w:t> </w:t>
            </w:r>
            <w:r>
              <w:rPr/>
              <w:t>Release</w:t>
              <w:tab/>
              <w:t>1</w:t>
            </w:r>
          </w:hyperlink>
        </w:p>
        <w:p>
          <w:pPr>
            <w:pStyle w:val="TOC1"/>
            <w:numPr>
              <w:ilvl w:val="0"/>
              <w:numId w:val="1"/>
            </w:numPr>
            <w:tabs>
              <w:tab w:pos="539" w:val="left" w:leader="none"/>
              <w:tab w:pos="640" w:val="left" w:leader="none"/>
              <w:tab w:pos="9195" w:val="left" w:leader="dot"/>
            </w:tabs>
            <w:spacing w:line="240" w:lineRule="auto" w:before="100" w:after="0"/>
            <w:ind w:left="640" w:right="207" w:hanging="640"/>
            <w:jc w:val="left"/>
          </w:pPr>
          <w:hyperlink w:history="true" w:anchor="_bookmark4">
            <w:r>
              <w:rPr/>
              <w:t>Features</w:t>
            </w:r>
            <w:r>
              <w:rPr>
                <w:spacing w:val="-2"/>
              </w:rPr>
              <w:t> </w:t>
            </w:r>
            <w:r>
              <w:rPr/>
              <w:t>and</w:t>
            </w:r>
            <w:r>
              <w:rPr>
                <w:spacing w:val="-2"/>
              </w:rPr>
              <w:t> </w:t>
            </w:r>
            <w:r>
              <w:rPr/>
              <w:t>Functionality</w:t>
              <w:tab/>
              <w:t>1</w:t>
            </w:r>
          </w:hyperlink>
        </w:p>
        <w:p>
          <w:pPr>
            <w:pStyle w:val="TOC3"/>
            <w:numPr>
              <w:ilvl w:val="1"/>
              <w:numId w:val="1"/>
            </w:numPr>
            <w:tabs>
              <w:tab w:pos="1270" w:val="left" w:leader="none"/>
              <w:tab w:pos="1271" w:val="left" w:leader="none"/>
              <w:tab w:pos="9339" w:val="left" w:leader="dot"/>
            </w:tabs>
            <w:spacing w:line="240" w:lineRule="auto" w:before="99" w:after="0"/>
            <w:ind w:left="1270" w:right="0" w:hanging="631"/>
            <w:jc w:val="left"/>
          </w:pPr>
          <w:hyperlink w:history="true" w:anchor="_bookmark5">
            <w:r>
              <w:rPr/>
              <w:t>Enhancements</w:t>
            </w:r>
            <w:r>
              <w:rPr>
                <w:spacing w:val="-1"/>
              </w:rPr>
              <w:t> </w:t>
            </w:r>
            <w:r>
              <w:rPr/>
              <w:t>Implemented</w:t>
              <w:tab/>
              <w:t>1</w:t>
            </w:r>
          </w:hyperlink>
        </w:p>
        <w:p>
          <w:pPr>
            <w:pStyle w:val="TOC3"/>
            <w:numPr>
              <w:ilvl w:val="1"/>
              <w:numId w:val="1"/>
            </w:numPr>
            <w:tabs>
              <w:tab w:pos="1270" w:val="left" w:leader="none"/>
              <w:tab w:pos="1271" w:val="left" w:leader="none"/>
              <w:tab w:pos="9339" w:val="left" w:leader="dot"/>
            </w:tabs>
            <w:spacing w:line="240" w:lineRule="auto" w:before="100" w:after="0"/>
            <w:ind w:left="1270" w:right="0" w:hanging="631"/>
            <w:jc w:val="left"/>
          </w:pPr>
          <w:hyperlink w:history="true" w:anchor="_bookmark7">
            <w:r>
              <w:rPr/>
              <w:t>Defects</w:t>
            </w:r>
            <w:r>
              <w:rPr>
                <w:spacing w:val="-2"/>
              </w:rPr>
              <w:t> </w:t>
            </w:r>
            <w:r>
              <w:rPr/>
              <w:t>Corrected</w:t>
              <w:tab/>
              <w:t>2</w:t>
            </w:r>
          </w:hyperlink>
        </w:p>
        <w:p>
          <w:pPr>
            <w:pStyle w:val="TOC1"/>
            <w:numPr>
              <w:ilvl w:val="0"/>
              <w:numId w:val="1"/>
            </w:numPr>
            <w:tabs>
              <w:tab w:pos="539" w:val="left" w:leader="none"/>
              <w:tab w:pos="640" w:val="left" w:leader="none"/>
              <w:tab w:pos="9195" w:val="left" w:leader="dot"/>
            </w:tabs>
            <w:spacing w:line="240" w:lineRule="auto" w:before="100" w:after="0"/>
            <w:ind w:left="640" w:right="207" w:hanging="640"/>
            <w:jc w:val="left"/>
          </w:pPr>
          <w:hyperlink w:history="true" w:anchor="_bookmark9">
            <w:r>
              <w:rPr/>
              <w:t>User</w:t>
            </w:r>
            <w:r>
              <w:rPr>
                <w:spacing w:val="-1"/>
              </w:rPr>
              <w:t> </w:t>
            </w:r>
            <w:r>
              <w:rPr/>
              <w:t>Documentation</w:t>
              <w:tab/>
              <w:t>3</w:t>
            </w:r>
          </w:hyperlink>
        </w:p>
        <w:p>
          <w:pPr>
            <w:pStyle w:val="TOC1"/>
            <w:numPr>
              <w:ilvl w:val="0"/>
              <w:numId w:val="1"/>
            </w:numPr>
            <w:tabs>
              <w:tab w:pos="539" w:val="left" w:leader="none"/>
              <w:tab w:pos="640" w:val="left" w:leader="none"/>
              <w:tab w:pos="9195" w:val="left" w:leader="dot"/>
            </w:tabs>
            <w:spacing w:line="240" w:lineRule="auto" w:before="101" w:after="0"/>
            <w:ind w:left="640" w:right="207" w:hanging="640"/>
            <w:jc w:val="left"/>
          </w:pPr>
          <w:hyperlink w:history="true" w:anchor="_bookmark10">
            <w:r>
              <w:rPr/>
              <w:t>Known</w:t>
            </w:r>
            <w:r>
              <w:rPr>
                <w:spacing w:val="-2"/>
              </w:rPr>
              <w:t> </w:t>
            </w:r>
            <w:r>
              <w:rPr/>
              <w:t>Issues</w:t>
              <w:tab/>
              <w:t>3</w:t>
            </w:r>
          </w:hyperlink>
        </w:p>
        <w:p>
          <w:pPr>
            <w:pStyle w:val="TOC1"/>
            <w:spacing w:before="755"/>
            <w:ind w:left="0" w:right="197" w:firstLine="0"/>
            <w:jc w:val="center"/>
          </w:pPr>
          <w:r>
            <w:rPr/>
            <w:t>Table of Tables</w:t>
          </w:r>
        </w:p>
        <w:p>
          <w:pPr>
            <w:pStyle w:val="TOC2"/>
            <w:tabs>
              <w:tab w:pos="9241" w:val="left" w:leader="dot"/>
            </w:tabs>
          </w:pPr>
          <w:hyperlink w:history="true" w:anchor="_bookmark6">
            <w:r>
              <w:rPr/>
              <w:t>Table 1:  Enhancements in VS GUI</w:t>
            </w:r>
            <w:r>
              <w:rPr>
                <w:spacing w:val="-8"/>
              </w:rPr>
              <w:t> </w:t>
            </w:r>
            <w:r>
              <w:rPr/>
              <w:t>Release</w:t>
            </w:r>
            <w:r>
              <w:rPr>
                <w:spacing w:val="-2"/>
              </w:rPr>
              <w:t> </w:t>
            </w:r>
            <w:r>
              <w:rPr/>
              <w:t>1.7.1</w:t>
              <w:tab/>
              <w:t>1</w:t>
            </w:r>
          </w:hyperlink>
        </w:p>
        <w:p>
          <w:pPr>
            <w:pStyle w:val="TOC2"/>
            <w:tabs>
              <w:tab w:pos="9241" w:val="left" w:leader="dot"/>
            </w:tabs>
            <w:spacing w:before="40"/>
          </w:pPr>
          <w:hyperlink w:history="true" w:anchor="_bookmark8">
            <w:r>
              <w:rPr/>
              <w:t>Table 2:  Defects Corrected in VistA</w:t>
            </w:r>
            <w:r>
              <w:rPr>
                <w:spacing w:val="-10"/>
              </w:rPr>
              <w:t> </w:t>
            </w:r>
            <w:r>
              <w:rPr/>
              <w:t>Patch</w:t>
            </w:r>
            <w:r>
              <w:rPr>
                <w:spacing w:val="-2"/>
              </w:rPr>
              <w:t> </w:t>
            </w:r>
            <w:r>
              <w:rPr/>
              <w:t>SD*5.3*745</w:t>
              <w:tab/>
              <w:t>2</w:t>
            </w:r>
          </w:hyperlink>
        </w:p>
      </w:sdtContent>
    </w:sdt>
    <w:p>
      <w:pPr>
        <w:spacing w:after="0"/>
        <w:sectPr>
          <w:footerReference w:type="default" r:id="rId7"/>
          <w:pgSz w:w="12240" w:h="15840"/>
          <w:pgMar w:footer="741" w:header="0" w:top="1360" w:bottom="940" w:left="1340" w:right="1140"/>
        </w:sectPr>
      </w:pPr>
    </w:p>
    <w:p>
      <w:pPr>
        <w:pStyle w:val="Heading1"/>
        <w:numPr>
          <w:ilvl w:val="0"/>
          <w:numId w:val="2"/>
        </w:numPr>
        <w:tabs>
          <w:tab w:pos="892" w:val="left" w:leader="none"/>
          <w:tab w:pos="893" w:val="left" w:leader="none"/>
        </w:tabs>
        <w:spacing w:line="240" w:lineRule="auto" w:before="140" w:after="0"/>
        <w:ind w:left="892" w:right="0" w:hanging="793"/>
        <w:jc w:val="left"/>
      </w:pPr>
      <w:bookmarkStart w:name="_bookmark0" w:id="1"/>
      <w:bookmarkEnd w:id="1"/>
      <w:r>
        <w:rPr>
          <w:b w:val="0"/>
        </w:rPr>
      </w:r>
      <w:bookmarkStart w:name="_bookmark0" w:id="2"/>
      <w:bookmarkEnd w:id="2"/>
      <w:r>
        <w:rPr/>
        <w:t>Introd</w:t>
      </w:r>
      <w:r>
        <w:rPr/>
        <w:t>uction</w:t>
      </w:r>
    </w:p>
    <w:p>
      <w:pPr>
        <w:pStyle w:val="BodyText"/>
        <w:spacing w:before="120"/>
        <w:ind w:left="100" w:right="495"/>
      </w:pPr>
      <w:r>
        <w:rPr/>
        <w:t>Department of Veterans Affairs (VA) has a need to improve the efficiencies of the outpatient medical scheduling processes through improved visibility of information. VA is creating a comprehensive scheduling solution to modernize the Veterans Health Information Systems and Technology Architecture (VistA) Scheduling (VS) product.</w:t>
      </w:r>
    </w:p>
    <w:p>
      <w:pPr>
        <w:pStyle w:val="BodyText"/>
        <w:spacing w:before="10"/>
        <w:rPr>
          <w:sz w:val="20"/>
        </w:rPr>
      </w:pPr>
    </w:p>
    <w:p>
      <w:pPr>
        <w:pStyle w:val="Heading2"/>
        <w:numPr>
          <w:ilvl w:val="1"/>
          <w:numId w:val="2"/>
        </w:numPr>
        <w:tabs>
          <w:tab w:pos="1036" w:val="left" w:leader="none"/>
          <w:tab w:pos="1037" w:val="left" w:leader="none"/>
        </w:tabs>
        <w:spacing w:line="240" w:lineRule="auto" w:before="0" w:after="0"/>
        <w:ind w:left="1036" w:right="0" w:hanging="937"/>
        <w:jc w:val="left"/>
      </w:pPr>
      <w:bookmarkStart w:name="_bookmark1" w:id="3"/>
      <w:bookmarkEnd w:id="3"/>
      <w:r>
        <w:rPr>
          <w:b w:val="0"/>
        </w:rPr>
      </w:r>
      <w:bookmarkStart w:name="_bookmark1" w:id="4"/>
      <w:bookmarkEnd w:id="4"/>
      <w:r>
        <w:rPr/>
        <w:t>P</w:t>
      </w:r>
      <w:r>
        <w:rPr/>
        <w:t>urpose</w:t>
      </w:r>
    </w:p>
    <w:p>
      <w:pPr>
        <w:pStyle w:val="BodyText"/>
        <w:spacing w:before="121"/>
        <w:ind w:left="100" w:right="910"/>
      </w:pPr>
      <w:r>
        <w:rPr/>
        <w:t>The purpose of this document is to provide a summary of the enhancements and defect corrections that make up the VS Graphical User Interface (GUI) Release 1.7.1. The release software package is comprised of the following:</w:t>
      </w:r>
    </w:p>
    <w:p>
      <w:pPr>
        <w:pStyle w:val="ListParagraph"/>
        <w:numPr>
          <w:ilvl w:val="0"/>
          <w:numId w:val="3"/>
        </w:numPr>
        <w:tabs>
          <w:tab w:pos="459" w:val="left" w:leader="none"/>
          <w:tab w:pos="460" w:val="left" w:leader="none"/>
        </w:tabs>
        <w:spacing w:line="240" w:lineRule="auto" w:before="118" w:after="0"/>
        <w:ind w:left="460" w:right="0" w:hanging="360"/>
        <w:jc w:val="left"/>
        <w:rPr>
          <w:sz w:val="24"/>
        </w:rPr>
      </w:pPr>
      <w:r>
        <w:rPr>
          <w:sz w:val="24"/>
        </w:rPr>
        <w:t>VS GUI application 1.7.1</w:t>
      </w:r>
      <w:r>
        <w:rPr>
          <w:spacing w:val="-2"/>
          <w:sz w:val="24"/>
        </w:rPr>
        <w:t> </w:t>
      </w:r>
      <w:r>
        <w:rPr>
          <w:sz w:val="24"/>
        </w:rPr>
        <w:t>R1</w:t>
      </w:r>
    </w:p>
    <w:p>
      <w:pPr>
        <w:pStyle w:val="ListParagraph"/>
        <w:numPr>
          <w:ilvl w:val="0"/>
          <w:numId w:val="3"/>
        </w:numPr>
        <w:tabs>
          <w:tab w:pos="459" w:val="left" w:leader="none"/>
          <w:tab w:pos="460" w:val="left" w:leader="none"/>
        </w:tabs>
        <w:spacing w:line="240" w:lineRule="auto" w:before="60" w:after="0"/>
        <w:ind w:left="460" w:right="0" w:hanging="360"/>
        <w:jc w:val="left"/>
        <w:rPr>
          <w:sz w:val="24"/>
        </w:rPr>
      </w:pPr>
      <w:r>
        <w:rPr>
          <w:sz w:val="24"/>
        </w:rPr>
        <w:t>VistA M patch</w:t>
      </w:r>
      <w:r>
        <w:rPr>
          <w:spacing w:val="-1"/>
          <w:sz w:val="24"/>
        </w:rPr>
        <w:t> </w:t>
      </w:r>
      <w:r>
        <w:rPr>
          <w:sz w:val="24"/>
        </w:rPr>
        <w:t>SD*5.3*745</w:t>
      </w:r>
    </w:p>
    <w:p>
      <w:pPr>
        <w:pStyle w:val="ListParagraph"/>
        <w:numPr>
          <w:ilvl w:val="0"/>
          <w:numId w:val="3"/>
        </w:numPr>
        <w:tabs>
          <w:tab w:pos="459" w:val="left" w:leader="none"/>
          <w:tab w:pos="460" w:val="left" w:leader="none"/>
        </w:tabs>
        <w:spacing w:line="240" w:lineRule="auto" w:before="59" w:after="0"/>
        <w:ind w:left="460" w:right="0" w:hanging="360"/>
        <w:jc w:val="left"/>
        <w:rPr>
          <w:sz w:val="24"/>
        </w:rPr>
      </w:pPr>
      <w:r>
        <w:rPr>
          <w:sz w:val="24"/>
        </w:rPr>
        <w:t>VistA Informational Patch</w:t>
      </w:r>
      <w:r>
        <w:rPr>
          <w:spacing w:val="-1"/>
          <w:sz w:val="24"/>
        </w:rPr>
        <w:t> </w:t>
      </w:r>
      <w:r>
        <w:rPr>
          <w:sz w:val="24"/>
        </w:rPr>
        <w:t>SD*5.3*751</w:t>
      </w:r>
    </w:p>
    <w:p>
      <w:pPr>
        <w:pStyle w:val="Heading2"/>
        <w:numPr>
          <w:ilvl w:val="1"/>
          <w:numId w:val="2"/>
        </w:numPr>
        <w:tabs>
          <w:tab w:pos="1036" w:val="left" w:leader="none"/>
          <w:tab w:pos="1037" w:val="left" w:leader="none"/>
        </w:tabs>
        <w:spacing w:line="240" w:lineRule="auto" w:before="239" w:after="0"/>
        <w:ind w:left="1036" w:right="0" w:hanging="937"/>
        <w:jc w:val="left"/>
      </w:pPr>
      <w:bookmarkStart w:name="_bookmark2" w:id="5"/>
      <w:bookmarkEnd w:id="5"/>
      <w:r>
        <w:rPr>
          <w:b w:val="0"/>
        </w:rPr>
      </w:r>
      <w:bookmarkStart w:name="_bookmark2" w:id="6"/>
      <w:bookmarkEnd w:id="6"/>
      <w:r>
        <w:rPr/>
        <w:t>Audie</w:t>
      </w:r>
      <w:r>
        <w:rPr/>
        <w:t>nce</w:t>
      </w:r>
    </w:p>
    <w:p>
      <w:pPr>
        <w:pStyle w:val="BodyText"/>
        <w:spacing w:before="121"/>
        <w:ind w:left="100"/>
      </w:pPr>
      <w:r>
        <w:rPr/>
        <w:t>This document targets the administrators and users of the VistA Scheduling package.</w:t>
      </w:r>
    </w:p>
    <w:p>
      <w:pPr>
        <w:pStyle w:val="BodyText"/>
        <w:spacing w:before="10"/>
        <w:rPr>
          <w:sz w:val="20"/>
        </w:rPr>
      </w:pPr>
    </w:p>
    <w:p>
      <w:pPr>
        <w:pStyle w:val="Heading1"/>
        <w:numPr>
          <w:ilvl w:val="0"/>
          <w:numId w:val="2"/>
        </w:numPr>
        <w:tabs>
          <w:tab w:pos="892" w:val="left" w:leader="none"/>
          <w:tab w:pos="893" w:val="left" w:leader="none"/>
        </w:tabs>
        <w:spacing w:line="240" w:lineRule="auto" w:before="0" w:after="0"/>
        <w:ind w:left="892" w:right="0" w:hanging="793"/>
        <w:jc w:val="left"/>
      </w:pPr>
      <w:bookmarkStart w:name="_bookmark3" w:id="7"/>
      <w:bookmarkEnd w:id="7"/>
      <w:r>
        <w:rPr>
          <w:b w:val="0"/>
        </w:rPr>
      </w:r>
      <w:bookmarkStart w:name="_bookmark3" w:id="8"/>
      <w:bookmarkEnd w:id="8"/>
      <w:r>
        <w:rPr/>
        <w:t>T</w:t>
      </w:r>
      <w:r>
        <w:rPr/>
        <w:t>his</w:t>
      </w:r>
      <w:r>
        <w:rPr>
          <w:spacing w:val="-1"/>
        </w:rPr>
        <w:t> </w:t>
      </w:r>
      <w:r>
        <w:rPr/>
        <w:t>Release</w:t>
      </w:r>
    </w:p>
    <w:p>
      <w:pPr>
        <w:pStyle w:val="BodyText"/>
        <w:spacing w:before="120"/>
        <w:ind w:left="100" w:right="370"/>
      </w:pPr>
      <w:r>
        <w:rPr/>
        <w:t>Please see </w:t>
      </w:r>
      <w:hyperlink w:history="true" w:anchor="_bookmark4">
        <w:r>
          <w:rPr>
            <w:color w:val="0000FF"/>
            <w:u w:val="single" w:color="0000FF"/>
          </w:rPr>
          <w:t>Features and Functionality</w:t>
        </w:r>
        <w:r>
          <w:rPr>
            <w:color w:val="0000FF"/>
          </w:rPr>
          <w:t> </w:t>
        </w:r>
      </w:hyperlink>
      <w:r>
        <w:rPr/>
        <w:t>for a summary of the enhancements and defect corrections implemented by the VistA Scheduling Enhancements (VSE) project.</w:t>
      </w:r>
    </w:p>
    <w:p>
      <w:pPr>
        <w:pStyle w:val="BodyText"/>
        <w:spacing w:before="9"/>
        <w:rPr>
          <w:sz w:val="20"/>
        </w:rPr>
      </w:pPr>
    </w:p>
    <w:p>
      <w:pPr>
        <w:pStyle w:val="Heading1"/>
        <w:numPr>
          <w:ilvl w:val="0"/>
          <w:numId w:val="2"/>
        </w:numPr>
        <w:tabs>
          <w:tab w:pos="892" w:val="left" w:leader="none"/>
          <w:tab w:pos="893" w:val="left" w:leader="none"/>
        </w:tabs>
        <w:spacing w:line="240" w:lineRule="auto" w:before="0" w:after="0"/>
        <w:ind w:left="892" w:right="0" w:hanging="793"/>
        <w:jc w:val="left"/>
      </w:pPr>
      <w:bookmarkStart w:name="_bookmark4" w:id="9"/>
      <w:bookmarkEnd w:id="9"/>
      <w:r>
        <w:rPr>
          <w:b w:val="0"/>
        </w:rPr>
      </w:r>
      <w:bookmarkStart w:name="_bookmark4" w:id="10"/>
      <w:bookmarkEnd w:id="10"/>
      <w:r>
        <w:rPr/>
        <w:t>Featu</w:t>
      </w:r>
      <w:r>
        <w:rPr/>
        <w:t>res and</w:t>
      </w:r>
      <w:r>
        <w:rPr>
          <w:spacing w:val="-2"/>
        </w:rPr>
        <w:t> </w:t>
      </w:r>
      <w:r>
        <w:rPr/>
        <w:t>Functionality</w:t>
      </w:r>
    </w:p>
    <w:p>
      <w:pPr>
        <w:pStyle w:val="BodyText"/>
        <w:spacing w:before="121"/>
        <w:ind w:left="100" w:right="315"/>
      </w:pPr>
      <w:r>
        <w:rPr/>
        <w:t>The following subsections describe the features included in the VS GUI 1.7.1 R1 package, VistA M patch SD*5.3*745, and VistA informational patch SD*5.3*751.</w:t>
      </w:r>
    </w:p>
    <w:p>
      <w:pPr>
        <w:pStyle w:val="BodyText"/>
        <w:spacing w:before="10"/>
        <w:rPr>
          <w:sz w:val="20"/>
        </w:rPr>
      </w:pPr>
    </w:p>
    <w:p>
      <w:pPr>
        <w:pStyle w:val="Heading2"/>
        <w:numPr>
          <w:ilvl w:val="1"/>
          <w:numId w:val="2"/>
        </w:numPr>
        <w:tabs>
          <w:tab w:pos="1036" w:val="left" w:leader="none"/>
          <w:tab w:pos="1037" w:val="left" w:leader="none"/>
        </w:tabs>
        <w:spacing w:line="240" w:lineRule="auto" w:before="0" w:after="0"/>
        <w:ind w:left="1036" w:right="0" w:hanging="937"/>
        <w:jc w:val="left"/>
      </w:pPr>
      <w:bookmarkStart w:name="_bookmark5" w:id="11"/>
      <w:bookmarkEnd w:id="11"/>
      <w:r>
        <w:rPr>
          <w:b w:val="0"/>
        </w:rPr>
      </w:r>
      <w:bookmarkStart w:name="_bookmark5" w:id="12"/>
      <w:bookmarkEnd w:id="12"/>
      <w:r>
        <w:rPr/>
        <w:t>Enhance</w:t>
      </w:r>
      <w:r>
        <w:rPr/>
        <w:t>ments</w:t>
      </w:r>
      <w:r>
        <w:rPr>
          <w:spacing w:val="-1"/>
        </w:rPr>
        <w:t> </w:t>
      </w:r>
      <w:r>
        <w:rPr/>
        <w:t>Implemented</w:t>
      </w:r>
    </w:p>
    <w:p>
      <w:pPr>
        <w:pStyle w:val="BodyText"/>
        <w:spacing w:before="120"/>
        <w:ind w:left="100"/>
      </w:pPr>
      <w:r>
        <w:rPr/>
        <w:t>Table 1 lists the enhancements included in VS GUI Release 1.7.1.</w:t>
      </w:r>
    </w:p>
    <w:p>
      <w:pPr>
        <w:pStyle w:val="BodyText"/>
        <w:spacing w:before="4"/>
        <w:rPr>
          <w:sz w:val="31"/>
        </w:rPr>
      </w:pPr>
    </w:p>
    <w:p>
      <w:pPr>
        <w:spacing w:before="0"/>
        <w:ind w:left="2422" w:right="2262" w:firstLine="0"/>
        <w:jc w:val="center"/>
        <w:rPr>
          <w:rFonts w:ascii="Arial"/>
          <w:b/>
          <w:sz w:val="20"/>
        </w:rPr>
      </w:pPr>
      <w:bookmarkStart w:name="_bookmark6" w:id="13"/>
      <w:bookmarkEnd w:id="13"/>
      <w:r>
        <w:rPr/>
      </w:r>
      <w:r>
        <w:rPr>
          <w:rFonts w:ascii="Arial"/>
          <w:b/>
          <w:sz w:val="20"/>
        </w:rPr>
        <w:t>Table 1: Enhancements in VS GUI Release 1.7.1</w:t>
      </w:r>
    </w:p>
    <w:p>
      <w:pPr>
        <w:pStyle w:val="BodyText"/>
        <w:spacing w:before="2"/>
        <w:rPr>
          <w:rFonts w:ascii="Arial"/>
          <w:b/>
          <w:sz w:val="5"/>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6"/>
        <w:gridCol w:w="8011"/>
      </w:tblGrid>
      <w:tr>
        <w:trPr>
          <w:trHeight w:val="310" w:hRule="atLeast"/>
        </w:trPr>
        <w:tc>
          <w:tcPr>
            <w:tcW w:w="1526" w:type="dxa"/>
            <w:shd w:val="clear" w:color="auto" w:fill="F1F1F1"/>
          </w:tcPr>
          <w:p>
            <w:pPr>
              <w:pStyle w:val="TableParagraph"/>
              <w:rPr>
                <w:b/>
                <w:sz w:val="20"/>
              </w:rPr>
            </w:pPr>
            <w:r>
              <w:rPr>
                <w:b/>
                <w:sz w:val="20"/>
              </w:rPr>
              <w:t>Work Item ID</w:t>
            </w:r>
          </w:p>
        </w:tc>
        <w:tc>
          <w:tcPr>
            <w:tcW w:w="8011" w:type="dxa"/>
            <w:shd w:val="clear" w:color="auto" w:fill="F1F1F1"/>
          </w:tcPr>
          <w:p>
            <w:pPr>
              <w:pStyle w:val="TableParagraph"/>
              <w:rPr>
                <w:b/>
                <w:sz w:val="20"/>
              </w:rPr>
            </w:pPr>
            <w:r>
              <w:rPr>
                <w:b/>
                <w:sz w:val="20"/>
              </w:rPr>
              <w:t>Summary of Enhancements</w:t>
            </w:r>
          </w:p>
        </w:tc>
      </w:tr>
      <w:tr>
        <w:trPr>
          <w:trHeight w:val="309" w:hRule="atLeast"/>
        </w:trPr>
        <w:tc>
          <w:tcPr>
            <w:tcW w:w="1526" w:type="dxa"/>
          </w:tcPr>
          <w:p>
            <w:pPr>
              <w:pStyle w:val="TableParagraph"/>
              <w:rPr>
                <w:sz w:val="20"/>
              </w:rPr>
            </w:pPr>
            <w:r>
              <w:rPr>
                <w:sz w:val="20"/>
              </w:rPr>
              <w:t>862593</w:t>
            </w:r>
          </w:p>
        </w:tc>
        <w:tc>
          <w:tcPr>
            <w:tcW w:w="8011" w:type="dxa"/>
          </w:tcPr>
          <w:p>
            <w:pPr>
              <w:pStyle w:val="TableParagraph"/>
              <w:rPr>
                <w:sz w:val="20"/>
              </w:rPr>
            </w:pPr>
            <w:r>
              <w:rPr>
                <w:sz w:val="20"/>
              </w:rPr>
              <w:t>Update PID when rescheduling appointments</w:t>
            </w:r>
          </w:p>
        </w:tc>
      </w:tr>
      <w:tr>
        <w:trPr>
          <w:trHeight w:val="540" w:hRule="atLeast"/>
        </w:trPr>
        <w:tc>
          <w:tcPr>
            <w:tcW w:w="1526" w:type="dxa"/>
          </w:tcPr>
          <w:p>
            <w:pPr>
              <w:pStyle w:val="TableParagraph"/>
              <w:spacing w:before="41"/>
              <w:rPr>
                <w:sz w:val="20"/>
              </w:rPr>
            </w:pPr>
            <w:r>
              <w:rPr>
                <w:sz w:val="20"/>
              </w:rPr>
              <w:t>1248080</w:t>
            </w:r>
          </w:p>
        </w:tc>
        <w:tc>
          <w:tcPr>
            <w:tcW w:w="8011" w:type="dxa"/>
          </w:tcPr>
          <w:p>
            <w:pPr>
              <w:pStyle w:val="TableParagraph"/>
              <w:spacing w:before="41"/>
              <w:ind w:right="204"/>
              <w:rPr>
                <w:sz w:val="20"/>
              </w:rPr>
            </w:pPr>
            <w:r>
              <w:rPr>
                <w:sz w:val="20"/>
              </w:rPr>
              <w:t>Display Computerized Patient Record System (CPRS) Consult Tab details on the View Request screen for Consults in the Request Management (RM) grid</w:t>
            </w:r>
          </w:p>
        </w:tc>
      </w:tr>
      <w:tr>
        <w:trPr>
          <w:trHeight w:val="309" w:hRule="atLeast"/>
        </w:trPr>
        <w:tc>
          <w:tcPr>
            <w:tcW w:w="1526" w:type="dxa"/>
          </w:tcPr>
          <w:p>
            <w:pPr>
              <w:pStyle w:val="TableParagraph"/>
              <w:rPr>
                <w:sz w:val="20"/>
              </w:rPr>
            </w:pPr>
            <w:r>
              <w:rPr>
                <w:sz w:val="20"/>
              </w:rPr>
              <w:t>1249141</w:t>
            </w:r>
          </w:p>
        </w:tc>
        <w:tc>
          <w:tcPr>
            <w:tcW w:w="8011" w:type="dxa"/>
          </w:tcPr>
          <w:p>
            <w:pPr>
              <w:pStyle w:val="TableParagraph"/>
              <w:rPr>
                <w:sz w:val="20"/>
              </w:rPr>
            </w:pPr>
            <w:r>
              <w:rPr>
                <w:sz w:val="20"/>
              </w:rPr>
              <w:t>Display Contact Attempt (CA) information in the RM Grid</w:t>
            </w:r>
          </w:p>
        </w:tc>
      </w:tr>
      <w:tr>
        <w:trPr>
          <w:trHeight w:val="310" w:hRule="atLeast"/>
        </w:trPr>
        <w:tc>
          <w:tcPr>
            <w:tcW w:w="1526" w:type="dxa"/>
          </w:tcPr>
          <w:p>
            <w:pPr>
              <w:pStyle w:val="TableParagraph"/>
              <w:spacing w:before="41"/>
              <w:rPr>
                <w:sz w:val="20"/>
              </w:rPr>
            </w:pPr>
            <w:r>
              <w:rPr>
                <w:sz w:val="20"/>
              </w:rPr>
              <w:t>1249145</w:t>
            </w:r>
          </w:p>
        </w:tc>
        <w:tc>
          <w:tcPr>
            <w:tcW w:w="8011" w:type="dxa"/>
          </w:tcPr>
          <w:p>
            <w:pPr>
              <w:pStyle w:val="TableParagraph"/>
              <w:spacing w:before="41"/>
              <w:rPr>
                <w:sz w:val="20"/>
              </w:rPr>
            </w:pPr>
            <w:r>
              <w:rPr>
                <w:sz w:val="20"/>
              </w:rPr>
              <w:t>Update the label ‘CID’ to read ‘PID’ throughout the VS GUI to comply with VA protocols</w:t>
            </w:r>
          </w:p>
        </w:tc>
      </w:tr>
      <w:tr>
        <w:trPr>
          <w:trHeight w:val="309" w:hRule="atLeast"/>
        </w:trPr>
        <w:tc>
          <w:tcPr>
            <w:tcW w:w="1526" w:type="dxa"/>
          </w:tcPr>
          <w:p>
            <w:pPr>
              <w:pStyle w:val="TableParagraph"/>
              <w:rPr>
                <w:sz w:val="20"/>
              </w:rPr>
            </w:pPr>
            <w:r>
              <w:rPr>
                <w:sz w:val="20"/>
              </w:rPr>
              <w:t>1249147</w:t>
            </w:r>
          </w:p>
        </w:tc>
        <w:tc>
          <w:tcPr>
            <w:tcW w:w="8011" w:type="dxa"/>
          </w:tcPr>
          <w:p>
            <w:pPr>
              <w:pStyle w:val="TableParagraph"/>
              <w:rPr>
                <w:sz w:val="20"/>
              </w:rPr>
            </w:pPr>
            <w:r>
              <w:rPr>
                <w:sz w:val="20"/>
              </w:rPr>
              <w:t>Enable view-only users’ access to CA history</w:t>
            </w:r>
          </w:p>
        </w:tc>
      </w:tr>
      <w:tr>
        <w:trPr>
          <w:trHeight w:val="310" w:hRule="atLeast"/>
        </w:trPr>
        <w:tc>
          <w:tcPr>
            <w:tcW w:w="1526" w:type="dxa"/>
          </w:tcPr>
          <w:p>
            <w:pPr>
              <w:pStyle w:val="TableParagraph"/>
              <w:spacing w:before="41"/>
              <w:rPr>
                <w:sz w:val="20"/>
              </w:rPr>
            </w:pPr>
            <w:r>
              <w:rPr>
                <w:sz w:val="20"/>
              </w:rPr>
              <w:t>1252679</w:t>
            </w:r>
          </w:p>
        </w:tc>
        <w:tc>
          <w:tcPr>
            <w:tcW w:w="8011" w:type="dxa"/>
          </w:tcPr>
          <w:p>
            <w:pPr>
              <w:pStyle w:val="TableParagraph"/>
              <w:spacing w:before="41"/>
              <w:rPr>
                <w:sz w:val="20"/>
              </w:rPr>
            </w:pPr>
            <w:r>
              <w:rPr>
                <w:sz w:val="20"/>
              </w:rPr>
              <w:t>New COVID-19 cancellation reason code of PANDEMIC</w:t>
            </w:r>
          </w:p>
        </w:tc>
      </w:tr>
      <w:tr>
        <w:trPr>
          <w:trHeight w:val="310" w:hRule="atLeast"/>
        </w:trPr>
        <w:tc>
          <w:tcPr>
            <w:tcW w:w="1526" w:type="dxa"/>
          </w:tcPr>
          <w:p>
            <w:pPr>
              <w:pStyle w:val="TableParagraph"/>
              <w:rPr>
                <w:sz w:val="20"/>
              </w:rPr>
            </w:pPr>
            <w:r>
              <w:rPr>
                <w:sz w:val="20"/>
              </w:rPr>
              <w:t>1253132</w:t>
            </w:r>
          </w:p>
        </w:tc>
        <w:tc>
          <w:tcPr>
            <w:tcW w:w="8011" w:type="dxa"/>
          </w:tcPr>
          <w:p>
            <w:pPr>
              <w:pStyle w:val="TableParagraph"/>
              <w:rPr>
                <w:sz w:val="20"/>
              </w:rPr>
            </w:pPr>
            <w:r>
              <w:rPr>
                <w:sz w:val="20"/>
              </w:rPr>
              <w:t>Update the default order and header names in the RM Grid</w:t>
            </w:r>
          </w:p>
        </w:tc>
      </w:tr>
      <w:tr>
        <w:trPr>
          <w:trHeight w:val="310" w:hRule="atLeast"/>
        </w:trPr>
        <w:tc>
          <w:tcPr>
            <w:tcW w:w="1526" w:type="dxa"/>
          </w:tcPr>
          <w:p>
            <w:pPr>
              <w:pStyle w:val="TableParagraph"/>
              <w:rPr>
                <w:sz w:val="20"/>
              </w:rPr>
            </w:pPr>
            <w:r>
              <w:rPr>
                <w:sz w:val="20"/>
              </w:rPr>
              <w:t>1256044</w:t>
            </w:r>
          </w:p>
        </w:tc>
        <w:tc>
          <w:tcPr>
            <w:tcW w:w="8011" w:type="dxa"/>
          </w:tcPr>
          <w:p>
            <w:pPr>
              <w:pStyle w:val="TableParagraph"/>
              <w:rPr>
                <w:sz w:val="20"/>
              </w:rPr>
            </w:pPr>
            <w:r>
              <w:rPr>
                <w:sz w:val="20"/>
              </w:rPr>
              <w:t>Disable update PID option when cancelling Consult appointments</w:t>
            </w:r>
          </w:p>
        </w:tc>
      </w:tr>
    </w:tbl>
    <w:p>
      <w:pPr>
        <w:spacing w:after="0"/>
        <w:rPr>
          <w:sz w:val="20"/>
        </w:rPr>
        <w:sectPr>
          <w:footerReference w:type="default" r:id="rId8"/>
          <w:pgSz w:w="12240" w:h="15840"/>
          <w:pgMar w:footer="741" w:header="0" w:top="1500" w:bottom="940" w:left="1340" w:right="1140"/>
          <w:pgNumType w:start="1"/>
        </w:sectPr>
      </w:pPr>
    </w:p>
    <w:p>
      <w:pPr>
        <w:pStyle w:val="BodyText"/>
        <w:rPr>
          <w:rFonts w:ascii="Arial"/>
          <w:b/>
          <w:sz w:val="20"/>
        </w:rPr>
      </w:pPr>
    </w:p>
    <w:p>
      <w:pPr>
        <w:pStyle w:val="Heading2"/>
        <w:numPr>
          <w:ilvl w:val="1"/>
          <w:numId w:val="2"/>
        </w:numPr>
        <w:tabs>
          <w:tab w:pos="1036" w:val="left" w:leader="none"/>
          <w:tab w:pos="1037" w:val="left" w:leader="none"/>
        </w:tabs>
        <w:spacing w:line="240" w:lineRule="auto" w:before="226" w:after="0"/>
        <w:ind w:left="1036" w:right="0" w:hanging="937"/>
        <w:jc w:val="left"/>
      </w:pPr>
      <w:bookmarkStart w:name="_bookmark7" w:id="14"/>
      <w:bookmarkEnd w:id="14"/>
      <w:r>
        <w:rPr>
          <w:b w:val="0"/>
        </w:rPr>
      </w:r>
      <w:bookmarkStart w:name="_bookmark7" w:id="15"/>
      <w:bookmarkEnd w:id="15"/>
      <w:r>
        <w:rPr/>
        <w:t>Def</w:t>
      </w:r>
      <w:r>
        <w:rPr/>
        <w:t>ects</w:t>
      </w:r>
      <w:r>
        <w:rPr>
          <w:spacing w:val="-2"/>
        </w:rPr>
        <w:t> </w:t>
      </w:r>
      <w:r>
        <w:rPr/>
        <w:t>Corrected</w:t>
      </w:r>
    </w:p>
    <w:p>
      <w:pPr>
        <w:pStyle w:val="BodyText"/>
        <w:spacing w:before="120"/>
        <w:ind w:left="100" w:right="503"/>
      </w:pPr>
      <w:r>
        <w:rPr/>
        <w:t>Table 2 lists the defect correction(s) included in this release. All correction(s) are complete and do not require workarounds to be effective.</w:t>
      </w:r>
    </w:p>
    <w:p>
      <w:pPr>
        <w:pStyle w:val="BodyText"/>
        <w:spacing w:before="4"/>
        <w:rPr>
          <w:sz w:val="31"/>
        </w:rPr>
      </w:pPr>
    </w:p>
    <w:p>
      <w:pPr>
        <w:spacing w:before="0"/>
        <w:ind w:left="2422" w:right="2262" w:firstLine="0"/>
        <w:jc w:val="center"/>
        <w:rPr>
          <w:rFonts w:ascii="Arial"/>
          <w:b/>
          <w:sz w:val="20"/>
        </w:rPr>
      </w:pPr>
      <w:bookmarkStart w:name="_bookmark8" w:id="16"/>
      <w:bookmarkEnd w:id="16"/>
      <w:r>
        <w:rPr/>
      </w:r>
      <w:r>
        <w:rPr>
          <w:rFonts w:ascii="Arial"/>
          <w:b/>
          <w:sz w:val="20"/>
        </w:rPr>
        <w:t>Table 2: Defects Corrected in VistA Patch SD*5.3*745</w:t>
      </w:r>
    </w:p>
    <w:p>
      <w:pPr>
        <w:pStyle w:val="BodyText"/>
        <w:spacing w:before="2"/>
        <w:rPr>
          <w:rFonts w:ascii="Arial"/>
          <w:b/>
          <w:sz w:val="5"/>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6"/>
        <w:gridCol w:w="8011"/>
      </w:tblGrid>
      <w:tr>
        <w:trPr>
          <w:trHeight w:val="310" w:hRule="atLeast"/>
        </w:trPr>
        <w:tc>
          <w:tcPr>
            <w:tcW w:w="1526" w:type="dxa"/>
            <w:shd w:val="clear" w:color="auto" w:fill="F1F1F1"/>
          </w:tcPr>
          <w:p>
            <w:pPr>
              <w:pStyle w:val="TableParagraph"/>
              <w:rPr>
                <w:b/>
                <w:sz w:val="20"/>
              </w:rPr>
            </w:pPr>
            <w:r>
              <w:rPr>
                <w:b/>
                <w:sz w:val="20"/>
              </w:rPr>
              <w:t>Work Item ID</w:t>
            </w:r>
          </w:p>
        </w:tc>
        <w:tc>
          <w:tcPr>
            <w:tcW w:w="8011" w:type="dxa"/>
            <w:shd w:val="clear" w:color="auto" w:fill="F1F1F1"/>
          </w:tcPr>
          <w:p>
            <w:pPr>
              <w:pStyle w:val="TableParagraph"/>
              <w:rPr>
                <w:b/>
                <w:sz w:val="20"/>
              </w:rPr>
            </w:pPr>
            <w:r>
              <w:rPr>
                <w:b/>
                <w:sz w:val="20"/>
              </w:rPr>
              <w:t>Summary of Functional Defects</w:t>
            </w:r>
          </w:p>
        </w:tc>
      </w:tr>
      <w:tr>
        <w:trPr>
          <w:trHeight w:val="309" w:hRule="atLeast"/>
        </w:trPr>
        <w:tc>
          <w:tcPr>
            <w:tcW w:w="1526" w:type="dxa"/>
          </w:tcPr>
          <w:p>
            <w:pPr>
              <w:pStyle w:val="TableParagraph"/>
              <w:rPr>
                <w:sz w:val="20"/>
              </w:rPr>
            </w:pPr>
            <w:r>
              <w:rPr>
                <w:sz w:val="20"/>
              </w:rPr>
              <w:t>1181077</w:t>
            </w:r>
          </w:p>
        </w:tc>
        <w:tc>
          <w:tcPr>
            <w:tcW w:w="8011" w:type="dxa"/>
          </w:tcPr>
          <w:p>
            <w:pPr>
              <w:pStyle w:val="TableParagraph"/>
              <w:rPr>
                <w:sz w:val="20"/>
              </w:rPr>
            </w:pPr>
            <w:r>
              <w:rPr>
                <w:sz w:val="20"/>
              </w:rPr>
              <w:t>Standards and Conventions Committee (SACC) Compliance Fix (XINDEX Scan)</w:t>
            </w:r>
          </w:p>
        </w:tc>
      </w:tr>
      <w:tr>
        <w:trPr>
          <w:trHeight w:val="310" w:hRule="atLeast"/>
        </w:trPr>
        <w:tc>
          <w:tcPr>
            <w:tcW w:w="1526" w:type="dxa"/>
          </w:tcPr>
          <w:p>
            <w:pPr>
              <w:pStyle w:val="TableParagraph"/>
              <w:spacing w:before="41"/>
              <w:rPr>
                <w:sz w:val="20"/>
              </w:rPr>
            </w:pPr>
            <w:r>
              <w:rPr>
                <w:sz w:val="20"/>
              </w:rPr>
              <w:t>1235815</w:t>
            </w:r>
          </w:p>
        </w:tc>
        <w:tc>
          <w:tcPr>
            <w:tcW w:w="8011" w:type="dxa"/>
          </w:tcPr>
          <w:p>
            <w:pPr>
              <w:pStyle w:val="TableParagraph"/>
              <w:spacing w:before="41"/>
              <w:rPr>
                <w:sz w:val="20"/>
              </w:rPr>
            </w:pPr>
            <w:r>
              <w:rPr>
                <w:sz w:val="20"/>
              </w:rPr>
              <w:t>Accept flags from external applications into the VS GUI cancellation routine</w:t>
            </w:r>
          </w:p>
        </w:tc>
      </w:tr>
      <w:tr>
        <w:trPr>
          <w:trHeight w:val="539" w:hRule="atLeast"/>
        </w:trPr>
        <w:tc>
          <w:tcPr>
            <w:tcW w:w="1526" w:type="dxa"/>
          </w:tcPr>
          <w:p>
            <w:pPr>
              <w:pStyle w:val="TableParagraph"/>
              <w:rPr>
                <w:sz w:val="20"/>
              </w:rPr>
            </w:pPr>
            <w:r>
              <w:rPr>
                <w:sz w:val="20"/>
              </w:rPr>
              <w:t>1245780</w:t>
            </w:r>
          </w:p>
        </w:tc>
        <w:tc>
          <w:tcPr>
            <w:tcW w:w="8011" w:type="dxa"/>
          </w:tcPr>
          <w:p>
            <w:pPr>
              <w:pStyle w:val="TableParagraph"/>
              <w:ind w:right="325"/>
              <w:rPr>
                <w:sz w:val="20"/>
              </w:rPr>
            </w:pPr>
            <w:r>
              <w:rPr>
                <w:sz w:val="20"/>
              </w:rPr>
              <w:t>Background job to disposition open CPRS Return to Clinic (RTC) orders scheduled in VistA</w:t>
            </w:r>
          </w:p>
        </w:tc>
      </w:tr>
      <w:tr>
        <w:trPr>
          <w:trHeight w:val="310" w:hRule="atLeast"/>
        </w:trPr>
        <w:tc>
          <w:tcPr>
            <w:tcW w:w="1526" w:type="dxa"/>
          </w:tcPr>
          <w:p>
            <w:pPr>
              <w:pStyle w:val="TableParagraph"/>
              <w:spacing w:before="41"/>
              <w:rPr>
                <w:sz w:val="20"/>
              </w:rPr>
            </w:pPr>
            <w:r>
              <w:rPr>
                <w:sz w:val="20"/>
              </w:rPr>
              <w:t>1279236</w:t>
            </w:r>
          </w:p>
        </w:tc>
        <w:tc>
          <w:tcPr>
            <w:tcW w:w="8011" w:type="dxa"/>
          </w:tcPr>
          <w:p>
            <w:pPr>
              <w:pStyle w:val="TableParagraph"/>
              <w:spacing w:before="41"/>
              <w:rPr>
                <w:sz w:val="20"/>
              </w:rPr>
            </w:pPr>
            <w:r>
              <w:rPr>
                <w:sz w:val="20"/>
              </w:rPr>
              <w:t>Fix truncated clinic IDs</w:t>
            </w:r>
          </w:p>
        </w:tc>
      </w:tr>
    </w:tbl>
    <w:p>
      <w:pPr>
        <w:spacing w:after="0"/>
        <w:rPr>
          <w:sz w:val="20"/>
        </w:rPr>
        <w:sectPr>
          <w:pgSz w:w="12240" w:h="15840"/>
          <w:pgMar w:header="0" w:footer="741" w:top="1500" w:bottom="940" w:left="1340" w:right="1140"/>
        </w:sectPr>
      </w:pPr>
    </w:p>
    <w:p>
      <w:pPr>
        <w:pStyle w:val="Heading1"/>
        <w:numPr>
          <w:ilvl w:val="0"/>
          <w:numId w:val="2"/>
        </w:numPr>
        <w:tabs>
          <w:tab w:pos="892" w:val="left" w:leader="none"/>
          <w:tab w:pos="893" w:val="left" w:leader="none"/>
        </w:tabs>
        <w:spacing w:line="240" w:lineRule="auto" w:before="80" w:after="0"/>
        <w:ind w:left="892" w:right="0" w:hanging="793"/>
        <w:jc w:val="left"/>
      </w:pPr>
      <w:bookmarkStart w:name="_bookmark9" w:id="17"/>
      <w:bookmarkEnd w:id="17"/>
      <w:r>
        <w:rPr>
          <w:b w:val="0"/>
        </w:rPr>
      </w:r>
      <w:bookmarkStart w:name="_bookmark9" w:id="18"/>
      <w:bookmarkEnd w:id="18"/>
      <w:r>
        <w:rPr/>
        <w:t>User</w:t>
      </w:r>
      <w:r>
        <w:rPr/>
        <w:t> Documentation</w:t>
      </w:r>
    </w:p>
    <w:p>
      <w:pPr>
        <w:pStyle w:val="BodyText"/>
        <w:spacing w:before="120"/>
        <w:ind w:left="100" w:right="488"/>
      </w:pPr>
      <w:r>
        <w:rPr/>
        <w:t>The documentation distributed with VSE GUI Release 1.7.1 is available for download from the </w:t>
      </w:r>
      <w:hyperlink r:id="rId9">
        <w:r>
          <w:rPr>
            <w:color w:val="0000FF"/>
            <w:u w:val="single" w:color="0000FF"/>
          </w:rPr>
          <w:t>VistA Documentation Library</w:t>
        </w:r>
        <w:r>
          <w:rPr>
            <w:color w:val="0000FF"/>
          </w:rPr>
          <w:t> </w:t>
        </w:r>
      </w:hyperlink>
      <w:r>
        <w:rPr/>
        <w:t>(VDL).</w:t>
      </w:r>
    </w:p>
    <w:p>
      <w:pPr>
        <w:pStyle w:val="BodyText"/>
        <w:spacing w:before="121"/>
        <w:ind w:left="100"/>
      </w:pPr>
      <w:r>
        <w:rPr/>
        <w:t>The documents available for this release are:</w:t>
      </w:r>
    </w:p>
    <w:p>
      <w:pPr>
        <w:pStyle w:val="ListParagraph"/>
        <w:numPr>
          <w:ilvl w:val="0"/>
          <w:numId w:val="3"/>
        </w:numPr>
        <w:tabs>
          <w:tab w:pos="459" w:val="left" w:leader="none"/>
          <w:tab w:pos="460" w:val="left" w:leader="none"/>
        </w:tabs>
        <w:spacing w:line="240" w:lineRule="auto" w:before="120" w:after="0"/>
        <w:ind w:left="460" w:right="0" w:hanging="360"/>
        <w:jc w:val="left"/>
        <w:rPr>
          <w:sz w:val="24"/>
        </w:rPr>
      </w:pPr>
      <w:r>
        <w:rPr>
          <w:sz w:val="24"/>
        </w:rPr>
        <w:t>VS GUI Release 1.7.1 Deployment, Installation, Backout, and Rollback (DIBR)</w:t>
      </w:r>
      <w:r>
        <w:rPr>
          <w:spacing w:val="-4"/>
          <w:sz w:val="24"/>
        </w:rPr>
        <w:t> </w:t>
      </w:r>
      <w:r>
        <w:rPr>
          <w:sz w:val="24"/>
        </w:rPr>
        <w:t>Guide</w:t>
      </w:r>
    </w:p>
    <w:p>
      <w:pPr>
        <w:pStyle w:val="ListParagraph"/>
        <w:numPr>
          <w:ilvl w:val="0"/>
          <w:numId w:val="3"/>
        </w:numPr>
        <w:tabs>
          <w:tab w:pos="459" w:val="left" w:leader="none"/>
          <w:tab w:pos="460" w:val="left" w:leader="none"/>
        </w:tabs>
        <w:spacing w:line="240" w:lineRule="auto" w:before="58" w:after="0"/>
        <w:ind w:left="460" w:right="0" w:hanging="360"/>
        <w:jc w:val="left"/>
        <w:rPr>
          <w:sz w:val="24"/>
        </w:rPr>
      </w:pPr>
      <w:r>
        <w:rPr>
          <w:sz w:val="24"/>
        </w:rPr>
        <w:t>VS GUI Release 1.7.1 Release</w:t>
      </w:r>
      <w:r>
        <w:rPr>
          <w:spacing w:val="-2"/>
          <w:sz w:val="24"/>
        </w:rPr>
        <w:t> </w:t>
      </w:r>
      <w:r>
        <w:rPr>
          <w:sz w:val="24"/>
        </w:rPr>
        <w:t>Notes</w:t>
      </w:r>
    </w:p>
    <w:p>
      <w:pPr>
        <w:pStyle w:val="ListParagraph"/>
        <w:numPr>
          <w:ilvl w:val="0"/>
          <w:numId w:val="3"/>
        </w:numPr>
        <w:tabs>
          <w:tab w:pos="459" w:val="left" w:leader="none"/>
          <w:tab w:pos="460" w:val="left" w:leader="none"/>
        </w:tabs>
        <w:spacing w:line="240" w:lineRule="auto" w:before="59" w:after="0"/>
        <w:ind w:left="460" w:right="0" w:hanging="360"/>
        <w:jc w:val="left"/>
        <w:rPr>
          <w:sz w:val="24"/>
        </w:rPr>
      </w:pPr>
      <w:r>
        <w:rPr>
          <w:sz w:val="24"/>
        </w:rPr>
        <w:t>VS GUI Release 1.7.1 Technical</w:t>
      </w:r>
      <w:r>
        <w:rPr>
          <w:spacing w:val="-2"/>
          <w:sz w:val="24"/>
        </w:rPr>
        <w:t> </w:t>
      </w:r>
      <w:r>
        <w:rPr>
          <w:sz w:val="24"/>
        </w:rPr>
        <w:t>Manual</w:t>
      </w:r>
    </w:p>
    <w:p>
      <w:pPr>
        <w:pStyle w:val="ListParagraph"/>
        <w:numPr>
          <w:ilvl w:val="0"/>
          <w:numId w:val="3"/>
        </w:numPr>
        <w:tabs>
          <w:tab w:pos="459" w:val="left" w:leader="none"/>
          <w:tab w:pos="460" w:val="left" w:leader="none"/>
        </w:tabs>
        <w:spacing w:line="240" w:lineRule="auto" w:before="60" w:after="0"/>
        <w:ind w:left="460" w:right="0" w:hanging="360"/>
        <w:jc w:val="left"/>
        <w:rPr>
          <w:sz w:val="24"/>
        </w:rPr>
      </w:pPr>
      <w:r>
        <w:rPr>
          <w:sz w:val="24"/>
        </w:rPr>
        <w:t>VS GUI Release 1.7.1 User Guide</w:t>
      </w:r>
      <w:r>
        <w:rPr>
          <w:spacing w:val="-2"/>
          <w:sz w:val="24"/>
        </w:rPr>
        <w:t> </w:t>
      </w:r>
      <w:r>
        <w:rPr>
          <w:sz w:val="24"/>
        </w:rPr>
        <w:t>Addendum</w:t>
      </w:r>
    </w:p>
    <w:p>
      <w:pPr>
        <w:pStyle w:val="ListParagraph"/>
        <w:numPr>
          <w:ilvl w:val="0"/>
          <w:numId w:val="3"/>
        </w:numPr>
        <w:tabs>
          <w:tab w:pos="459" w:val="left" w:leader="none"/>
          <w:tab w:pos="460" w:val="left" w:leader="none"/>
        </w:tabs>
        <w:spacing w:line="240" w:lineRule="auto" w:before="59" w:after="0"/>
        <w:ind w:left="460" w:right="0" w:hanging="360"/>
        <w:jc w:val="left"/>
        <w:rPr>
          <w:sz w:val="24"/>
        </w:rPr>
      </w:pPr>
      <w:r>
        <w:rPr>
          <w:sz w:val="24"/>
        </w:rPr>
        <w:t>VS GUI Release 1.7.1 Version Description Document</w:t>
      </w:r>
      <w:r>
        <w:rPr>
          <w:spacing w:val="-3"/>
          <w:sz w:val="24"/>
        </w:rPr>
        <w:t> </w:t>
      </w:r>
      <w:r>
        <w:rPr>
          <w:sz w:val="24"/>
        </w:rPr>
        <w:t>(VDD)</w:t>
      </w:r>
    </w:p>
    <w:p>
      <w:pPr>
        <w:pStyle w:val="Heading1"/>
        <w:numPr>
          <w:ilvl w:val="0"/>
          <w:numId w:val="2"/>
        </w:numPr>
        <w:tabs>
          <w:tab w:pos="892" w:val="left" w:leader="none"/>
          <w:tab w:pos="893" w:val="left" w:leader="none"/>
        </w:tabs>
        <w:spacing w:line="240" w:lineRule="auto" w:before="239" w:after="0"/>
        <w:ind w:left="892" w:right="0" w:hanging="793"/>
        <w:jc w:val="left"/>
      </w:pPr>
      <w:bookmarkStart w:name="_bookmark10" w:id="19"/>
      <w:bookmarkEnd w:id="19"/>
      <w:r>
        <w:rPr>
          <w:b w:val="0"/>
        </w:rPr>
      </w:r>
      <w:bookmarkStart w:name="_bookmark10" w:id="20"/>
      <w:bookmarkEnd w:id="20"/>
      <w:r>
        <w:rPr/>
        <w:t>Known</w:t>
      </w:r>
      <w:r>
        <w:rPr>
          <w:spacing w:val="-2"/>
        </w:rPr>
        <w:t> </w:t>
      </w:r>
      <w:r>
        <w:rPr/>
        <w:t>Issues</w:t>
      </w:r>
    </w:p>
    <w:p>
      <w:pPr>
        <w:pStyle w:val="BodyText"/>
        <w:spacing w:before="120"/>
        <w:ind w:left="100" w:right="482"/>
      </w:pPr>
      <w:r>
        <w:rPr/>
        <w:t>All known issues resolved by this release were documented in ServiceNow tickets and/or IBM Rational as part of the ongoing, post-warranty, sustainment effort. Where appropriate, issues, workarounds, and step by step resolutions are documented in Knowledge Base articles and are included in the searchable ServiceNow Knowledge Base hosted by the Enterprise Service Desk (ESD).</w:t>
      </w:r>
    </w:p>
    <w:sectPr>
      <w:pgSz w:w="12240" w:h="15840"/>
      <w:pgMar w:header="0" w:footer="741" w:top="1360" w:bottom="940" w:left="134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43.971069pt;width:156.8pt;height:13.1pt;mso-position-horizontal-relative:page;mso-position-vertical-relative:page;z-index:-15894528" type="#_x0000_t202" filled="false" stroked="false">
          <v:textbox inset="0,0,0,0">
            <w:txbxContent>
              <w:p>
                <w:pPr>
                  <w:spacing w:before="12"/>
                  <w:ind w:left="20" w:right="0" w:firstLine="0"/>
                  <w:jc w:val="left"/>
                  <w:rPr>
                    <w:sz w:val="20"/>
                  </w:rPr>
                </w:pPr>
                <w:r>
                  <w:rPr>
                    <w:sz w:val="20"/>
                  </w:rPr>
                  <w:t>VSE GUI Release 1.7.1 Release Notes</w:t>
                </w:r>
              </w:p>
            </w:txbxContent>
          </v:textbox>
          <w10:wrap type="none"/>
        </v:shape>
      </w:pict>
    </w:r>
    <w:r>
      <w:rPr/>
      <w:pict>
        <v:shape style="position:absolute;margin-left:303.640015pt;margin-top:743.971069pt;width:4.8pt;height:13.1pt;mso-position-horizontal-relative:page;mso-position-vertical-relative:page;z-index:-15894016" type="#_x0000_t202" filled="false" stroked="false">
          <v:textbox inset="0,0,0,0">
            <w:txbxContent>
              <w:p>
                <w:pPr>
                  <w:spacing w:before="12"/>
                  <w:ind w:left="20" w:right="0" w:firstLine="0"/>
                  <w:jc w:val="left"/>
                  <w:rPr>
                    <w:sz w:val="20"/>
                  </w:rPr>
                </w:pPr>
                <w:r>
                  <w:rPr>
                    <w:w w:val="100"/>
                    <w:sz w:val="20"/>
                  </w:rPr>
                  <w:t>i</w:t>
                </w:r>
              </w:p>
            </w:txbxContent>
          </v:textbox>
          <w10:wrap type="none"/>
        </v:shape>
      </w:pict>
    </w:r>
    <w:r>
      <w:rPr/>
      <w:pict>
        <v:shape style="position:absolute;margin-left:473.820007pt;margin-top:743.971069pt;width:67.25pt;height:13.1pt;mso-position-horizontal-relative:page;mso-position-vertical-relative:page;z-index:-15893504" type="#_x0000_t202" filled="false" stroked="false">
          <v:textbox inset="0,0,0,0">
            <w:txbxContent>
              <w:p>
                <w:pPr>
                  <w:spacing w:before="12"/>
                  <w:ind w:left="20" w:right="0" w:firstLine="0"/>
                  <w:jc w:val="left"/>
                  <w:rPr>
                    <w:sz w:val="20"/>
                  </w:rPr>
                </w:pPr>
                <w:r>
                  <w:rPr>
                    <w:sz w:val="20"/>
                  </w:rPr>
                  <w:t>September 2020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3.971069pt;width:156.8pt;height:13.1pt;mso-position-horizontal-relative:page;mso-position-vertical-relative:page;z-index:-15892992" type="#_x0000_t202" filled="false" stroked="false">
          <v:textbox inset="0,0,0,0">
            <w:txbxContent>
              <w:p>
                <w:pPr>
                  <w:spacing w:before="12"/>
                  <w:ind w:left="20" w:right="0" w:firstLine="0"/>
                  <w:jc w:val="left"/>
                  <w:rPr>
                    <w:sz w:val="20"/>
                  </w:rPr>
                </w:pPr>
                <w:r>
                  <w:rPr>
                    <w:sz w:val="20"/>
                  </w:rPr>
                  <w:t>VSE GUI Release 1.7.1 Release Notes</w:t>
                </w:r>
              </w:p>
            </w:txbxContent>
          </v:textbox>
          <w10:wrap type="none"/>
        </v:shape>
      </w:pict>
    </w:r>
    <w:r>
      <w:rPr/>
      <w:pict>
        <v:shape style="position:absolute;margin-left:302.260010pt;margin-top:743.971069pt;width:7.55pt;height:13.1pt;mso-position-horizontal-relative:page;mso-position-vertical-relative:page;z-index:-15892480" type="#_x0000_t202" filled="false" stroked="false">
          <v:textbox inset="0,0,0,0">
            <w:txbxContent>
              <w:p>
                <w:pPr>
                  <w:spacing w:before="12"/>
                  <w:ind w:left="20" w:right="0" w:firstLine="0"/>
                  <w:jc w:val="left"/>
                  <w:rPr>
                    <w:sz w:val="20"/>
                  </w:rPr>
                </w:pPr>
                <w:r>
                  <w:rPr>
                    <w:sz w:val="20"/>
                  </w:rPr>
                  <w:t>ii</w:t>
                </w:r>
              </w:p>
            </w:txbxContent>
          </v:textbox>
          <w10:wrap type="none"/>
        </v:shape>
      </w:pict>
    </w:r>
    <w:r>
      <w:rPr/>
      <w:pict>
        <v:shape style="position:absolute;margin-left:473.820007pt;margin-top:743.971069pt;width:67.25pt;height:13.1pt;mso-position-horizontal-relative:page;mso-position-vertical-relative:page;z-index:-15891968" type="#_x0000_t202" filled="false" stroked="false">
          <v:textbox inset="0,0,0,0">
            <w:txbxContent>
              <w:p>
                <w:pPr>
                  <w:spacing w:before="12"/>
                  <w:ind w:left="20" w:right="0" w:firstLine="0"/>
                  <w:jc w:val="left"/>
                  <w:rPr>
                    <w:sz w:val="20"/>
                  </w:rPr>
                </w:pPr>
                <w:r>
                  <w:rPr>
                    <w:sz w:val="20"/>
                  </w:rPr>
                  <w:t>September 2020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3.971069pt;width:156.8pt;height:13.1pt;mso-position-horizontal-relative:page;mso-position-vertical-relative:page;z-index:-15891456" type="#_x0000_t202" filled="false" stroked="false">
          <v:textbox inset="0,0,0,0">
            <w:txbxContent>
              <w:p>
                <w:pPr>
                  <w:spacing w:before="12"/>
                  <w:ind w:left="20" w:right="0" w:firstLine="0"/>
                  <w:jc w:val="left"/>
                  <w:rPr>
                    <w:sz w:val="20"/>
                  </w:rPr>
                </w:pPr>
                <w:r>
                  <w:rPr>
                    <w:sz w:val="20"/>
                  </w:rPr>
                  <w:t>VSE GUI Release 1.7.1 Release Notes</w:t>
                </w:r>
              </w:p>
            </w:txbxContent>
          </v:textbox>
          <w10:wrap type="none"/>
        </v:shape>
      </w:pict>
    </w:r>
    <w:r>
      <w:rPr/>
      <w:pict>
        <v:shape style="position:absolute;margin-left:300.559998pt;margin-top:743.971069pt;width:11.05pt;height:13.1pt;mso-position-horizontal-relative:page;mso-position-vertical-relative:page;z-index:-15890944" type="#_x0000_t202" filled="false" stroked="false">
          <v:textbox inset="0,0,0,0">
            <w:txbxContent>
              <w:p>
                <w:pPr>
                  <w:spacing w:before="12"/>
                  <w:ind w:left="60" w:right="0" w:firstLine="0"/>
                  <w:jc w:val="left"/>
                  <w:rPr>
                    <w:sz w:val="20"/>
                  </w:rPr>
                </w:pPr>
                <w:r>
                  <w:rPr/>
                  <w:fldChar w:fldCharType="begin"/>
                </w:r>
                <w:r>
                  <w:rPr>
                    <w:w w:val="100"/>
                    <w:sz w:val="20"/>
                  </w:rPr>
                  <w:instrText> PAGE </w:instrText>
                </w:r>
                <w:r>
                  <w:rPr/>
                  <w:fldChar w:fldCharType="separate"/>
                </w:r>
                <w:r>
                  <w:rPr/>
                  <w:t>1</w:t>
                </w:r>
                <w:r>
                  <w:rPr/>
                  <w:fldChar w:fldCharType="end"/>
                </w:r>
              </w:p>
            </w:txbxContent>
          </v:textbox>
          <w10:wrap type="none"/>
        </v:shape>
      </w:pict>
    </w:r>
    <w:r>
      <w:rPr/>
      <w:pict>
        <v:shape style="position:absolute;margin-left:473.820007pt;margin-top:743.971069pt;width:67.25pt;height:13.1pt;mso-position-horizontal-relative:page;mso-position-vertical-relative:page;z-index:-15890432" type="#_x0000_t202" filled="false" stroked="false">
          <v:textbox inset="0,0,0,0">
            <w:txbxContent>
              <w:p>
                <w:pPr>
                  <w:spacing w:before="12"/>
                  <w:ind w:left="20" w:right="0" w:firstLine="0"/>
                  <w:jc w:val="left"/>
                  <w:rPr>
                    <w:sz w:val="20"/>
                  </w:rPr>
                </w:pPr>
                <w:r>
                  <w:rPr>
                    <w:sz w:val="20"/>
                  </w:rPr>
                  <w:t>September 2020</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460" w:hanging="360"/>
      </w:pPr>
      <w:rPr>
        <w:rFonts w:hint="default" w:ascii="Symbol" w:hAnsi="Symbol" w:eastAsia="Symbol" w:cs="Symbol"/>
        <w:w w:val="100"/>
        <w:sz w:val="24"/>
        <w:szCs w:val="24"/>
        <w:lang w:val="en-us" w:eastAsia="en-US" w:bidi="ar-SA"/>
      </w:rPr>
    </w:lvl>
    <w:lvl w:ilvl="1">
      <w:start w:val="0"/>
      <w:numFmt w:val="bullet"/>
      <w:lvlText w:val="•"/>
      <w:lvlJc w:val="left"/>
      <w:pPr>
        <w:ind w:left="1390" w:hanging="360"/>
      </w:pPr>
      <w:rPr>
        <w:rFonts w:hint="default"/>
        <w:lang w:val="en-us" w:eastAsia="en-US" w:bidi="ar-SA"/>
      </w:rPr>
    </w:lvl>
    <w:lvl w:ilvl="2">
      <w:start w:val="0"/>
      <w:numFmt w:val="bullet"/>
      <w:lvlText w:val="•"/>
      <w:lvlJc w:val="left"/>
      <w:pPr>
        <w:ind w:left="2320" w:hanging="360"/>
      </w:pPr>
      <w:rPr>
        <w:rFonts w:hint="default"/>
        <w:lang w:val="en-us" w:eastAsia="en-US" w:bidi="ar-SA"/>
      </w:rPr>
    </w:lvl>
    <w:lvl w:ilvl="3">
      <w:start w:val="0"/>
      <w:numFmt w:val="bullet"/>
      <w:lvlText w:val="•"/>
      <w:lvlJc w:val="left"/>
      <w:pPr>
        <w:ind w:left="3250" w:hanging="360"/>
      </w:pPr>
      <w:rPr>
        <w:rFonts w:hint="default"/>
        <w:lang w:val="en-us" w:eastAsia="en-US" w:bidi="ar-SA"/>
      </w:rPr>
    </w:lvl>
    <w:lvl w:ilvl="4">
      <w:start w:val="0"/>
      <w:numFmt w:val="bullet"/>
      <w:lvlText w:val="•"/>
      <w:lvlJc w:val="left"/>
      <w:pPr>
        <w:ind w:left="4180" w:hanging="360"/>
      </w:pPr>
      <w:rPr>
        <w:rFonts w:hint="default"/>
        <w:lang w:val="en-us" w:eastAsia="en-US" w:bidi="ar-SA"/>
      </w:rPr>
    </w:lvl>
    <w:lvl w:ilvl="5">
      <w:start w:val="0"/>
      <w:numFmt w:val="bullet"/>
      <w:lvlText w:val="•"/>
      <w:lvlJc w:val="left"/>
      <w:pPr>
        <w:ind w:left="5110" w:hanging="360"/>
      </w:pPr>
      <w:rPr>
        <w:rFonts w:hint="default"/>
        <w:lang w:val="en-us" w:eastAsia="en-US" w:bidi="ar-SA"/>
      </w:rPr>
    </w:lvl>
    <w:lvl w:ilvl="6">
      <w:start w:val="0"/>
      <w:numFmt w:val="bullet"/>
      <w:lvlText w:val="•"/>
      <w:lvlJc w:val="left"/>
      <w:pPr>
        <w:ind w:left="6040" w:hanging="360"/>
      </w:pPr>
      <w:rPr>
        <w:rFonts w:hint="default"/>
        <w:lang w:val="en-us" w:eastAsia="en-US" w:bidi="ar-SA"/>
      </w:rPr>
    </w:lvl>
    <w:lvl w:ilvl="7">
      <w:start w:val="0"/>
      <w:numFmt w:val="bullet"/>
      <w:lvlText w:val="•"/>
      <w:lvlJc w:val="left"/>
      <w:pPr>
        <w:ind w:left="6970" w:hanging="360"/>
      </w:pPr>
      <w:rPr>
        <w:rFonts w:hint="default"/>
        <w:lang w:val="en-us" w:eastAsia="en-US" w:bidi="ar-SA"/>
      </w:rPr>
    </w:lvl>
    <w:lvl w:ilvl="8">
      <w:start w:val="0"/>
      <w:numFmt w:val="bullet"/>
      <w:lvlText w:val="•"/>
      <w:lvlJc w:val="left"/>
      <w:pPr>
        <w:ind w:left="7900" w:hanging="360"/>
      </w:pPr>
      <w:rPr>
        <w:rFonts w:hint="default"/>
        <w:lang w:val="en-us" w:eastAsia="en-US" w:bidi="ar-SA"/>
      </w:rPr>
    </w:lvl>
  </w:abstractNum>
  <w:abstractNum w:abstractNumId="1">
    <w:multiLevelType w:val="hybridMultilevel"/>
    <w:lvl w:ilvl="0">
      <w:start w:val="1"/>
      <w:numFmt w:val="decimal"/>
      <w:lvlText w:val="%1."/>
      <w:lvlJc w:val="left"/>
      <w:pPr>
        <w:ind w:left="892" w:hanging="793"/>
        <w:jc w:val="left"/>
      </w:pPr>
      <w:rPr>
        <w:rFonts w:hint="default" w:ascii="Arial" w:hAnsi="Arial" w:eastAsia="Arial" w:cs="Arial"/>
        <w:b/>
        <w:bCs/>
        <w:w w:val="100"/>
        <w:sz w:val="32"/>
        <w:szCs w:val="32"/>
        <w:lang w:val="en-us" w:eastAsia="en-US" w:bidi="ar-SA"/>
      </w:rPr>
    </w:lvl>
    <w:lvl w:ilvl="1">
      <w:start w:val="1"/>
      <w:numFmt w:val="decimal"/>
      <w:lvlText w:val="%1.%2."/>
      <w:lvlJc w:val="left"/>
      <w:pPr>
        <w:ind w:left="1036" w:hanging="937"/>
        <w:jc w:val="left"/>
      </w:pPr>
      <w:rPr>
        <w:rFonts w:hint="default" w:ascii="Arial" w:hAnsi="Arial" w:eastAsia="Arial" w:cs="Arial"/>
        <w:b/>
        <w:bCs/>
        <w:w w:val="99"/>
        <w:sz w:val="28"/>
        <w:szCs w:val="28"/>
        <w:lang w:val="en-us" w:eastAsia="en-US" w:bidi="ar-SA"/>
      </w:rPr>
    </w:lvl>
    <w:lvl w:ilvl="2">
      <w:start w:val="0"/>
      <w:numFmt w:val="bullet"/>
      <w:lvlText w:val="•"/>
      <w:lvlJc w:val="left"/>
      <w:pPr>
        <w:ind w:left="2008" w:hanging="937"/>
      </w:pPr>
      <w:rPr>
        <w:rFonts w:hint="default"/>
        <w:lang w:val="en-us" w:eastAsia="en-US" w:bidi="ar-SA"/>
      </w:rPr>
    </w:lvl>
    <w:lvl w:ilvl="3">
      <w:start w:val="0"/>
      <w:numFmt w:val="bullet"/>
      <w:lvlText w:val="•"/>
      <w:lvlJc w:val="left"/>
      <w:pPr>
        <w:ind w:left="2977" w:hanging="937"/>
      </w:pPr>
      <w:rPr>
        <w:rFonts w:hint="default"/>
        <w:lang w:val="en-us" w:eastAsia="en-US" w:bidi="ar-SA"/>
      </w:rPr>
    </w:lvl>
    <w:lvl w:ilvl="4">
      <w:start w:val="0"/>
      <w:numFmt w:val="bullet"/>
      <w:lvlText w:val="•"/>
      <w:lvlJc w:val="left"/>
      <w:pPr>
        <w:ind w:left="3946" w:hanging="937"/>
      </w:pPr>
      <w:rPr>
        <w:rFonts w:hint="default"/>
        <w:lang w:val="en-us" w:eastAsia="en-US" w:bidi="ar-SA"/>
      </w:rPr>
    </w:lvl>
    <w:lvl w:ilvl="5">
      <w:start w:val="0"/>
      <w:numFmt w:val="bullet"/>
      <w:lvlText w:val="•"/>
      <w:lvlJc w:val="left"/>
      <w:pPr>
        <w:ind w:left="4915" w:hanging="937"/>
      </w:pPr>
      <w:rPr>
        <w:rFonts w:hint="default"/>
        <w:lang w:val="en-us" w:eastAsia="en-US" w:bidi="ar-SA"/>
      </w:rPr>
    </w:lvl>
    <w:lvl w:ilvl="6">
      <w:start w:val="0"/>
      <w:numFmt w:val="bullet"/>
      <w:lvlText w:val="•"/>
      <w:lvlJc w:val="left"/>
      <w:pPr>
        <w:ind w:left="5884" w:hanging="937"/>
      </w:pPr>
      <w:rPr>
        <w:rFonts w:hint="default"/>
        <w:lang w:val="en-us" w:eastAsia="en-US" w:bidi="ar-SA"/>
      </w:rPr>
    </w:lvl>
    <w:lvl w:ilvl="7">
      <w:start w:val="0"/>
      <w:numFmt w:val="bullet"/>
      <w:lvlText w:val="•"/>
      <w:lvlJc w:val="left"/>
      <w:pPr>
        <w:ind w:left="6853" w:hanging="937"/>
      </w:pPr>
      <w:rPr>
        <w:rFonts w:hint="default"/>
        <w:lang w:val="en-us" w:eastAsia="en-US" w:bidi="ar-SA"/>
      </w:rPr>
    </w:lvl>
    <w:lvl w:ilvl="8">
      <w:start w:val="0"/>
      <w:numFmt w:val="bullet"/>
      <w:lvlText w:val="•"/>
      <w:lvlJc w:val="left"/>
      <w:pPr>
        <w:ind w:left="7822" w:hanging="937"/>
      </w:pPr>
      <w:rPr>
        <w:rFonts w:hint="default"/>
        <w:lang w:val="en-us" w:eastAsia="en-US" w:bidi="ar-SA"/>
      </w:rPr>
    </w:lvl>
  </w:abstractNum>
  <w:abstractNum w:abstractNumId="0">
    <w:multiLevelType w:val="hybridMultilevel"/>
    <w:lvl w:ilvl="0">
      <w:start w:val="1"/>
      <w:numFmt w:val="decimal"/>
      <w:lvlText w:val="%1."/>
      <w:lvlJc w:val="left"/>
      <w:pPr>
        <w:ind w:left="640" w:hanging="540"/>
        <w:jc w:val="left"/>
      </w:pPr>
      <w:rPr>
        <w:rFonts w:hint="default" w:ascii="Arial" w:hAnsi="Arial" w:eastAsia="Arial" w:cs="Arial"/>
        <w:b/>
        <w:bCs/>
        <w:w w:val="99"/>
        <w:sz w:val="28"/>
        <w:szCs w:val="28"/>
        <w:lang w:val="en-us" w:eastAsia="en-US" w:bidi="ar-SA"/>
      </w:rPr>
    </w:lvl>
    <w:lvl w:ilvl="1">
      <w:start w:val="1"/>
      <w:numFmt w:val="decimal"/>
      <w:lvlText w:val="%1.%2."/>
      <w:lvlJc w:val="left"/>
      <w:pPr>
        <w:ind w:left="1270" w:hanging="631"/>
        <w:jc w:val="left"/>
      </w:pPr>
      <w:rPr>
        <w:rFonts w:hint="default" w:ascii="Arial" w:hAnsi="Arial" w:eastAsia="Arial" w:cs="Arial"/>
        <w:b/>
        <w:bCs/>
        <w:w w:val="100"/>
        <w:sz w:val="20"/>
        <w:szCs w:val="20"/>
        <w:lang w:val="en-us" w:eastAsia="en-US" w:bidi="ar-SA"/>
      </w:rPr>
    </w:lvl>
    <w:lvl w:ilvl="2">
      <w:start w:val="0"/>
      <w:numFmt w:val="bullet"/>
      <w:lvlText w:val="•"/>
      <w:lvlJc w:val="left"/>
      <w:pPr>
        <w:ind w:left="2222" w:hanging="631"/>
      </w:pPr>
      <w:rPr>
        <w:rFonts w:hint="default"/>
        <w:lang w:val="en-us" w:eastAsia="en-US" w:bidi="ar-SA"/>
      </w:rPr>
    </w:lvl>
    <w:lvl w:ilvl="3">
      <w:start w:val="0"/>
      <w:numFmt w:val="bullet"/>
      <w:lvlText w:val="•"/>
      <w:lvlJc w:val="left"/>
      <w:pPr>
        <w:ind w:left="3164" w:hanging="631"/>
      </w:pPr>
      <w:rPr>
        <w:rFonts w:hint="default"/>
        <w:lang w:val="en-us" w:eastAsia="en-US" w:bidi="ar-SA"/>
      </w:rPr>
    </w:lvl>
    <w:lvl w:ilvl="4">
      <w:start w:val="0"/>
      <w:numFmt w:val="bullet"/>
      <w:lvlText w:val="•"/>
      <w:lvlJc w:val="left"/>
      <w:pPr>
        <w:ind w:left="4106" w:hanging="631"/>
      </w:pPr>
      <w:rPr>
        <w:rFonts w:hint="default"/>
        <w:lang w:val="en-us" w:eastAsia="en-US" w:bidi="ar-SA"/>
      </w:rPr>
    </w:lvl>
    <w:lvl w:ilvl="5">
      <w:start w:val="0"/>
      <w:numFmt w:val="bullet"/>
      <w:lvlText w:val="•"/>
      <w:lvlJc w:val="left"/>
      <w:pPr>
        <w:ind w:left="5048" w:hanging="631"/>
      </w:pPr>
      <w:rPr>
        <w:rFonts w:hint="default"/>
        <w:lang w:val="en-us" w:eastAsia="en-US" w:bidi="ar-SA"/>
      </w:rPr>
    </w:lvl>
    <w:lvl w:ilvl="6">
      <w:start w:val="0"/>
      <w:numFmt w:val="bullet"/>
      <w:lvlText w:val="•"/>
      <w:lvlJc w:val="left"/>
      <w:pPr>
        <w:ind w:left="5991" w:hanging="631"/>
      </w:pPr>
      <w:rPr>
        <w:rFonts w:hint="default"/>
        <w:lang w:val="en-us" w:eastAsia="en-US" w:bidi="ar-SA"/>
      </w:rPr>
    </w:lvl>
    <w:lvl w:ilvl="7">
      <w:start w:val="0"/>
      <w:numFmt w:val="bullet"/>
      <w:lvlText w:val="•"/>
      <w:lvlJc w:val="left"/>
      <w:pPr>
        <w:ind w:left="6933" w:hanging="631"/>
      </w:pPr>
      <w:rPr>
        <w:rFonts w:hint="default"/>
        <w:lang w:val="en-us" w:eastAsia="en-US" w:bidi="ar-SA"/>
      </w:rPr>
    </w:lvl>
    <w:lvl w:ilvl="8">
      <w:start w:val="0"/>
      <w:numFmt w:val="bullet"/>
      <w:lvlText w:val="•"/>
      <w:lvlJc w:val="left"/>
      <w:pPr>
        <w:ind w:left="7875" w:hanging="631"/>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TOC1" w:type="paragraph">
    <w:name w:val="TOC 1"/>
    <w:basedOn w:val="Normal"/>
    <w:uiPriority w:val="1"/>
    <w:qFormat/>
    <w:pPr>
      <w:spacing w:before="100"/>
      <w:ind w:left="640" w:right="207" w:hanging="640"/>
    </w:pPr>
    <w:rPr>
      <w:rFonts w:ascii="Arial" w:hAnsi="Arial" w:eastAsia="Arial" w:cs="Arial"/>
      <w:b/>
      <w:bCs/>
      <w:sz w:val="28"/>
      <w:szCs w:val="28"/>
      <w:lang w:val="en-us" w:eastAsia="en-US" w:bidi="ar-SA"/>
    </w:rPr>
  </w:style>
  <w:style w:styleId="TOC2" w:type="paragraph">
    <w:name w:val="TOC 2"/>
    <w:basedOn w:val="Normal"/>
    <w:uiPriority w:val="1"/>
    <w:qFormat/>
    <w:pPr>
      <w:spacing w:before="39"/>
      <w:ind w:right="208"/>
      <w:jc w:val="center"/>
    </w:pPr>
    <w:rPr>
      <w:rFonts w:ascii="Times New Roman" w:hAnsi="Times New Roman" w:eastAsia="Times New Roman" w:cs="Times New Roman"/>
      <w:sz w:val="22"/>
      <w:szCs w:val="22"/>
      <w:lang w:val="en-us" w:eastAsia="en-US" w:bidi="ar-SA"/>
    </w:rPr>
  </w:style>
  <w:style w:styleId="TOC3" w:type="paragraph">
    <w:name w:val="TOC 3"/>
    <w:basedOn w:val="Normal"/>
    <w:uiPriority w:val="1"/>
    <w:qFormat/>
    <w:pPr>
      <w:spacing w:before="100"/>
      <w:ind w:left="1270" w:hanging="631"/>
    </w:pPr>
    <w:rPr>
      <w:rFonts w:ascii="Arial" w:hAnsi="Arial" w:eastAsia="Arial" w:cs="Arial"/>
      <w:b/>
      <w:bCs/>
      <w:sz w:val="20"/>
      <w:szCs w:val="20"/>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892" w:hanging="793"/>
      <w:outlineLvl w:val="1"/>
    </w:pPr>
    <w:rPr>
      <w:rFonts w:ascii="Arial" w:hAnsi="Arial" w:eastAsia="Arial" w:cs="Arial"/>
      <w:b/>
      <w:bCs/>
      <w:sz w:val="32"/>
      <w:szCs w:val="32"/>
      <w:lang w:val="en-us" w:eastAsia="en-US" w:bidi="ar-SA"/>
    </w:rPr>
  </w:style>
  <w:style w:styleId="Heading2" w:type="paragraph">
    <w:name w:val="Heading 2"/>
    <w:basedOn w:val="Normal"/>
    <w:uiPriority w:val="1"/>
    <w:qFormat/>
    <w:pPr>
      <w:ind w:left="1036" w:hanging="937"/>
      <w:outlineLvl w:val="2"/>
    </w:pPr>
    <w:rPr>
      <w:rFonts w:ascii="Arial" w:hAnsi="Arial" w:eastAsia="Arial" w:cs="Arial"/>
      <w:b/>
      <w:bCs/>
      <w:sz w:val="28"/>
      <w:szCs w:val="28"/>
      <w:lang w:val="en-us" w:eastAsia="en-US" w:bidi="ar-SA"/>
    </w:rPr>
  </w:style>
  <w:style w:styleId="Title" w:type="paragraph">
    <w:name w:val="Title"/>
    <w:basedOn w:val="Normal"/>
    <w:uiPriority w:val="1"/>
    <w:qFormat/>
    <w:pPr>
      <w:spacing w:before="88"/>
      <w:ind w:left="1843" w:right="911" w:hanging="580"/>
    </w:pPr>
    <w:rPr>
      <w:rFonts w:ascii="Arial" w:hAnsi="Arial" w:eastAsia="Arial" w:cs="Arial"/>
      <w:b/>
      <w:bCs/>
      <w:sz w:val="36"/>
      <w:szCs w:val="36"/>
      <w:lang w:val="en-us" w:eastAsia="en-US" w:bidi="ar-SA"/>
    </w:rPr>
  </w:style>
  <w:style w:styleId="ListParagraph" w:type="paragraph">
    <w:name w:val="List Paragraph"/>
    <w:basedOn w:val="Normal"/>
    <w:uiPriority w:val="1"/>
    <w:qFormat/>
    <w:pPr>
      <w:spacing w:before="100"/>
      <w:ind w:left="46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before="40"/>
      <w:ind w:left="107"/>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hyperlink" Target="https://www.va.gov/vdl/application.asp?appid=100"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Liberty</dc:creator>
  <dc:subject>VistA Scheduling, VSE</dc:subject>
  <dc:title>CLIN 8001AX VS GUI Release 1 7 1 Release Notes Approved</dc:title>
  <dcterms:created xsi:type="dcterms:W3CDTF">2020-11-30T15:13:48Z</dcterms:created>
  <dcterms:modified xsi:type="dcterms:W3CDTF">2020-11-30T15:13:48Z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2020-09-28T00:00:00Z</vt:filetime>
  </property>
  <property fmtid="{D5CDD505-2E9C-101B-9397-08002B2CF9AE}" pid="3" name="Creator">
    <vt:lpwstr>Microsoft® Word for Office 365</vt:lpwstr>
  </property>
  <property fmtid="{D5CDD505-2E9C-101B-9397-08002B2CF9AE}" pid="4" name="LastSaved">
    <vt:filetime>2020-11-30T00:00:00Z</vt:filetime>
  </property>
</Properties>
</file>