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proofErr w:type="spellStart"/>
      <w:r w:rsidRPr="00EF0BC8">
        <w:t>VistA</w:t>
      </w:r>
      <w:proofErr w:type="spellEnd"/>
      <w:r w:rsidRPr="00EF0BC8">
        <w:t xml:space="preserve">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6AEDBB81" w:rsidR="008E2D1E" w:rsidRPr="008E2D1E" w:rsidRDefault="008E2D1E" w:rsidP="008E2D1E">
      <w:pPr>
        <w:pStyle w:val="Title2"/>
      </w:pPr>
      <w:r>
        <w:t xml:space="preserve">for VS GUI Release </w:t>
      </w:r>
      <w:r w:rsidR="005B63EC">
        <w:t>1.7.7.4</w:t>
      </w:r>
      <w:r>
        <w:br/>
      </w:r>
      <w:r w:rsidR="00D868A4">
        <w:t xml:space="preserve">with </w:t>
      </w:r>
      <w:r w:rsidR="00D95622">
        <w:t xml:space="preserve">Associated </w:t>
      </w:r>
      <w:proofErr w:type="spellStart"/>
      <w:r w:rsidR="00D868A4">
        <w:t>VistA</w:t>
      </w:r>
      <w:proofErr w:type="spellEnd"/>
      <w:r w:rsidR="00D868A4">
        <w:t xml:space="preserve"> Patch</w:t>
      </w:r>
      <w:r w:rsidR="00A53FDA">
        <w:t xml:space="preserve"> </w:t>
      </w:r>
      <w:r w:rsidR="00D868A4">
        <w:t>SD*5.3*</w:t>
      </w:r>
      <w:r w:rsidR="005B2D64">
        <w:t>785</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6BC8423" w:rsidR="00AE1DED" w:rsidRDefault="004B31A4" w:rsidP="00AE1DED">
      <w:pPr>
        <w:pStyle w:val="PubDate"/>
      </w:pPr>
      <w:r>
        <w:t>June</w:t>
      </w:r>
      <w:r w:rsidR="007D5C36">
        <w:t xml:space="preserve"> 2021</w:t>
      </w:r>
    </w:p>
    <w:p w14:paraId="07AFD395" w14:textId="0377A708" w:rsidR="00105215" w:rsidRDefault="00AE1DED" w:rsidP="00105215">
      <w:pPr>
        <w:pStyle w:val="Title2"/>
      </w:pPr>
      <w:r>
        <w:t>Version</w:t>
      </w:r>
      <w:r w:rsidR="00E361A9">
        <w:t xml:space="preserve"> </w:t>
      </w:r>
      <w:r w:rsidR="004B31A4">
        <w:t>1.</w:t>
      </w:r>
      <w:r w:rsidR="00F426A4">
        <w:t>2</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05401395">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5B63EC" w:rsidRPr="00AC0E30" w14:paraId="0B363BA4" w14:textId="77777777" w:rsidTr="05401395">
        <w:tc>
          <w:tcPr>
            <w:tcW w:w="1231" w:type="dxa"/>
          </w:tcPr>
          <w:p w14:paraId="096EEE8B" w14:textId="5C635A88" w:rsidR="005B63EC" w:rsidRPr="00AC0E30" w:rsidRDefault="005B63EC" w:rsidP="00AC0E30">
            <w:r>
              <w:t>06/28/2021</w:t>
            </w:r>
          </w:p>
        </w:tc>
        <w:tc>
          <w:tcPr>
            <w:tcW w:w="964" w:type="dxa"/>
          </w:tcPr>
          <w:p w14:paraId="7FC1FEDE" w14:textId="6E5CC157" w:rsidR="005B63EC" w:rsidRPr="00AC0E30" w:rsidRDefault="005B63EC" w:rsidP="00AC0E30">
            <w:r>
              <w:t>1.2</w:t>
            </w:r>
          </w:p>
        </w:tc>
        <w:tc>
          <w:tcPr>
            <w:tcW w:w="5643" w:type="dxa"/>
          </w:tcPr>
          <w:p w14:paraId="505B8994" w14:textId="4209C674" w:rsidR="005B63EC" w:rsidRPr="00AC0E30" w:rsidRDefault="005B63EC" w:rsidP="00EC5760">
            <w:r>
              <w:t>Increment update to 1.7.7.4</w:t>
            </w:r>
          </w:p>
        </w:tc>
        <w:tc>
          <w:tcPr>
            <w:tcW w:w="1512" w:type="dxa"/>
          </w:tcPr>
          <w:p w14:paraId="62B9C137" w14:textId="77D95892" w:rsidR="005B63EC" w:rsidRPr="00AC0E30" w:rsidRDefault="00EC5760" w:rsidP="00AC0E30">
            <w:r>
              <w:t>Liberty ITS</w:t>
            </w:r>
          </w:p>
        </w:tc>
      </w:tr>
      <w:tr w:rsidR="00A10FF1" w:rsidRPr="00AC0E30" w14:paraId="36B75759" w14:textId="77777777" w:rsidTr="05401395">
        <w:tc>
          <w:tcPr>
            <w:tcW w:w="1231" w:type="dxa"/>
          </w:tcPr>
          <w:p w14:paraId="5DEDFF9F" w14:textId="0FA5A9FD" w:rsidR="00A10FF1" w:rsidRPr="00AC0E30" w:rsidRDefault="00A10FF1" w:rsidP="00AC0E30">
            <w:r>
              <w:t>06/22/2021</w:t>
            </w:r>
          </w:p>
        </w:tc>
        <w:tc>
          <w:tcPr>
            <w:tcW w:w="964" w:type="dxa"/>
          </w:tcPr>
          <w:p w14:paraId="0E7459BF" w14:textId="37424B61" w:rsidR="00A10FF1" w:rsidRPr="00AC0E30" w:rsidRDefault="00A10FF1" w:rsidP="00AC0E30">
            <w:r>
              <w:t>1.1</w:t>
            </w:r>
          </w:p>
        </w:tc>
        <w:tc>
          <w:tcPr>
            <w:tcW w:w="5643" w:type="dxa"/>
          </w:tcPr>
          <w:p w14:paraId="20A3A5D7" w14:textId="5F4561ED" w:rsidR="00A10FF1" w:rsidRPr="00AC0E30" w:rsidRDefault="00A10FF1" w:rsidP="00A10FF1">
            <w:r>
              <w:t xml:space="preserve">Increment update to </w:t>
            </w:r>
            <w:r w:rsidR="005B63EC">
              <w:t>1.7.7.1</w:t>
            </w:r>
          </w:p>
        </w:tc>
        <w:tc>
          <w:tcPr>
            <w:tcW w:w="1512" w:type="dxa"/>
          </w:tcPr>
          <w:p w14:paraId="411DFE73" w14:textId="3782D844" w:rsidR="00A10FF1" w:rsidRPr="00AC0E30" w:rsidRDefault="00A10FF1" w:rsidP="00AC0E30">
            <w:r>
              <w:t>Liberty ITS</w:t>
            </w:r>
          </w:p>
        </w:tc>
      </w:tr>
      <w:tr w:rsidR="004B31A4" w:rsidRPr="00AC0E30" w14:paraId="727BF4C4" w14:textId="77777777" w:rsidTr="05401395">
        <w:tc>
          <w:tcPr>
            <w:tcW w:w="1231" w:type="dxa"/>
          </w:tcPr>
          <w:p w14:paraId="680E894A" w14:textId="448651A9" w:rsidR="004B31A4" w:rsidRPr="00AC0E30" w:rsidRDefault="004B31A4" w:rsidP="00AC0E30">
            <w:r>
              <w:t>06/03/2021</w:t>
            </w:r>
          </w:p>
        </w:tc>
        <w:tc>
          <w:tcPr>
            <w:tcW w:w="964" w:type="dxa"/>
          </w:tcPr>
          <w:p w14:paraId="10B5D4F8" w14:textId="0063FC48" w:rsidR="004B31A4" w:rsidRPr="00AC0E30" w:rsidRDefault="004B31A4" w:rsidP="00AC0E30">
            <w:r>
              <w:t>1.0</w:t>
            </w:r>
          </w:p>
        </w:tc>
        <w:tc>
          <w:tcPr>
            <w:tcW w:w="5643" w:type="dxa"/>
          </w:tcPr>
          <w:p w14:paraId="2AB7F5F4" w14:textId="279C8D53" w:rsidR="004B31A4" w:rsidRPr="00AC0E30" w:rsidRDefault="004B31A4" w:rsidP="004B31A4">
            <w:r>
              <w:t>Sent for review/approval</w:t>
            </w:r>
          </w:p>
        </w:tc>
        <w:tc>
          <w:tcPr>
            <w:tcW w:w="1512" w:type="dxa"/>
          </w:tcPr>
          <w:p w14:paraId="6E634C88" w14:textId="480E5285" w:rsidR="004B31A4" w:rsidRPr="00AC0E30" w:rsidRDefault="004B31A4" w:rsidP="00AC0E30">
            <w:r>
              <w:t>Liberty ITS</w:t>
            </w:r>
          </w:p>
        </w:tc>
      </w:tr>
      <w:tr w:rsidR="00A304CE" w:rsidRPr="00AC0E30" w14:paraId="2F8711DD" w14:textId="77777777" w:rsidTr="05401395">
        <w:tc>
          <w:tcPr>
            <w:tcW w:w="1231" w:type="dxa"/>
          </w:tcPr>
          <w:p w14:paraId="28A22908" w14:textId="6320E554" w:rsidR="00A304CE" w:rsidRPr="00AC0E30" w:rsidRDefault="00D61229" w:rsidP="00A304CE">
            <w:r>
              <w:t>0</w:t>
            </w:r>
            <w:r w:rsidR="004022C0">
              <w:t>5/</w:t>
            </w:r>
            <w:r w:rsidR="005B2D64">
              <w:t>27</w:t>
            </w:r>
            <w:r w:rsidR="00A304CE" w:rsidRPr="003861D1">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194F2333" w:rsidR="00A304CE" w:rsidRPr="00AC0E30" w:rsidRDefault="00A304CE" w:rsidP="00A304CE">
            <w:r>
              <w:t>Baseline for VS GUI R</w:t>
            </w:r>
            <w:r w:rsidR="005B63EC">
              <w:t>1.7.7</w:t>
            </w:r>
            <w:r w:rsidR="00F426A4">
              <w:t xml:space="preserve"> </w:t>
            </w:r>
            <w:r>
              <w:t>and SD*5.3*</w:t>
            </w:r>
            <w:r w:rsidR="005B2D64">
              <w:t>785</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0F7D27C7" w14:textId="23FB6642" w:rsidR="005D7520"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71200488" w:history="1">
        <w:r w:rsidR="005D7520" w:rsidRPr="007066A6">
          <w:rPr>
            <w:rStyle w:val="Hyperlink"/>
          </w:rPr>
          <w:t>1.</w:t>
        </w:r>
        <w:r w:rsidR="005D7520">
          <w:rPr>
            <w:rFonts w:asciiTheme="minorHAnsi" w:hAnsiTheme="minorHAnsi"/>
            <w:b w:val="0"/>
            <w:sz w:val="22"/>
          </w:rPr>
          <w:tab/>
        </w:r>
        <w:r w:rsidR="005D7520" w:rsidRPr="007066A6">
          <w:rPr>
            <w:rStyle w:val="Hyperlink"/>
          </w:rPr>
          <w:t>Introduction</w:t>
        </w:r>
        <w:r w:rsidR="005D7520">
          <w:rPr>
            <w:webHidden/>
          </w:rPr>
          <w:tab/>
        </w:r>
        <w:r w:rsidR="005D7520">
          <w:rPr>
            <w:webHidden/>
          </w:rPr>
          <w:fldChar w:fldCharType="begin"/>
        </w:r>
        <w:r w:rsidR="005D7520">
          <w:rPr>
            <w:webHidden/>
          </w:rPr>
          <w:instrText xml:space="preserve"> PAGEREF _Toc71200488 \h </w:instrText>
        </w:r>
        <w:r w:rsidR="005D7520">
          <w:rPr>
            <w:webHidden/>
          </w:rPr>
        </w:r>
        <w:r w:rsidR="005D7520">
          <w:rPr>
            <w:webHidden/>
          </w:rPr>
          <w:fldChar w:fldCharType="separate"/>
        </w:r>
        <w:r w:rsidR="003A78D2">
          <w:rPr>
            <w:rFonts w:hint="eastAsia"/>
            <w:webHidden/>
          </w:rPr>
          <w:t>1</w:t>
        </w:r>
        <w:r w:rsidR="005D7520">
          <w:rPr>
            <w:webHidden/>
          </w:rPr>
          <w:fldChar w:fldCharType="end"/>
        </w:r>
      </w:hyperlink>
    </w:p>
    <w:p w14:paraId="4F6BB557" w14:textId="0E170C62" w:rsidR="005D7520" w:rsidRDefault="00173678">
      <w:pPr>
        <w:pStyle w:val="TOC2"/>
        <w:rPr>
          <w:rFonts w:asciiTheme="minorHAnsi" w:hAnsiTheme="minorHAnsi"/>
          <w:b w:val="0"/>
          <w:sz w:val="22"/>
        </w:rPr>
      </w:pPr>
      <w:hyperlink w:anchor="_Toc71200489" w:history="1">
        <w:r w:rsidR="005D7520" w:rsidRPr="007066A6">
          <w:rPr>
            <w:rStyle w:val="Hyperlink"/>
          </w:rPr>
          <w:t>1.1.</w:t>
        </w:r>
        <w:r w:rsidR="005D7520">
          <w:rPr>
            <w:rFonts w:asciiTheme="minorHAnsi" w:hAnsiTheme="minorHAnsi"/>
            <w:b w:val="0"/>
            <w:sz w:val="22"/>
          </w:rPr>
          <w:tab/>
        </w:r>
        <w:r w:rsidR="005D7520" w:rsidRPr="007066A6">
          <w:rPr>
            <w:rStyle w:val="Hyperlink"/>
          </w:rPr>
          <w:t>Purpose</w:t>
        </w:r>
        <w:r w:rsidR="005D7520">
          <w:rPr>
            <w:webHidden/>
          </w:rPr>
          <w:tab/>
        </w:r>
        <w:r w:rsidR="005D7520">
          <w:rPr>
            <w:webHidden/>
          </w:rPr>
          <w:fldChar w:fldCharType="begin"/>
        </w:r>
        <w:r w:rsidR="005D7520">
          <w:rPr>
            <w:webHidden/>
          </w:rPr>
          <w:instrText xml:space="preserve"> PAGEREF _Toc71200489 \h </w:instrText>
        </w:r>
        <w:r w:rsidR="005D7520">
          <w:rPr>
            <w:webHidden/>
          </w:rPr>
        </w:r>
        <w:r w:rsidR="005D7520">
          <w:rPr>
            <w:webHidden/>
          </w:rPr>
          <w:fldChar w:fldCharType="separate"/>
        </w:r>
        <w:r w:rsidR="003A78D2">
          <w:rPr>
            <w:rFonts w:hint="eastAsia"/>
            <w:webHidden/>
          </w:rPr>
          <w:t>1</w:t>
        </w:r>
        <w:r w:rsidR="005D7520">
          <w:rPr>
            <w:webHidden/>
          </w:rPr>
          <w:fldChar w:fldCharType="end"/>
        </w:r>
      </w:hyperlink>
    </w:p>
    <w:p w14:paraId="72189F59" w14:textId="0BE5BCBC" w:rsidR="005D7520" w:rsidRDefault="00173678">
      <w:pPr>
        <w:pStyle w:val="TOC2"/>
        <w:rPr>
          <w:rFonts w:asciiTheme="minorHAnsi" w:hAnsiTheme="minorHAnsi"/>
          <w:b w:val="0"/>
          <w:sz w:val="22"/>
        </w:rPr>
      </w:pPr>
      <w:hyperlink w:anchor="_Toc71200490" w:history="1">
        <w:r w:rsidR="005D7520" w:rsidRPr="007066A6">
          <w:rPr>
            <w:rStyle w:val="Hyperlink"/>
          </w:rPr>
          <w:t>1.2.</w:t>
        </w:r>
        <w:r w:rsidR="005D7520">
          <w:rPr>
            <w:rFonts w:asciiTheme="minorHAnsi" w:hAnsiTheme="minorHAnsi"/>
            <w:b w:val="0"/>
            <w:sz w:val="22"/>
          </w:rPr>
          <w:tab/>
        </w:r>
        <w:r w:rsidR="005D7520" w:rsidRPr="007066A6">
          <w:rPr>
            <w:rStyle w:val="Hyperlink"/>
          </w:rPr>
          <w:t>Dependencies</w:t>
        </w:r>
        <w:r w:rsidR="005D7520">
          <w:rPr>
            <w:webHidden/>
          </w:rPr>
          <w:tab/>
        </w:r>
        <w:r w:rsidR="005D7520">
          <w:rPr>
            <w:webHidden/>
          </w:rPr>
          <w:fldChar w:fldCharType="begin"/>
        </w:r>
        <w:r w:rsidR="005D7520">
          <w:rPr>
            <w:webHidden/>
          </w:rPr>
          <w:instrText xml:space="preserve"> PAGEREF _Toc71200490 \h </w:instrText>
        </w:r>
        <w:r w:rsidR="005D7520">
          <w:rPr>
            <w:webHidden/>
          </w:rPr>
        </w:r>
        <w:r w:rsidR="005D7520">
          <w:rPr>
            <w:webHidden/>
          </w:rPr>
          <w:fldChar w:fldCharType="separate"/>
        </w:r>
        <w:r w:rsidR="003A78D2">
          <w:rPr>
            <w:rFonts w:hint="eastAsia"/>
            <w:webHidden/>
          </w:rPr>
          <w:t>1</w:t>
        </w:r>
        <w:r w:rsidR="005D7520">
          <w:rPr>
            <w:webHidden/>
          </w:rPr>
          <w:fldChar w:fldCharType="end"/>
        </w:r>
      </w:hyperlink>
    </w:p>
    <w:p w14:paraId="35A603E2" w14:textId="42F94934" w:rsidR="005D7520" w:rsidRDefault="00173678">
      <w:pPr>
        <w:pStyle w:val="TOC2"/>
        <w:rPr>
          <w:rFonts w:asciiTheme="minorHAnsi" w:hAnsiTheme="minorHAnsi"/>
          <w:b w:val="0"/>
          <w:sz w:val="22"/>
        </w:rPr>
      </w:pPr>
      <w:hyperlink w:anchor="_Toc71200491" w:history="1">
        <w:r w:rsidR="005D7520" w:rsidRPr="007066A6">
          <w:rPr>
            <w:rStyle w:val="Hyperlink"/>
          </w:rPr>
          <w:t>1.3.</w:t>
        </w:r>
        <w:r w:rsidR="005D7520">
          <w:rPr>
            <w:rFonts w:asciiTheme="minorHAnsi" w:hAnsiTheme="minorHAnsi"/>
            <w:b w:val="0"/>
            <w:sz w:val="22"/>
          </w:rPr>
          <w:tab/>
        </w:r>
        <w:r w:rsidR="005D7520" w:rsidRPr="007066A6">
          <w:rPr>
            <w:rStyle w:val="Hyperlink"/>
          </w:rPr>
          <w:t>Constraints</w:t>
        </w:r>
        <w:r w:rsidR="005D7520">
          <w:rPr>
            <w:webHidden/>
          </w:rPr>
          <w:tab/>
        </w:r>
        <w:r w:rsidR="005D7520">
          <w:rPr>
            <w:webHidden/>
          </w:rPr>
          <w:fldChar w:fldCharType="begin"/>
        </w:r>
        <w:r w:rsidR="005D7520">
          <w:rPr>
            <w:webHidden/>
          </w:rPr>
          <w:instrText xml:space="preserve"> PAGEREF _Toc71200491 \h </w:instrText>
        </w:r>
        <w:r w:rsidR="005D7520">
          <w:rPr>
            <w:webHidden/>
          </w:rPr>
        </w:r>
        <w:r w:rsidR="005D7520">
          <w:rPr>
            <w:webHidden/>
          </w:rPr>
          <w:fldChar w:fldCharType="separate"/>
        </w:r>
        <w:r w:rsidR="003A78D2">
          <w:rPr>
            <w:rFonts w:hint="eastAsia"/>
            <w:webHidden/>
          </w:rPr>
          <w:t>1</w:t>
        </w:r>
        <w:r w:rsidR="005D7520">
          <w:rPr>
            <w:webHidden/>
          </w:rPr>
          <w:fldChar w:fldCharType="end"/>
        </w:r>
      </w:hyperlink>
    </w:p>
    <w:p w14:paraId="3CEFB3F8" w14:textId="18E7C4E3" w:rsidR="005D7520" w:rsidRDefault="00173678">
      <w:pPr>
        <w:pStyle w:val="TOC1"/>
        <w:rPr>
          <w:rFonts w:asciiTheme="minorHAnsi" w:hAnsiTheme="minorHAnsi"/>
          <w:b w:val="0"/>
          <w:sz w:val="22"/>
        </w:rPr>
      </w:pPr>
      <w:hyperlink w:anchor="_Toc71200492" w:history="1">
        <w:r w:rsidR="005D7520" w:rsidRPr="007066A6">
          <w:rPr>
            <w:rStyle w:val="Hyperlink"/>
          </w:rPr>
          <w:t>2.</w:t>
        </w:r>
        <w:r w:rsidR="005D7520">
          <w:rPr>
            <w:rFonts w:asciiTheme="minorHAnsi" w:hAnsiTheme="minorHAnsi"/>
            <w:b w:val="0"/>
            <w:sz w:val="22"/>
          </w:rPr>
          <w:tab/>
        </w:r>
        <w:r w:rsidR="005D7520" w:rsidRPr="007066A6">
          <w:rPr>
            <w:rStyle w:val="Hyperlink"/>
          </w:rPr>
          <w:t>Roles and Responsibilities</w:t>
        </w:r>
        <w:r w:rsidR="005D7520">
          <w:rPr>
            <w:webHidden/>
          </w:rPr>
          <w:tab/>
        </w:r>
        <w:r w:rsidR="005D7520">
          <w:rPr>
            <w:webHidden/>
          </w:rPr>
          <w:fldChar w:fldCharType="begin"/>
        </w:r>
        <w:r w:rsidR="005D7520">
          <w:rPr>
            <w:webHidden/>
          </w:rPr>
          <w:instrText xml:space="preserve"> PAGEREF _Toc71200492 \h </w:instrText>
        </w:r>
        <w:r w:rsidR="005D7520">
          <w:rPr>
            <w:webHidden/>
          </w:rPr>
        </w:r>
        <w:r w:rsidR="005D7520">
          <w:rPr>
            <w:webHidden/>
          </w:rPr>
          <w:fldChar w:fldCharType="separate"/>
        </w:r>
        <w:r w:rsidR="003A78D2">
          <w:rPr>
            <w:rFonts w:hint="eastAsia"/>
            <w:webHidden/>
          </w:rPr>
          <w:t>1</w:t>
        </w:r>
        <w:r w:rsidR="005D7520">
          <w:rPr>
            <w:webHidden/>
          </w:rPr>
          <w:fldChar w:fldCharType="end"/>
        </w:r>
      </w:hyperlink>
    </w:p>
    <w:p w14:paraId="52D7F3C7" w14:textId="4F3CD704" w:rsidR="005D7520" w:rsidRDefault="00173678">
      <w:pPr>
        <w:pStyle w:val="TOC1"/>
        <w:rPr>
          <w:rFonts w:asciiTheme="minorHAnsi" w:hAnsiTheme="minorHAnsi"/>
          <w:b w:val="0"/>
          <w:sz w:val="22"/>
        </w:rPr>
      </w:pPr>
      <w:hyperlink w:anchor="_Toc71200493" w:history="1">
        <w:r w:rsidR="005D7520" w:rsidRPr="007066A6">
          <w:rPr>
            <w:rStyle w:val="Hyperlink"/>
          </w:rPr>
          <w:t>3.</w:t>
        </w:r>
        <w:r w:rsidR="005D7520">
          <w:rPr>
            <w:rFonts w:asciiTheme="minorHAnsi" w:hAnsiTheme="minorHAnsi"/>
            <w:b w:val="0"/>
            <w:sz w:val="22"/>
          </w:rPr>
          <w:tab/>
        </w:r>
        <w:r w:rsidR="005D7520" w:rsidRPr="007066A6">
          <w:rPr>
            <w:rStyle w:val="Hyperlink"/>
          </w:rPr>
          <w:t>Deployment</w:t>
        </w:r>
        <w:r w:rsidR="005D7520">
          <w:rPr>
            <w:webHidden/>
          </w:rPr>
          <w:tab/>
        </w:r>
        <w:r w:rsidR="005D7520">
          <w:rPr>
            <w:webHidden/>
          </w:rPr>
          <w:fldChar w:fldCharType="begin"/>
        </w:r>
        <w:r w:rsidR="005D7520">
          <w:rPr>
            <w:webHidden/>
          </w:rPr>
          <w:instrText xml:space="preserve"> PAGEREF _Toc71200493 \h </w:instrText>
        </w:r>
        <w:r w:rsidR="005D7520">
          <w:rPr>
            <w:webHidden/>
          </w:rPr>
        </w:r>
        <w:r w:rsidR="005D7520">
          <w:rPr>
            <w:webHidden/>
          </w:rPr>
          <w:fldChar w:fldCharType="separate"/>
        </w:r>
        <w:r w:rsidR="003A78D2">
          <w:rPr>
            <w:rFonts w:hint="eastAsia"/>
            <w:webHidden/>
          </w:rPr>
          <w:t>2</w:t>
        </w:r>
        <w:r w:rsidR="005D7520">
          <w:rPr>
            <w:webHidden/>
          </w:rPr>
          <w:fldChar w:fldCharType="end"/>
        </w:r>
      </w:hyperlink>
    </w:p>
    <w:p w14:paraId="41B00C75" w14:textId="7A3BD184" w:rsidR="005D7520" w:rsidRDefault="00173678">
      <w:pPr>
        <w:pStyle w:val="TOC2"/>
        <w:rPr>
          <w:rFonts w:asciiTheme="minorHAnsi" w:hAnsiTheme="minorHAnsi"/>
          <w:b w:val="0"/>
          <w:sz w:val="22"/>
        </w:rPr>
      </w:pPr>
      <w:hyperlink w:anchor="_Toc71200494" w:history="1">
        <w:r w:rsidR="005D7520" w:rsidRPr="007066A6">
          <w:rPr>
            <w:rStyle w:val="Hyperlink"/>
          </w:rPr>
          <w:t>3.1.</w:t>
        </w:r>
        <w:r w:rsidR="005D7520">
          <w:rPr>
            <w:rFonts w:asciiTheme="minorHAnsi" w:hAnsiTheme="minorHAnsi"/>
            <w:b w:val="0"/>
            <w:sz w:val="22"/>
          </w:rPr>
          <w:tab/>
        </w:r>
        <w:r w:rsidR="005D7520" w:rsidRPr="007066A6">
          <w:rPr>
            <w:rStyle w:val="Hyperlink"/>
          </w:rPr>
          <w:t>Timeline</w:t>
        </w:r>
        <w:r w:rsidR="005D7520">
          <w:rPr>
            <w:webHidden/>
          </w:rPr>
          <w:tab/>
        </w:r>
        <w:r w:rsidR="005D7520">
          <w:rPr>
            <w:webHidden/>
          </w:rPr>
          <w:fldChar w:fldCharType="begin"/>
        </w:r>
        <w:r w:rsidR="005D7520">
          <w:rPr>
            <w:webHidden/>
          </w:rPr>
          <w:instrText xml:space="preserve"> PAGEREF _Toc71200494 \h </w:instrText>
        </w:r>
        <w:r w:rsidR="005D7520">
          <w:rPr>
            <w:webHidden/>
          </w:rPr>
        </w:r>
        <w:r w:rsidR="005D7520">
          <w:rPr>
            <w:webHidden/>
          </w:rPr>
          <w:fldChar w:fldCharType="separate"/>
        </w:r>
        <w:r w:rsidR="003A78D2">
          <w:rPr>
            <w:rFonts w:hint="eastAsia"/>
            <w:webHidden/>
          </w:rPr>
          <w:t>2</w:t>
        </w:r>
        <w:r w:rsidR="005D7520">
          <w:rPr>
            <w:webHidden/>
          </w:rPr>
          <w:fldChar w:fldCharType="end"/>
        </w:r>
      </w:hyperlink>
    </w:p>
    <w:p w14:paraId="19DAC550" w14:textId="6437998E" w:rsidR="005D7520" w:rsidRDefault="00173678">
      <w:pPr>
        <w:pStyle w:val="TOC2"/>
        <w:rPr>
          <w:rFonts w:asciiTheme="minorHAnsi" w:hAnsiTheme="minorHAnsi"/>
          <w:b w:val="0"/>
          <w:sz w:val="22"/>
        </w:rPr>
      </w:pPr>
      <w:hyperlink w:anchor="_Toc71200495" w:history="1">
        <w:r w:rsidR="005D7520" w:rsidRPr="007066A6">
          <w:rPr>
            <w:rStyle w:val="Hyperlink"/>
          </w:rPr>
          <w:t>3.2.</w:t>
        </w:r>
        <w:r w:rsidR="005D7520">
          <w:rPr>
            <w:rFonts w:asciiTheme="minorHAnsi" w:hAnsiTheme="minorHAnsi"/>
            <w:b w:val="0"/>
            <w:sz w:val="22"/>
          </w:rPr>
          <w:tab/>
        </w:r>
        <w:r w:rsidR="005D7520" w:rsidRPr="007066A6">
          <w:rPr>
            <w:rStyle w:val="Hyperlink"/>
          </w:rPr>
          <w:t>Site Readiness Assessment</w:t>
        </w:r>
        <w:r w:rsidR="005D7520">
          <w:rPr>
            <w:webHidden/>
          </w:rPr>
          <w:tab/>
        </w:r>
        <w:r w:rsidR="005D7520">
          <w:rPr>
            <w:webHidden/>
          </w:rPr>
          <w:fldChar w:fldCharType="begin"/>
        </w:r>
        <w:r w:rsidR="005D7520">
          <w:rPr>
            <w:webHidden/>
          </w:rPr>
          <w:instrText xml:space="preserve"> PAGEREF _Toc71200495 \h </w:instrText>
        </w:r>
        <w:r w:rsidR="005D7520">
          <w:rPr>
            <w:webHidden/>
          </w:rPr>
        </w:r>
        <w:r w:rsidR="005D7520">
          <w:rPr>
            <w:webHidden/>
          </w:rPr>
          <w:fldChar w:fldCharType="separate"/>
        </w:r>
        <w:r w:rsidR="003A78D2">
          <w:rPr>
            <w:rFonts w:hint="eastAsia"/>
            <w:webHidden/>
          </w:rPr>
          <w:t>3</w:t>
        </w:r>
        <w:r w:rsidR="005D7520">
          <w:rPr>
            <w:webHidden/>
          </w:rPr>
          <w:fldChar w:fldCharType="end"/>
        </w:r>
      </w:hyperlink>
    </w:p>
    <w:p w14:paraId="78D05B9C" w14:textId="6A47624B" w:rsidR="005D7520" w:rsidRDefault="00173678">
      <w:pPr>
        <w:pStyle w:val="TOC3"/>
        <w:rPr>
          <w:rFonts w:asciiTheme="minorHAnsi" w:hAnsiTheme="minorHAnsi"/>
          <w:b w:val="0"/>
          <w:sz w:val="22"/>
        </w:rPr>
      </w:pPr>
      <w:hyperlink w:anchor="_Toc71200496" w:history="1">
        <w:r w:rsidR="005D7520" w:rsidRPr="007066A6">
          <w:rPr>
            <w:rStyle w:val="Hyperlink"/>
          </w:rPr>
          <w:t>3.2.1.</w:t>
        </w:r>
        <w:r w:rsidR="005D7520">
          <w:rPr>
            <w:rFonts w:asciiTheme="minorHAnsi" w:hAnsiTheme="minorHAnsi"/>
            <w:b w:val="0"/>
            <w:sz w:val="22"/>
          </w:rPr>
          <w:tab/>
        </w:r>
        <w:r w:rsidR="005D7520" w:rsidRPr="007066A6">
          <w:rPr>
            <w:rStyle w:val="Hyperlink"/>
          </w:rPr>
          <w:t>Deployment Topology (Targeted Architecture)</w:t>
        </w:r>
        <w:r w:rsidR="005D7520">
          <w:rPr>
            <w:webHidden/>
          </w:rPr>
          <w:tab/>
        </w:r>
        <w:r w:rsidR="005D7520">
          <w:rPr>
            <w:webHidden/>
          </w:rPr>
          <w:fldChar w:fldCharType="begin"/>
        </w:r>
        <w:r w:rsidR="005D7520">
          <w:rPr>
            <w:webHidden/>
          </w:rPr>
          <w:instrText xml:space="preserve"> PAGEREF _Toc71200496 \h </w:instrText>
        </w:r>
        <w:r w:rsidR="005D7520">
          <w:rPr>
            <w:webHidden/>
          </w:rPr>
        </w:r>
        <w:r w:rsidR="005D7520">
          <w:rPr>
            <w:webHidden/>
          </w:rPr>
          <w:fldChar w:fldCharType="separate"/>
        </w:r>
        <w:r w:rsidR="003A78D2">
          <w:rPr>
            <w:webHidden/>
          </w:rPr>
          <w:t>3</w:t>
        </w:r>
        <w:r w:rsidR="005D7520">
          <w:rPr>
            <w:webHidden/>
          </w:rPr>
          <w:fldChar w:fldCharType="end"/>
        </w:r>
      </w:hyperlink>
    </w:p>
    <w:p w14:paraId="6C576FCC" w14:textId="4C9A2864" w:rsidR="005D7520" w:rsidRDefault="00173678">
      <w:pPr>
        <w:pStyle w:val="TOC3"/>
        <w:rPr>
          <w:rFonts w:asciiTheme="minorHAnsi" w:hAnsiTheme="minorHAnsi"/>
          <w:b w:val="0"/>
          <w:sz w:val="22"/>
        </w:rPr>
      </w:pPr>
      <w:hyperlink w:anchor="_Toc71200497" w:history="1">
        <w:r w:rsidR="005D7520" w:rsidRPr="007066A6">
          <w:rPr>
            <w:rStyle w:val="Hyperlink"/>
          </w:rPr>
          <w:t>3.2.2.</w:t>
        </w:r>
        <w:r w:rsidR="005D7520">
          <w:rPr>
            <w:rFonts w:asciiTheme="minorHAnsi" w:hAnsiTheme="minorHAnsi"/>
            <w:b w:val="0"/>
            <w:sz w:val="22"/>
          </w:rPr>
          <w:tab/>
        </w:r>
        <w:r w:rsidR="005D7520" w:rsidRPr="007066A6">
          <w:rPr>
            <w:rStyle w:val="Hyperlink"/>
          </w:rPr>
          <w:t>Site Information (Locations, Deployment Recipients)</w:t>
        </w:r>
        <w:r w:rsidR="005D7520">
          <w:rPr>
            <w:webHidden/>
          </w:rPr>
          <w:tab/>
        </w:r>
        <w:r w:rsidR="005D7520">
          <w:rPr>
            <w:webHidden/>
          </w:rPr>
          <w:fldChar w:fldCharType="begin"/>
        </w:r>
        <w:r w:rsidR="005D7520">
          <w:rPr>
            <w:webHidden/>
          </w:rPr>
          <w:instrText xml:space="preserve"> PAGEREF _Toc71200497 \h </w:instrText>
        </w:r>
        <w:r w:rsidR="005D7520">
          <w:rPr>
            <w:webHidden/>
          </w:rPr>
        </w:r>
        <w:r w:rsidR="005D7520">
          <w:rPr>
            <w:webHidden/>
          </w:rPr>
          <w:fldChar w:fldCharType="separate"/>
        </w:r>
        <w:r w:rsidR="003A78D2">
          <w:rPr>
            <w:webHidden/>
          </w:rPr>
          <w:t>3</w:t>
        </w:r>
        <w:r w:rsidR="005D7520">
          <w:rPr>
            <w:webHidden/>
          </w:rPr>
          <w:fldChar w:fldCharType="end"/>
        </w:r>
      </w:hyperlink>
    </w:p>
    <w:p w14:paraId="7168D653" w14:textId="6584E6C3" w:rsidR="005D7520" w:rsidRDefault="00173678">
      <w:pPr>
        <w:pStyle w:val="TOC3"/>
        <w:rPr>
          <w:rFonts w:asciiTheme="minorHAnsi" w:hAnsiTheme="minorHAnsi"/>
          <w:b w:val="0"/>
          <w:sz w:val="22"/>
        </w:rPr>
      </w:pPr>
      <w:hyperlink w:anchor="_Toc71200498" w:history="1">
        <w:r w:rsidR="005D7520" w:rsidRPr="007066A6">
          <w:rPr>
            <w:rStyle w:val="Hyperlink"/>
          </w:rPr>
          <w:t>3.2.3.</w:t>
        </w:r>
        <w:r w:rsidR="005D7520">
          <w:rPr>
            <w:rFonts w:asciiTheme="minorHAnsi" w:hAnsiTheme="minorHAnsi"/>
            <w:b w:val="0"/>
            <w:sz w:val="22"/>
          </w:rPr>
          <w:tab/>
        </w:r>
        <w:r w:rsidR="005D7520" w:rsidRPr="007066A6">
          <w:rPr>
            <w:rStyle w:val="Hyperlink"/>
          </w:rPr>
          <w:t>Site Preparation</w:t>
        </w:r>
        <w:r w:rsidR="005D7520">
          <w:rPr>
            <w:webHidden/>
          </w:rPr>
          <w:tab/>
        </w:r>
        <w:r w:rsidR="005D7520">
          <w:rPr>
            <w:webHidden/>
          </w:rPr>
          <w:fldChar w:fldCharType="begin"/>
        </w:r>
        <w:r w:rsidR="005D7520">
          <w:rPr>
            <w:webHidden/>
          </w:rPr>
          <w:instrText xml:space="preserve"> PAGEREF _Toc71200498 \h </w:instrText>
        </w:r>
        <w:r w:rsidR="005D7520">
          <w:rPr>
            <w:webHidden/>
          </w:rPr>
        </w:r>
        <w:r w:rsidR="005D7520">
          <w:rPr>
            <w:webHidden/>
          </w:rPr>
          <w:fldChar w:fldCharType="separate"/>
        </w:r>
        <w:r w:rsidR="003A78D2">
          <w:rPr>
            <w:webHidden/>
          </w:rPr>
          <w:t>3</w:t>
        </w:r>
        <w:r w:rsidR="005D7520">
          <w:rPr>
            <w:webHidden/>
          </w:rPr>
          <w:fldChar w:fldCharType="end"/>
        </w:r>
      </w:hyperlink>
    </w:p>
    <w:p w14:paraId="5DF319AC" w14:textId="27055095" w:rsidR="005D7520" w:rsidRDefault="00173678">
      <w:pPr>
        <w:pStyle w:val="TOC2"/>
        <w:rPr>
          <w:rFonts w:asciiTheme="minorHAnsi" w:hAnsiTheme="minorHAnsi"/>
          <w:b w:val="0"/>
          <w:sz w:val="22"/>
        </w:rPr>
      </w:pPr>
      <w:hyperlink w:anchor="_Toc71200499" w:history="1">
        <w:r w:rsidR="005D7520" w:rsidRPr="007066A6">
          <w:rPr>
            <w:rStyle w:val="Hyperlink"/>
          </w:rPr>
          <w:t>3.3.</w:t>
        </w:r>
        <w:r w:rsidR="005D7520">
          <w:rPr>
            <w:rFonts w:asciiTheme="minorHAnsi" w:hAnsiTheme="minorHAnsi"/>
            <w:b w:val="0"/>
            <w:sz w:val="22"/>
          </w:rPr>
          <w:tab/>
        </w:r>
        <w:r w:rsidR="005D7520" w:rsidRPr="007066A6">
          <w:rPr>
            <w:rStyle w:val="Hyperlink"/>
          </w:rPr>
          <w:t>Resources</w:t>
        </w:r>
        <w:r w:rsidR="005D7520">
          <w:rPr>
            <w:webHidden/>
          </w:rPr>
          <w:tab/>
        </w:r>
        <w:r w:rsidR="005D7520">
          <w:rPr>
            <w:webHidden/>
          </w:rPr>
          <w:fldChar w:fldCharType="begin"/>
        </w:r>
        <w:r w:rsidR="005D7520">
          <w:rPr>
            <w:webHidden/>
          </w:rPr>
          <w:instrText xml:space="preserve"> PAGEREF _Toc71200499 \h </w:instrText>
        </w:r>
        <w:r w:rsidR="005D7520">
          <w:rPr>
            <w:webHidden/>
          </w:rPr>
        </w:r>
        <w:r w:rsidR="005D7520">
          <w:rPr>
            <w:webHidden/>
          </w:rPr>
          <w:fldChar w:fldCharType="separate"/>
        </w:r>
        <w:r w:rsidR="003A78D2">
          <w:rPr>
            <w:rFonts w:hint="eastAsia"/>
            <w:webHidden/>
          </w:rPr>
          <w:t>3</w:t>
        </w:r>
        <w:r w:rsidR="005D7520">
          <w:rPr>
            <w:webHidden/>
          </w:rPr>
          <w:fldChar w:fldCharType="end"/>
        </w:r>
      </w:hyperlink>
    </w:p>
    <w:p w14:paraId="522CCE80" w14:textId="69D87ED5" w:rsidR="005D7520" w:rsidRDefault="00173678">
      <w:pPr>
        <w:pStyle w:val="TOC3"/>
        <w:rPr>
          <w:rFonts w:asciiTheme="minorHAnsi" w:hAnsiTheme="minorHAnsi"/>
          <w:b w:val="0"/>
          <w:sz w:val="22"/>
        </w:rPr>
      </w:pPr>
      <w:hyperlink w:anchor="_Toc71200500" w:history="1">
        <w:r w:rsidR="005D7520" w:rsidRPr="007066A6">
          <w:rPr>
            <w:rStyle w:val="Hyperlink"/>
          </w:rPr>
          <w:t>3.3.1.</w:t>
        </w:r>
        <w:r w:rsidR="005D7520">
          <w:rPr>
            <w:rFonts w:asciiTheme="minorHAnsi" w:hAnsiTheme="minorHAnsi"/>
            <w:b w:val="0"/>
            <w:sz w:val="22"/>
          </w:rPr>
          <w:tab/>
        </w:r>
        <w:r w:rsidR="005D7520" w:rsidRPr="007066A6">
          <w:rPr>
            <w:rStyle w:val="Hyperlink"/>
          </w:rPr>
          <w:t>Hardware</w:t>
        </w:r>
        <w:r w:rsidR="005D7520">
          <w:rPr>
            <w:webHidden/>
          </w:rPr>
          <w:tab/>
        </w:r>
        <w:r w:rsidR="005D7520">
          <w:rPr>
            <w:webHidden/>
          </w:rPr>
          <w:fldChar w:fldCharType="begin"/>
        </w:r>
        <w:r w:rsidR="005D7520">
          <w:rPr>
            <w:webHidden/>
          </w:rPr>
          <w:instrText xml:space="preserve"> PAGEREF _Toc71200500 \h </w:instrText>
        </w:r>
        <w:r w:rsidR="005D7520">
          <w:rPr>
            <w:webHidden/>
          </w:rPr>
        </w:r>
        <w:r w:rsidR="005D7520">
          <w:rPr>
            <w:webHidden/>
          </w:rPr>
          <w:fldChar w:fldCharType="separate"/>
        </w:r>
        <w:r w:rsidR="003A78D2">
          <w:rPr>
            <w:webHidden/>
          </w:rPr>
          <w:t>3</w:t>
        </w:r>
        <w:r w:rsidR="005D7520">
          <w:rPr>
            <w:webHidden/>
          </w:rPr>
          <w:fldChar w:fldCharType="end"/>
        </w:r>
      </w:hyperlink>
    </w:p>
    <w:p w14:paraId="1BFAD760" w14:textId="12DC8668" w:rsidR="005D7520" w:rsidRDefault="00173678">
      <w:pPr>
        <w:pStyle w:val="TOC3"/>
        <w:rPr>
          <w:rFonts w:asciiTheme="minorHAnsi" w:hAnsiTheme="minorHAnsi"/>
          <w:b w:val="0"/>
          <w:sz w:val="22"/>
        </w:rPr>
      </w:pPr>
      <w:hyperlink w:anchor="_Toc71200501" w:history="1">
        <w:r w:rsidR="005D7520" w:rsidRPr="007066A6">
          <w:rPr>
            <w:rStyle w:val="Hyperlink"/>
          </w:rPr>
          <w:t>3.3.2.</w:t>
        </w:r>
        <w:r w:rsidR="005D7520">
          <w:rPr>
            <w:rFonts w:asciiTheme="minorHAnsi" w:hAnsiTheme="minorHAnsi"/>
            <w:b w:val="0"/>
            <w:sz w:val="22"/>
          </w:rPr>
          <w:tab/>
        </w:r>
        <w:r w:rsidR="005D7520" w:rsidRPr="007066A6">
          <w:rPr>
            <w:rStyle w:val="Hyperlink"/>
          </w:rPr>
          <w:t>Software</w:t>
        </w:r>
        <w:r w:rsidR="005D7520">
          <w:rPr>
            <w:webHidden/>
          </w:rPr>
          <w:tab/>
        </w:r>
        <w:r w:rsidR="005D7520">
          <w:rPr>
            <w:webHidden/>
          </w:rPr>
          <w:fldChar w:fldCharType="begin"/>
        </w:r>
        <w:r w:rsidR="005D7520">
          <w:rPr>
            <w:webHidden/>
          </w:rPr>
          <w:instrText xml:space="preserve"> PAGEREF _Toc71200501 \h </w:instrText>
        </w:r>
        <w:r w:rsidR="005D7520">
          <w:rPr>
            <w:webHidden/>
          </w:rPr>
        </w:r>
        <w:r w:rsidR="005D7520">
          <w:rPr>
            <w:webHidden/>
          </w:rPr>
          <w:fldChar w:fldCharType="separate"/>
        </w:r>
        <w:r w:rsidR="003A78D2">
          <w:rPr>
            <w:webHidden/>
          </w:rPr>
          <w:t>4</w:t>
        </w:r>
        <w:r w:rsidR="005D7520">
          <w:rPr>
            <w:webHidden/>
          </w:rPr>
          <w:fldChar w:fldCharType="end"/>
        </w:r>
      </w:hyperlink>
    </w:p>
    <w:p w14:paraId="01252D4F" w14:textId="3E691A9B" w:rsidR="005D7520" w:rsidRDefault="00173678">
      <w:pPr>
        <w:pStyle w:val="TOC3"/>
        <w:rPr>
          <w:rFonts w:asciiTheme="minorHAnsi" w:hAnsiTheme="minorHAnsi"/>
          <w:b w:val="0"/>
          <w:sz w:val="22"/>
        </w:rPr>
      </w:pPr>
      <w:hyperlink w:anchor="_Toc71200502" w:history="1">
        <w:r w:rsidR="005D7520" w:rsidRPr="007066A6">
          <w:rPr>
            <w:rStyle w:val="Hyperlink"/>
          </w:rPr>
          <w:t>3.3.3.</w:t>
        </w:r>
        <w:r w:rsidR="005D7520">
          <w:rPr>
            <w:rFonts w:asciiTheme="minorHAnsi" w:hAnsiTheme="minorHAnsi"/>
            <w:b w:val="0"/>
            <w:sz w:val="22"/>
          </w:rPr>
          <w:tab/>
        </w:r>
        <w:r w:rsidR="005D7520" w:rsidRPr="007066A6">
          <w:rPr>
            <w:rStyle w:val="Hyperlink"/>
          </w:rPr>
          <w:t>Communications</w:t>
        </w:r>
        <w:r w:rsidR="005D7520">
          <w:rPr>
            <w:webHidden/>
          </w:rPr>
          <w:tab/>
        </w:r>
        <w:r w:rsidR="005D7520">
          <w:rPr>
            <w:webHidden/>
          </w:rPr>
          <w:fldChar w:fldCharType="begin"/>
        </w:r>
        <w:r w:rsidR="005D7520">
          <w:rPr>
            <w:webHidden/>
          </w:rPr>
          <w:instrText xml:space="preserve"> PAGEREF _Toc71200502 \h </w:instrText>
        </w:r>
        <w:r w:rsidR="005D7520">
          <w:rPr>
            <w:webHidden/>
          </w:rPr>
        </w:r>
        <w:r w:rsidR="005D7520">
          <w:rPr>
            <w:webHidden/>
          </w:rPr>
          <w:fldChar w:fldCharType="separate"/>
        </w:r>
        <w:r w:rsidR="003A78D2">
          <w:rPr>
            <w:webHidden/>
          </w:rPr>
          <w:t>4</w:t>
        </w:r>
        <w:r w:rsidR="005D7520">
          <w:rPr>
            <w:webHidden/>
          </w:rPr>
          <w:fldChar w:fldCharType="end"/>
        </w:r>
      </w:hyperlink>
    </w:p>
    <w:p w14:paraId="0A47E25B" w14:textId="525B8047" w:rsidR="005D7520" w:rsidRDefault="00173678">
      <w:pPr>
        <w:pStyle w:val="TOC4"/>
        <w:rPr>
          <w:rFonts w:asciiTheme="minorHAnsi" w:hAnsiTheme="minorHAnsi"/>
          <w:b w:val="0"/>
          <w:sz w:val="22"/>
          <w:szCs w:val="22"/>
        </w:rPr>
      </w:pPr>
      <w:hyperlink w:anchor="_Toc71200503" w:history="1">
        <w:r w:rsidR="005D7520" w:rsidRPr="007066A6">
          <w:rPr>
            <w:rStyle w:val="Hyperlink"/>
          </w:rPr>
          <w:t>3.3.3.1.</w:t>
        </w:r>
        <w:r w:rsidR="005D7520">
          <w:rPr>
            <w:rFonts w:asciiTheme="minorHAnsi" w:hAnsiTheme="minorHAnsi"/>
            <w:b w:val="0"/>
            <w:sz w:val="22"/>
            <w:szCs w:val="22"/>
          </w:rPr>
          <w:tab/>
        </w:r>
        <w:r w:rsidR="005D7520" w:rsidRPr="007066A6">
          <w:rPr>
            <w:rStyle w:val="Hyperlink"/>
          </w:rPr>
          <w:t>Deployment/Installation/Backout/Rollback Checklist</w:t>
        </w:r>
        <w:r w:rsidR="005D7520">
          <w:rPr>
            <w:webHidden/>
          </w:rPr>
          <w:tab/>
        </w:r>
        <w:r w:rsidR="005D7520">
          <w:rPr>
            <w:webHidden/>
          </w:rPr>
          <w:fldChar w:fldCharType="begin"/>
        </w:r>
        <w:r w:rsidR="005D7520">
          <w:rPr>
            <w:webHidden/>
          </w:rPr>
          <w:instrText xml:space="preserve"> PAGEREF _Toc71200503 \h </w:instrText>
        </w:r>
        <w:r w:rsidR="005D7520">
          <w:rPr>
            <w:webHidden/>
          </w:rPr>
        </w:r>
        <w:r w:rsidR="005D7520">
          <w:rPr>
            <w:webHidden/>
          </w:rPr>
          <w:fldChar w:fldCharType="separate"/>
        </w:r>
        <w:r w:rsidR="003A78D2">
          <w:rPr>
            <w:webHidden/>
          </w:rPr>
          <w:t>4</w:t>
        </w:r>
        <w:r w:rsidR="005D7520">
          <w:rPr>
            <w:webHidden/>
          </w:rPr>
          <w:fldChar w:fldCharType="end"/>
        </w:r>
      </w:hyperlink>
    </w:p>
    <w:p w14:paraId="02C36873" w14:textId="24DB3550" w:rsidR="005D7520" w:rsidRDefault="00173678">
      <w:pPr>
        <w:pStyle w:val="TOC1"/>
        <w:rPr>
          <w:rFonts w:asciiTheme="minorHAnsi" w:hAnsiTheme="minorHAnsi"/>
          <w:b w:val="0"/>
          <w:sz w:val="22"/>
        </w:rPr>
      </w:pPr>
      <w:hyperlink w:anchor="_Toc71200504" w:history="1">
        <w:r w:rsidR="005D7520" w:rsidRPr="007066A6">
          <w:rPr>
            <w:rStyle w:val="Hyperlink"/>
          </w:rPr>
          <w:t>4.</w:t>
        </w:r>
        <w:r w:rsidR="005D7520">
          <w:rPr>
            <w:rFonts w:asciiTheme="minorHAnsi" w:hAnsiTheme="minorHAnsi"/>
            <w:b w:val="0"/>
            <w:sz w:val="22"/>
          </w:rPr>
          <w:tab/>
        </w:r>
        <w:r w:rsidR="005D7520" w:rsidRPr="007066A6">
          <w:rPr>
            <w:rStyle w:val="Hyperlink"/>
          </w:rPr>
          <w:t>Installation</w:t>
        </w:r>
        <w:r w:rsidR="005D7520">
          <w:rPr>
            <w:webHidden/>
          </w:rPr>
          <w:tab/>
        </w:r>
        <w:r w:rsidR="005D7520">
          <w:rPr>
            <w:webHidden/>
          </w:rPr>
          <w:fldChar w:fldCharType="begin"/>
        </w:r>
        <w:r w:rsidR="005D7520">
          <w:rPr>
            <w:webHidden/>
          </w:rPr>
          <w:instrText xml:space="preserve"> PAGEREF _Toc71200504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1D8AA2EA" w14:textId="70E6D0BD" w:rsidR="005D7520" w:rsidRDefault="00173678">
      <w:pPr>
        <w:pStyle w:val="TOC2"/>
        <w:rPr>
          <w:rFonts w:asciiTheme="minorHAnsi" w:hAnsiTheme="minorHAnsi"/>
          <w:b w:val="0"/>
          <w:sz w:val="22"/>
        </w:rPr>
      </w:pPr>
      <w:hyperlink w:anchor="_Toc71200505" w:history="1">
        <w:r w:rsidR="005D7520" w:rsidRPr="007066A6">
          <w:rPr>
            <w:rStyle w:val="Hyperlink"/>
          </w:rPr>
          <w:t>4.1.</w:t>
        </w:r>
        <w:r w:rsidR="005D7520">
          <w:rPr>
            <w:rFonts w:asciiTheme="minorHAnsi" w:hAnsiTheme="minorHAnsi"/>
            <w:b w:val="0"/>
            <w:sz w:val="22"/>
          </w:rPr>
          <w:tab/>
        </w:r>
        <w:r w:rsidR="005D7520" w:rsidRPr="007066A6">
          <w:rPr>
            <w:rStyle w:val="Hyperlink"/>
          </w:rPr>
          <w:t>Pre-installation and System Requirements</w:t>
        </w:r>
        <w:r w:rsidR="005D7520">
          <w:rPr>
            <w:webHidden/>
          </w:rPr>
          <w:tab/>
        </w:r>
        <w:r w:rsidR="005D7520">
          <w:rPr>
            <w:webHidden/>
          </w:rPr>
          <w:fldChar w:fldCharType="begin"/>
        </w:r>
        <w:r w:rsidR="005D7520">
          <w:rPr>
            <w:webHidden/>
          </w:rPr>
          <w:instrText xml:space="preserve"> PAGEREF _Toc71200505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6A989D66" w14:textId="564BBF72" w:rsidR="005D7520" w:rsidRDefault="00173678">
      <w:pPr>
        <w:pStyle w:val="TOC2"/>
        <w:rPr>
          <w:rFonts w:asciiTheme="minorHAnsi" w:hAnsiTheme="minorHAnsi"/>
          <w:b w:val="0"/>
          <w:sz w:val="22"/>
        </w:rPr>
      </w:pPr>
      <w:hyperlink w:anchor="_Toc71200506" w:history="1">
        <w:r w:rsidR="005D7520" w:rsidRPr="007066A6">
          <w:rPr>
            <w:rStyle w:val="Hyperlink"/>
          </w:rPr>
          <w:t>4.2.</w:t>
        </w:r>
        <w:r w:rsidR="005D7520">
          <w:rPr>
            <w:rFonts w:asciiTheme="minorHAnsi" w:hAnsiTheme="minorHAnsi"/>
            <w:b w:val="0"/>
            <w:sz w:val="22"/>
          </w:rPr>
          <w:tab/>
        </w:r>
        <w:r w:rsidR="005D7520" w:rsidRPr="007066A6">
          <w:rPr>
            <w:rStyle w:val="Hyperlink"/>
          </w:rPr>
          <w:t>Platform Installation and Preparation</w:t>
        </w:r>
        <w:r w:rsidR="005D7520">
          <w:rPr>
            <w:webHidden/>
          </w:rPr>
          <w:tab/>
        </w:r>
        <w:r w:rsidR="005D7520">
          <w:rPr>
            <w:webHidden/>
          </w:rPr>
          <w:fldChar w:fldCharType="begin"/>
        </w:r>
        <w:r w:rsidR="005D7520">
          <w:rPr>
            <w:webHidden/>
          </w:rPr>
          <w:instrText xml:space="preserve"> PAGEREF _Toc71200506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7BDB3598" w14:textId="155C743F" w:rsidR="005D7520" w:rsidRDefault="00173678">
      <w:pPr>
        <w:pStyle w:val="TOC2"/>
        <w:rPr>
          <w:rFonts w:asciiTheme="minorHAnsi" w:hAnsiTheme="minorHAnsi"/>
          <w:b w:val="0"/>
          <w:sz w:val="22"/>
        </w:rPr>
      </w:pPr>
      <w:hyperlink w:anchor="_Toc71200507" w:history="1">
        <w:r w:rsidR="005D7520" w:rsidRPr="007066A6">
          <w:rPr>
            <w:rStyle w:val="Hyperlink"/>
          </w:rPr>
          <w:t>4.3.</w:t>
        </w:r>
        <w:r w:rsidR="005D7520">
          <w:rPr>
            <w:rFonts w:asciiTheme="minorHAnsi" w:hAnsiTheme="minorHAnsi"/>
            <w:b w:val="0"/>
            <w:sz w:val="22"/>
          </w:rPr>
          <w:tab/>
        </w:r>
        <w:r w:rsidR="005D7520" w:rsidRPr="007066A6">
          <w:rPr>
            <w:rStyle w:val="Hyperlink"/>
          </w:rPr>
          <w:t>Download and Extract Files</w:t>
        </w:r>
        <w:r w:rsidR="005D7520">
          <w:rPr>
            <w:webHidden/>
          </w:rPr>
          <w:tab/>
        </w:r>
        <w:r w:rsidR="005D7520">
          <w:rPr>
            <w:webHidden/>
          </w:rPr>
          <w:fldChar w:fldCharType="begin"/>
        </w:r>
        <w:r w:rsidR="005D7520">
          <w:rPr>
            <w:webHidden/>
          </w:rPr>
          <w:instrText xml:space="preserve"> PAGEREF _Toc71200507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23A40128" w14:textId="4D90D6C7" w:rsidR="005D7520" w:rsidRDefault="00173678">
      <w:pPr>
        <w:pStyle w:val="TOC2"/>
        <w:rPr>
          <w:rFonts w:asciiTheme="minorHAnsi" w:hAnsiTheme="minorHAnsi"/>
          <w:b w:val="0"/>
          <w:sz w:val="22"/>
        </w:rPr>
      </w:pPr>
      <w:hyperlink w:anchor="_Toc71200508" w:history="1">
        <w:r w:rsidR="005D7520" w:rsidRPr="007066A6">
          <w:rPr>
            <w:rStyle w:val="Hyperlink"/>
          </w:rPr>
          <w:t>4.4.</w:t>
        </w:r>
        <w:r w:rsidR="005D7520">
          <w:rPr>
            <w:rFonts w:asciiTheme="minorHAnsi" w:hAnsiTheme="minorHAnsi"/>
            <w:b w:val="0"/>
            <w:sz w:val="22"/>
          </w:rPr>
          <w:tab/>
        </w:r>
        <w:r w:rsidR="005D7520" w:rsidRPr="007066A6">
          <w:rPr>
            <w:rStyle w:val="Hyperlink"/>
          </w:rPr>
          <w:t>Database (DB) Creation</w:t>
        </w:r>
        <w:r w:rsidR="005D7520">
          <w:rPr>
            <w:webHidden/>
          </w:rPr>
          <w:tab/>
        </w:r>
        <w:r w:rsidR="005D7520">
          <w:rPr>
            <w:webHidden/>
          </w:rPr>
          <w:fldChar w:fldCharType="begin"/>
        </w:r>
        <w:r w:rsidR="005D7520">
          <w:rPr>
            <w:webHidden/>
          </w:rPr>
          <w:instrText xml:space="preserve"> PAGEREF _Toc71200508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65CD1599" w14:textId="4E1E0888" w:rsidR="005D7520" w:rsidRDefault="00173678">
      <w:pPr>
        <w:pStyle w:val="TOC2"/>
        <w:rPr>
          <w:rFonts w:asciiTheme="minorHAnsi" w:hAnsiTheme="minorHAnsi"/>
          <w:b w:val="0"/>
          <w:sz w:val="22"/>
        </w:rPr>
      </w:pPr>
      <w:hyperlink w:anchor="_Toc71200509" w:history="1">
        <w:r w:rsidR="005D7520" w:rsidRPr="007066A6">
          <w:rPr>
            <w:rStyle w:val="Hyperlink"/>
          </w:rPr>
          <w:t>4.5.</w:t>
        </w:r>
        <w:r w:rsidR="005D7520">
          <w:rPr>
            <w:rFonts w:asciiTheme="minorHAnsi" w:hAnsiTheme="minorHAnsi"/>
            <w:b w:val="0"/>
            <w:sz w:val="22"/>
          </w:rPr>
          <w:tab/>
        </w:r>
        <w:r w:rsidR="005D7520" w:rsidRPr="007066A6">
          <w:rPr>
            <w:rStyle w:val="Hyperlink"/>
          </w:rPr>
          <w:t>Installation Scripts</w:t>
        </w:r>
        <w:r w:rsidR="005D7520">
          <w:rPr>
            <w:webHidden/>
          </w:rPr>
          <w:tab/>
        </w:r>
        <w:r w:rsidR="005D7520">
          <w:rPr>
            <w:webHidden/>
          </w:rPr>
          <w:fldChar w:fldCharType="begin"/>
        </w:r>
        <w:r w:rsidR="005D7520">
          <w:rPr>
            <w:webHidden/>
          </w:rPr>
          <w:instrText xml:space="preserve"> PAGEREF _Toc71200509 \h </w:instrText>
        </w:r>
        <w:r w:rsidR="005D7520">
          <w:rPr>
            <w:webHidden/>
          </w:rPr>
        </w:r>
        <w:r w:rsidR="005D7520">
          <w:rPr>
            <w:webHidden/>
          </w:rPr>
          <w:fldChar w:fldCharType="separate"/>
        </w:r>
        <w:r w:rsidR="003A78D2">
          <w:rPr>
            <w:rFonts w:hint="eastAsia"/>
            <w:webHidden/>
          </w:rPr>
          <w:t>5</w:t>
        </w:r>
        <w:r w:rsidR="005D7520">
          <w:rPr>
            <w:webHidden/>
          </w:rPr>
          <w:fldChar w:fldCharType="end"/>
        </w:r>
      </w:hyperlink>
    </w:p>
    <w:p w14:paraId="07C28605" w14:textId="5EE853BD" w:rsidR="005D7520" w:rsidRDefault="00173678">
      <w:pPr>
        <w:pStyle w:val="TOC2"/>
        <w:rPr>
          <w:rFonts w:asciiTheme="minorHAnsi" w:hAnsiTheme="minorHAnsi"/>
          <w:b w:val="0"/>
          <w:sz w:val="22"/>
        </w:rPr>
      </w:pPr>
      <w:hyperlink w:anchor="_Toc71200510" w:history="1">
        <w:r w:rsidR="005D7520" w:rsidRPr="007066A6">
          <w:rPr>
            <w:rStyle w:val="Hyperlink"/>
          </w:rPr>
          <w:t>4.6.</w:t>
        </w:r>
        <w:r w:rsidR="005D7520">
          <w:rPr>
            <w:rFonts w:asciiTheme="minorHAnsi" w:hAnsiTheme="minorHAnsi"/>
            <w:b w:val="0"/>
            <w:sz w:val="22"/>
          </w:rPr>
          <w:tab/>
        </w:r>
        <w:r w:rsidR="005D7520" w:rsidRPr="007066A6">
          <w:rPr>
            <w:rStyle w:val="Hyperlink"/>
          </w:rPr>
          <w:t>Cron Scripts</w:t>
        </w:r>
        <w:r w:rsidR="005D7520">
          <w:rPr>
            <w:webHidden/>
          </w:rPr>
          <w:tab/>
        </w:r>
        <w:r w:rsidR="005D7520">
          <w:rPr>
            <w:webHidden/>
          </w:rPr>
          <w:fldChar w:fldCharType="begin"/>
        </w:r>
        <w:r w:rsidR="005D7520">
          <w:rPr>
            <w:webHidden/>
          </w:rPr>
          <w:instrText xml:space="preserve"> PAGEREF _Toc71200510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4C9C35D2" w14:textId="0D331CD4" w:rsidR="005D7520" w:rsidRDefault="00173678">
      <w:pPr>
        <w:pStyle w:val="TOC2"/>
        <w:rPr>
          <w:rFonts w:asciiTheme="minorHAnsi" w:hAnsiTheme="minorHAnsi"/>
          <w:b w:val="0"/>
          <w:sz w:val="22"/>
        </w:rPr>
      </w:pPr>
      <w:hyperlink w:anchor="_Toc71200511" w:history="1">
        <w:r w:rsidR="005D7520" w:rsidRPr="007066A6">
          <w:rPr>
            <w:rStyle w:val="Hyperlink"/>
          </w:rPr>
          <w:t>4.7.</w:t>
        </w:r>
        <w:r w:rsidR="005D7520">
          <w:rPr>
            <w:rFonts w:asciiTheme="minorHAnsi" w:hAnsiTheme="minorHAnsi"/>
            <w:b w:val="0"/>
            <w:sz w:val="22"/>
          </w:rPr>
          <w:tab/>
        </w:r>
        <w:r w:rsidR="005D7520" w:rsidRPr="007066A6">
          <w:rPr>
            <w:rStyle w:val="Hyperlink"/>
          </w:rPr>
          <w:t>Access Requirements and Skills Needed for the Installation</w:t>
        </w:r>
        <w:r w:rsidR="005D7520">
          <w:rPr>
            <w:webHidden/>
          </w:rPr>
          <w:tab/>
        </w:r>
        <w:r w:rsidR="005D7520">
          <w:rPr>
            <w:webHidden/>
          </w:rPr>
          <w:fldChar w:fldCharType="begin"/>
        </w:r>
        <w:r w:rsidR="005D7520">
          <w:rPr>
            <w:webHidden/>
          </w:rPr>
          <w:instrText xml:space="preserve"> PAGEREF _Toc71200511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1FC9A87C" w14:textId="1328ED53" w:rsidR="005D7520" w:rsidRDefault="00173678">
      <w:pPr>
        <w:pStyle w:val="TOC2"/>
        <w:rPr>
          <w:rFonts w:asciiTheme="minorHAnsi" w:hAnsiTheme="minorHAnsi"/>
          <w:b w:val="0"/>
          <w:sz w:val="22"/>
        </w:rPr>
      </w:pPr>
      <w:hyperlink w:anchor="_Toc71200512" w:history="1">
        <w:r w:rsidR="005D7520" w:rsidRPr="007066A6">
          <w:rPr>
            <w:rStyle w:val="Hyperlink"/>
          </w:rPr>
          <w:t>4.8.</w:t>
        </w:r>
        <w:r w:rsidR="005D7520">
          <w:rPr>
            <w:rFonts w:asciiTheme="minorHAnsi" w:hAnsiTheme="minorHAnsi"/>
            <w:b w:val="0"/>
            <w:sz w:val="22"/>
          </w:rPr>
          <w:tab/>
        </w:r>
        <w:r w:rsidR="005D7520" w:rsidRPr="007066A6">
          <w:rPr>
            <w:rStyle w:val="Hyperlink"/>
          </w:rPr>
          <w:t>Installation Procedures</w:t>
        </w:r>
        <w:r w:rsidR="005D7520">
          <w:rPr>
            <w:webHidden/>
          </w:rPr>
          <w:tab/>
        </w:r>
        <w:r w:rsidR="005D7520">
          <w:rPr>
            <w:webHidden/>
          </w:rPr>
          <w:fldChar w:fldCharType="begin"/>
        </w:r>
        <w:r w:rsidR="005D7520">
          <w:rPr>
            <w:webHidden/>
          </w:rPr>
          <w:instrText xml:space="preserve"> PAGEREF _Toc71200512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165165CE" w14:textId="453D2B05" w:rsidR="005D7520" w:rsidRDefault="00173678">
      <w:pPr>
        <w:pStyle w:val="TOC2"/>
        <w:rPr>
          <w:rFonts w:asciiTheme="minorHAnsi" w:hAnsiTheme="minorHAnsi"/>
          <w:b w:val="0"/>
          <w:sz w:val="22"/>
        </w:rPr>
      </w:pPr>
      <w:hyperlink w:anchor="_Toc71200513" w:history="1">
        <w:r w:rsidR="005D7520" w:rsidRPr="007066A6">
          <w:rPr>
            <w:rStyle w:val="Hyperlink"/>
          </w:rPr>
          <w:t>4.9.</w:t>
        </w:r>
        <w:r w:rsidR="005D7520">
          <w:rPr>
            <w:rFonts w:asciiTheme="minorHAnsi" w:hAnsiTheme="minorHAnsi"/>
            <w:b w:val="0"/>
            <w:sz w:val="22"/>
          </w:rPr>
          <w:tab/>
        </w:r>
        <w:r w:rsidR="005D7520" w:rsidRPr="007066A6">
          <w:rPr>
            <w:rStyle w:val="Hyperlink"/>
          </w:rPr>
          <w:t>Installation Verification Procedures</w:t>
        </w:r>
        <w:r w:rsidR="005D7520">
          <w:rPr>
            <w:webHidden/>
          </w:rPr>
          <w:tab/>
        </w:r>
        <w:r w:rsidR="005D7520">
          <w:rPr>
            <w:webHidden/>
          </w:rPr>
          <w:fldChar w:fldCharType="begin"/>
        </w:r>
        <w:r w:rsidR="005D7520">
          <w:rPr>
            <w:webHidden/>
          </w:rPr>
          <w:instrText xml:space="preserve"> PAGEREF _Toc71200513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4BBB519F" w14:textId="0F1690C2" w:rsidR="005D7520" w:rsidRDefault="00173678">
      <w:pPr>
        <w:pStyle w:val="TOC2"/>
        <w:rPr>
          <w:rFonts w:asciiTheme="minorHAnsi" w:hAnsiTheme="minorHAnsi"/>
          <w:b w:val="0"/>
          <w:sz w:val="22"/>
        </w:rPr>
      </w:pPr>
      <w:hyperlink w:anchor="_Toc71200514" w:history="1">
        <w:r w:rsidR="005D7520" w:rsidRPr="007066A6">
          <w:rPr>
            <w:rStyle w:val="Hyperlink"/>
          </w:rPr>
          <w:t>4.10.</w:t>
        </w:r>
        <w:r w:rsidR="005D7520">
          <w:rPr>
            <w:rFonts w:asciiTheme="minorHAnsi" w:hAnsiTheme="minorHAnsi"/>
            <w:b w:val="0"/>
            <w:sz w:val="22"/>
          </w:rPr>
          <w:tab/>
        </w:r>
        <w:r w:rsidR="005D7520" w:rsidRPr="007066A6">
          <w:rPr>
            <w:rStyle w:val="Hyperlink"/>
          </w:rPr>
          <w:t>System Configuration</w:t>
        </w:r>
        <w:r w:rsidR="005D7520">
          <w:rPr>
            <w:webHidden/>
          </w:rPr>
          <w:tab/>
        </w:r>
        <w:r w:rsidR="005D7520">
          <w:rPr>
            <w:webHidden/>
          </w:rPr>
          <w:fldChar w:fldCharType="begin"/>
        </w:r>
        <w:r w:rsidR="005D7520">
          <w:rPr>
            <w:webHidden/>
          </w:rPr>
          <w:instrText xml:space="preserve"> PAGEREF _Toc71200514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6C372D08" w14:textId="1DE80036" w:rsidR="005D7520" w:rsidRDefault="00173678">
      <w:pPr>
        <w:pStyle w:val="TOC2"/>
        <w:rPr>
          <w:rFonts w:asciiTheme="minorHAnsi" w:hAnsiTheme="minorHAnsi"/>
          <w:b w:val="0"/>
          <w:sz w:val="22"/>
        </w:rPr>
      </w:pPr>
      <w:hyperlink w:anchor="_Toc71200515" w:history="1">
        <w:r w:rsidR="005D7520" w:rsidRPr="007066A6">
          <w:rPr>
            <w:rStyle w:val="Hyperlink"/>
          </w:rPr>
          <w:t>4.11.</w:t>
        </w:r>
        <w:r w:rsidR="005D7520">
          <w:rPr>
            <w:rFonts w:asciiTheme="minorHAnsi" w:hAnsiTheme="minorHAnsi"/>
            <w:b w:val="0"/>
            <w:sz w:val="22"/>
          </w:rPr>
          <w:tab/>
        </w:r>
        <w:r w:rsidR="005D7520" w:rsidRPr="007066A6">
          <w:rPr>
            <w:rStyle w:val="Hyperlink"/>
          </w:rPr>
          <w:t>DB Tuning</w:t>
        </w:r>
        <w:r w:rsidR="005D7520">
          <w:rPr>
            <w:webHidden/>
          </w:rPr>
          <w:tab/>
        </w:r>
        <w:r w:rsidR="005D7520">
          <w:rPr>
            <w:webHidden/>
          </w:rPr>
          <w:fldChar w:fldCharType="begin"/>
        </w:r>
        <w:r w:rsidR="005D7520">
          <w:rPr>
            <w:webHidden/>
          </w:rPr>
          <w:instrText xml:space="preserve"> PAGEREF _Toc71200515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1BC777CE" w14:textId="4D498DF9" w:rsidR="005D7520" w:rsidRDefault="00173678">
      <w:pPr>
        <w:pStyle w:val="TOC1"/>
        <w:rPr>
          <w:rFonts w:asciiTheme="minorHAnsi" w:hAnsiTheme="minorHAnsi"/>
          <w:b w:val="0"/>
          <w:sz w:val="22"/>
        </w:rPr>
      </w:pPr>
      <w:hyperlink w:anchor="_Toc71200516" w:history="1">
        <w:r w:rsidR="005D7520" w:rsidRPr="007066A6">
          <w:rPr>
            <w:rStyle w:val="Hyperlink"/>
          </w:rPr>
          <w:t>5.</w:t>
        </w:r>
        <w:r w:rsidR="005D7520">
          <w:rPr>
            <w:rFonts w:asciiTheme="minorHAnsi" w:hAnsiTheme="minorHAnsi"/>
            <w:b w:val="0"/>
            <w:sz w:val="22"/>
          </w:rPr>
          <w:tab/>
        </w:r>
        <w:r w:rsidR="005D7520" w:rsidRPr="007066A6">
          <w:rPr>
            <w:rStyle w:val="Hyperlink"/>
          </w:rPr>
          <w:t>Backout Procedures</w:t>
        </w:r>
        <w:r w:rsidR="005D7520">
          <w:rPr>
            <w:webHidden/>
          </w:rPr>
          <w:tab/>
        </w:r>
        <w:r w:rsidR="005D7520">
          <w:rPr>
            <w:webHidden/>
          </w:rPr>
          <w:fldChar w:fldCharType="begin"/>
        </w:r>
        <w:r w:rsidR="005D7520">
          <w:rPr>
            <w:webHidden/>
          </w:rPr>
          <w:instrText xml:space="preserve"> PAGEREF _Toc71200516 \h </w:instrText>
        </w:r>
        <w:r w:rsidR="005D7520">
          <w:rPr>
            <w:webHidden/>
          </w:rPr>
        </w:r>
        <w:r w:rsidR="005D7520">
          <w:rPr>
            <w:webHidden/>
          </w:rPr>
          <w:fldChar w:fldCharType="separate"/>
        </w:r>
        <w:r w:rsidR="003A78D2">
          <w:rPr>
            <w:rFonts w:hint="eastAsia"/>
            <w:webHidden/>
          </w:rPr>
          <w:t>6</w:t>
        </w:r>
        <w:r w:rsidR="005D7520">
          <w:rPr>
            <w:webHidden/>
          </w:rPr>
          <w:fldChar w:fldCharType="end"/>
        </w:r>
      </w:hyperlink>
    </w:p>
    <w:p w14:paraId="4E4BE2E4" w14:textId="1EA25E0F" w:rsidR="005D7520" w:rsidRDefault="00173678">
      <w:pPr>
        <w:pStyle w:val="TOC2"/>
        <w:rPr>
          <w:rFonts w:asciiTheme="minorHAnsi" w:hAnsiTheme="minorHAnsi"/>
          <w:b w:val="0"/>
          <w:sz w:val="22"/>
        </w:rPr>
      </w:pPr>
      <w:hyperlink w:anchor="_Toc71200517" w:history="1">
        <w:r w:rsidR="005D7520" w:rsidRPr="007066A6">
          <w:rPr>
            <w:rStyle w:val="Hyperlink"/>
          </w:rPr>
          <w:t>5.1.</w:t>
        </w:r>
        <w:r w:rsidR="005D7520">
          <w:rPr>
            <w:rFonts w:asciiTheme="minorHAnsi" w:hAnsiTheme="minorHAnsi"/>
            <w:b w:val="0"/>
            <w:sz w:val="22"/>
          </w:rPr>
          <w:tab/>
        </w:r>
        <w:r w:rsidR="005D7520" w:rsidRPr="007066A6">
          <w:rPr>
            <w:rStyle w:val="Hyperlink"/>
          </w:rPr>
          <w:t>Backout Strategy</w:t>
        </w:r>
        <w:r w:rsidR="005D7520">
          <w:rPr>
            <w:webHidden/>
          </w:rPr>
          <w:tab/>
        </w:r>
        <w:r w:rsidR="005D7520">
          <w:rPr>
            <w:webHidden/>
          </w:rPr>
          <w:fldChar w:fldCharType="begin"/>
        </w:r>
        <w:r w:rsidR="005D7520">
          <w:rPr>
            <w:webHidden/>
          </w:rPr>
          <w:instrText xml:space="preserve"> PAGEREF _Toc71200517 \h </w:instrText>
        </w:r>
        <w:r w:rsidR="005D7520">
          <w:rPr>
            <w:webHidden/>
          </w:rPr>
        </w:r>
        <w:r w:rsidR="005D7520">
          <w:rPr>
            <w:webHidden/>
          </w:rPr>
          <w:fldChar w:fldCharType="separate"/>
        </w:r>
        <w:r w:rsidR="003A78D2">
          <w:rPr>
            <w:rFonts w:hint="eastAsia"/>
            <w:webHidden/>
          </w:rPr>
          <w:t>7</w:t>
        </w:r>
        <w:r w:rsidR="005D7520">
          <w:rPr>
            <w:webHidden/>
          </w:rPr>
          <w:fldChar w:fldCharType="end"/>
        </w:r>
      </w:hyperlink>
    </w:p>
    <w:p w14:paraId="504C227D" w14:textId="37690264" w:rsidR="005D7520" w:rsidRDefault="00173678">
      <w:pPr>
        <w:pStyle w:val="TOC2"/>
        <w:rPr>
          <w:rFonts w:asciiTheme="minorHAnsi" w:hAnsiTheme="minorHAnsi"/>
          <w:b w:val="0"/>
          <w:sz w:val="22"/>
        </w:rPr>
      </w:pPr>
      <w:hyperlink w:anchor="_Toc71200518" w:history="1">
        <w:r w:rsidR="005D7520" w:rsidRPr="007066A6">
          <w:rPr>
            <w:rStyle w:val="Hyperlink"/>
          </w:rPr>
          <w:t>5.2.</w:t>
        </w:r>
        <w:r w:rsidR="005D7520">
          <w:rPr>
            <w:rFonts w:asciiTheme="minorHAnsi" w:hAnsiTheme="minorHAnsi"/>
            <w:b w:val="0"/>
            <w:sz w:val="22"/>
          </w:rPr>
          <w:tab/>
        </w:r>
        <w:r w:rsidR="005D7520" w:rsidRPr="007066A6">
          <w:rPr>
            <w:rStyle w:val="Hyperlink"/>
          </w:rPr>
          <w:t>Backout Considerations</w:t>
        </w:r>
        <w:r w:rsidR="005D7520">
          <w:rPr>
            <w:webHidden/>
          </w:rPr>
          <w:tab/>
        </w:r>
        <w:r w:rsidR="005D7520">
          <w:rPr>
            <w:webHidden/>
          </w:rPr>
          <w:fldChar w:fldCharType="begin"/>
        </w:r>
        <w:r w:rsidR="005D7520">
          <w:rPr>
            <w:webHidden/>
          </w:rPr>
          <w:instrText xml:space="preserve"> PAGEREF _Toc71200518 \h </w:instrText>
        </w:r>
        <w:r w:rsidR="005D7520">
          <w:rPr>
            <w:webHidden/>
          </w:rPr>
        </w:r>
        <w:r w:rsidR="005D7520">
          <w:rPr>
            <w:webHidden/>
          </w:rPr>
          <w:fldChar w:fldCharType="separate"/>
        </w:r>
        <w:r w:rsidR="003A78D2">
          <w:rPr>
            <w:rFonts w:hint="eastAsia"/>
            <w:webHidden/>
          </w:rPr>
          <w:t>7</w:t>
        </w:r>
        <w:r w:rsidR="005D7520">
          <w:rPr>
            <w:webHidden/>
          </w:rPr>
          <w:fldChar w:fldCharType="end"/>
        </w:r>
      </w:hyperlink>
    </w:p>
    <w:p w14:paraId="13D3F133" w14:textId="19347213" w:rsidR="005D7520" w:rsidRDefault="00173678">
      <w:pPr>
        <w:pStyle w:val="TOC3"/>
        <w:rPr>
          <w:rFonts w:asciiTheme="minorHAnsi" w:hAnsiTheme="minorHAnsi"/>
          <w:b w:val="0"/>
          <w:sz w:val="22"/>
        </w:rPr>
      </w:pPr>
      <w:hyperlink w:anchor="_Toc71200519" w:history="1">
        <w:r w:rsidR="005D7520" w:rsidRPr="007066A6">
          <w:rPr>
            <w:rStyle w:val="Hyperlink"/>
          </w:rPr>
          <w:t>5.2.1.</w:t>
        </w:r>
        <w:r w:rsidR="005D7520">
          <w:rPr>
            <w:rFonts w:asciiTheme="minorHAnsi" w:hAnsiTheme="minorHAnsi"/>
            <w:b w:val="0"/>
            <w:sz w:val="22"/>
          </w:rPr>
          <w:tab/>
        </w:r>
        <w:r w:rsidR="005D7520" w:rsidRPr="007066A6">
          <w:rPr>
            <w:rStyle w:val="Hyperlink"/>
          </w:rPr>
          <w:t>Load Testing</w:t>
        </w:r>
        <w:r w:rsidR="005D7520">
          <w:rPr>
            <w:webHidden/>
          </w:rPr>
          <w:tab/>
        </w:r>
        <w:r w:rsidR="005D7520">
          <w:rPr>
            <w:webHidden/>
          </w:rPr>
          <w:fldChar w:fldCharType="begin"/>
        </w:r>
        <w:r w:rsidR="005D7520">
          <w:rPr>
            <w:webHidden/>
          </w:rPr>
          <w:instrText xml:space="preserve"> PAGEREF _Toc71200519 \h </w:instrText>
        </w:r>
        <w:r w:rsidR="005D7520">
          <w:rPr>
            <w:webHidden/>
          </w:rPr>
        </w:r>
        <w:r w:rsidR="005D7520">
          <w:rPr>
            <w:webHidden/>
          </w:rPr>
          <w:fldChar w:fldCharType="separate"/>
        </w:r>
        <w:r w:rsidR="003A78D2">
          <w:rPr>
            <w:webHidden/>
          </w:rPr>
          <w:t>7</w:t>
        </w:r>
        <w:r w:rsidR="005D7520">
          <w:rPr>
            <w:webHidden/>
          </w:rPr>
          <w:fldChar w:fldCharType="end"/>
        </w:r>
      </w:hyperlink>
    </w:p>
    <w:p w14:paraId="44D8F88F" w14:textId="5211142E" w:rsidR="005D7520" w:rsidRDefault="00173678">
      <w:pPr>
        <w:pStyle w:val="TOC3"/>
        <w:rPr>
          <w:rFonts w:asciiTheme="minorHAnsi" w:hAnsiTheme="minorHAnsi"/>
          <w:b w:val="0"/>
          <w:sz w:val="22"/>
        </w:rPr>
      </w:pPr>
      <w:hyperlink w:anchor="_Toc71200520" w:history="1">
        <w:r w:rsidR="005D7520" w:rsidRPr="007066A6">
          <w:rPr>
            <w:rStyle w:val="Hyperlink"/>
          </w:rPr>
          <w:t>5.2.2.</w:t>
        </w:r>
        <w:r w:rsidR="005D7520">
          <w:rPr>
            <w:rFonts w:asciiTheme="minorHAnsi" w:hAnsiTheme="minorHAnsi"/>
            <w:b w:val="0"/>
            <w:sz w:val="22"/>
          </w:rPr>
          <w:tab/>
        </w:r>
        <w:r w:rsidR="005D7520" w:rsidRPr="007066A6">
          <w:rPr>
            <w:rStyle w:val="Hyperlink"/>
          </w:rPr>
          <w:t>User Acceptance Testing (UAT)</w:t>
        </w:r>
        <w:r w:rsidR="005D7520">
          <w:rPr>
            <w:webHidden/>
          </w:rPr>
          <w:tab/>
        </w:r>
        <w:r w:rsidR="005D7520">
          <w:rPr>
            <w:webHidden/>
          </w:rPr>
          <w:fldChar w:fldCharType="begin"/>
        </w:r>
        <w:r w:rsidR="005D7520">
          <w:rPr>
            <w:webHidden/>
          </w:rPr>
          <w:instrText xml:space="preserve"> PAGEREF _Toc71200520 \h </w:instrText>
        </w:r>
        <w:r w:rsidR="005D7520">
          <w:rPr>
            <w:webHidden/>
          </w:rPr>
        </w:r>
        <w:r w:rsidR="005D7520">
          <w:rPr>
            <w:webHidden/>
          </w:rPr>
          <w:fldChar w:fldCharType="separate"/>
        </w:r>
        <w:r w:rsidR="003A78D2">
          <w:rPr>
            <w:webHidden/>
          </w:rPr>
          <w:t>7</w:t>
        </w:r>
        <w:r w:rsidR="005D7520">
          <w:rPr>
            <w:webHidden/>
          </w:rPr>
          <w:fldChar w:fldCharType="end"/>
        </w:r>
      </w:hyperlink>
    </w:p>
    <w:p w14:paraId="52C46748" w14:textId="5971CD14" w:rsidR="005D7520" w:rsidRDefault="00173678">
      <w:pPr>
        <w:pStyle w:val="TOC2"/>
        <w:rPr>
          <w:rFonts w:asciiTheme="minorHAnsi" w:hAnsiTheme="minorHAnsi"/>
          <w:b w:val="0"/>
          <w:sz w:val="22"/>
        </w:rPr>
      </w:pPr>
      <w:hyperlink w:anchor="_Toc71200521" w:history="1">
        <w:r w:rsidR="005D7520" w:rsidRPr="007066A6">
          <w:rPr>
            <w:rStyle w:val="Hyperlink"/>
          </w:rPr>
          <w:t>5.3.</w:t>
        </w:r>
        <w:r w:rsidR="005D7520">
          <w:rPr>
            <w:rFonts w:asciiTheme="minorHAnsi" w:hAnsiTheme="minorHAnsi"/>
            <w:b w:val="0"/>
            <w:sz w:val="22"/>
          </w:rPr>
          <w:tab/>
        </w:r>
        <w:r w:rsidR="005D7520" w:rsidRPr="007066A6">
          <w:rPr>
            <w:rStyle w:val="Hyperlink"/>
          </w:rPr>
          <w:t>Backout Criteria</w:t>
        </w:r>
        <w:r w:rsidR="005D7520">
          <w:rPr>
            <w:webHidden/>
          </w:rPr>
          <w:tab/>
        </w:r>
        <w:r w:rsidR="005D7520">
          <w:rPr>
            <w:webHidden/>
          </w:rPr>
          <w:fldChar w:fldCharType="begin"/>
        </w:r>
        <w:r w:rsidR="005D7520">
          <w:rPr>
            <w:webHidden/>
          </w:rPr>
          <w:instrText xml:space="preserve"> PAGEREF _Toc71200521 \h </w:instrText>
        </w:r>
        <w:r w:rsidR="005D7520">
          <w:rPr>
            <w:webHidden/>
          </w:rPr>
        </w:r>
        <w:r w:rsidR="005D7520">
          <w:rPr>
            <w:webHidden/>
          </w:rPr>
          <w:fldChar w:fldCharType="separate"/>
        </w:r>
        <w:r w:rsidR="003A78D2">
          <w:rPr>
            <w:rFonts w:hint="eastAsia"/>
            <w:webHidden/>
          </w:rPr>
          <w:t>7</w:t>
        </w:r>
        <w:r w:rsidR="005D7520">
          <w:rPr>
            <w:webHidden/>
          </w:rPr>
          <w:fldChar w:fldCharType="end"/>
        </w:r>
      </w:hyperlink>
    </w:p>
    <w:p w14:paraId="53BB0D1F" w14:textId="7EF7823B" w:rsidR="005D7520" w:rsidRDefault="00173678">
      <w:pPr>
        <w:pStyle w:val="TOC2"/>
        <w:rPr>
          <w:rFonts w:asciiTheme="minorHAnsi" w:hAnsiTheme="minorHAnsi"/>
          <w:b w:val="0"/>
          <w:sz w:val="22"/>
        </w:rPr>
      </w:pPr>
      <w:hyperlink w:anchor="_Toc71200522" w:history="1">
        <w:r w:rsidR="005D7520" w:rsidRPr="007066A6">
          <w:rPr>
            <w:rStyle w:val="Hyperlink"/>
          </w:rPr>
          <w:t>5.4.</w:t>
        </w:r>
        <w:r w:rsidR="005D7520">
          <w:rPr>
            <w:rFonts w:asciiTheme="minorHAnsi" w:hAnsiTheme="minorHAnsi"/>
            <w:b w:val="0"/>
            <w:sz w:val="22"/>
          </w:rPr>
          <w:tab/>
        </w:r>
        <w:r w:rsidR="005D7520" w:rsidRPr="007066A6">
          <w:rPr>
            <w:rStyle w:val="Hyperlink"/>
          </w:rPr>
          <w:t>Backout Risks</w:t>
        </w:r>
        <w:r w:rsidR="005D7520">
          <w:rPr>
            <w:webHidden/>
          </w:rPr>
          <w:tab/>
        </w:r>
        <w:r w:rsidR="005D7520">
          <w:rPr>
            <w:webHidden/>
          </w:rPr>
          <w:fldChar w:fldCharType="begin"/>
        </w:r>
        <w:r w:rsidR="005D7520">
          <w:rPr>
            <w:webHidden/>
          </w:rPr>
          <w:instrText xml:space="preserve"> PAGEREF _Toc71200522 \h </w:instrText>
        </w:r>
        <w:r w:rsidR="005D7520">
          <w:rPr>
            <w:webHidden/>
          </w:rPr>
        </w:r>
        <w:r w:rsidR="005D7520">
          <w:rPr>
            <w:webHidden/>
          </w:rPr>
          <w:fldChar w:fldCharType="separate"/>
        </w:r>
        <w:r w:rsidR="003A78D2">
          <w:rPr>
            <w:rFonts w:hint="eastAsia"/>
            <w:webHidden/>
          </w:rPr>
          <w:t>7</w:t>
        </w:r>
        <w:r w:rsidR="005D7520">
          <w:rPr>
            <w:webHidden/>
          </w:rPr>
          <w:fldChar w:fldCharType="end"/>
        </w:r>
      </w:hyperlink>
    </w:p>
    <w:p w14:paraId="49F3418B" w14:textId="199DE858" w:rsidR="005D7520" w:rsidRDefault="00173678">
      <w:pPr>
        <w:pStyle w:val="TOC2"/>
        <w:rPr>
          <w:rFonts w:asciiTheme="minorHAnsi" w:hAnsiTheme="minorHAnsi"/>
          <w:b w:val="0"/>
          <w:sz w:val="22"/>
        </w:rPr>
      </w:pPr>
      <w:hyperlink w:anchor="_Toc71200523" w:history="1">
        <w:r w:rsidR="005D7520" w:rsidRPr="007066A6">
          <w:rPr>
            <w:rStyle w:val="Hyperlink"/>
          </w:rPr>
          <w:t>5.5.</w:t>
        </w:r>
        <w:r w:rsidR="005D7520">
          <w:rPr>
            <w:rFonts w:asciiTheme="minorHAnsi" w:hAnsiTheme="minorHAnsi"/>
            <w:b w:val="0"/>
            <w:sz w:val="22"/>
          </w:rPr>
          <w:tab/>
        </w:r>
        <w:r w:rsidR="005D7520" w:rsidRPr="007066A6">
          <w:rPr>
            <w:rStyle w:val="Hyperlink"/>
          </w:rPr>
          <w:t>Authority for Backout</w:t>
        </w:r>
        <w:r w:rsidR="005D7520">
          <w:rPr>
            <w:webHidden/>
          </w:rPr>
          <w:tab/>
        </w:r>
        <w:r w:rsidR="005D7520">
          <w:rPr>
            <w:webHidden/>
          </w:rPr>
          <w:fldChar w:fldCharType="begin"/>
        </w:r>
        <w:r w:rsidR="005D7520">
          <w:rPr>
            <w:webHidden/>
          </w:rPr>
          <w:instrText xml:space="preserve"> PAGEREF _Toc71200523 \h </w:instrText>
        </w:r>
        <w:r w:rsidR="005D7520">
          <w:rPr>
            <w:webHidden/>
          </w:rPr>
        </w:r>
        <w:r w:rsidR="005D7520">
          <w:rPr>
            <w:webHidden/>
          </w:rPr>
          <w:fldChar w:fldCharType="separate"/>
        </w:r>
        <w:r w:rsidR="003A78D2">
          <w:rPr>
            <w:rFonts w:hint="eastAsia"/>
            <w:webHidden/>
          </w:rPr>
          <w:t>8</w:t>
        </w:r>
        <w:r w:rsidR="005D7520">
          <w:rPr>
            <w:webHidden/>
          </w:rPr>
          <w:fldChar w:fldCharType="end"/>
        </w:r>
      </w:hyperlink>
    </w:p>
    <w:p w14:paraId="14263ED3" w14:textId="156BFB3A" w:rsidR="005D7520" w:rsidRDefault="00173678">
      <w:pPr>
        <w:pStyle w:val="TOC2"/>
        <w:rPr>
          <w:rFonts w:asciiTheme="minorHAnsi" w:hAnsiTheme="minorHAnsi"/>
          <w:b w:val="0"/>
          <w:sz w:val="22"/>
        </w:rPr>
      </w:pPr>
      <w:hyperlink w:anchor="_Toc71200524" w:history="1">
        <w:r w:rsidR="005D7520" w:rsidRPr="007066A6">
          <w:rPr>
            <w:rStyle w:val="Hyperlink"/>
          </w:rPr>
          <w:t>5.6.</w:t>
        </w:r>
        <w:r w:rsidR="005D7520">
          <w:rPr>
            <w:rFonts w:asciiTheme="minorHAnsi" w:hAnsiTheme="minorHAnsi"/>
            <w:b w:val="0"/>
            <w:sz w:val="22"/>
          </w:rPr>
          <w:tab/>
        </w:r>
        <w:r w:rsidR="005D7520" w:rsidRPr="007066A6">
          <w:rPr>
            <w:rStyle w:val="Hyperlink"/>
          </w:rPr>
          <w:t>Backout Procedures</w:t>
        </w:r>
        <w:r w:rsidR="005D7520">
          <w:rPr>
            <w:webHidden/>
          </w:rPr>
          <w:tab/>
        </w:r>
        <w:r w:rsidR="005D7520">
          <w:rPr>
            <w:webHidden/>
          </w:rPr>
          <w:fldChar w:fldCharType="begin"/>
        </w:r>
        <w:r w:rsidR="005D7520">
          <w:rPr>
            <w:webHidden/>
          </w:rPr>
          <w:instrText xml:space="preserve"> PAGEREF _Toc71200524 \h </w:instrText>
        </w:r>
        <w:r w:rsidR="005D7520">
          <w:rPr>
            <w:webHidden/>
          </w:rPr>
        </w:r>
        <w:r w:rsidR="005D7520">
          <w:rPr>
            <w:webHidden/>
          </w:rPr>
          <w:fldChar w:fldCharType="separate"/>
        </w:r>
        <w:r w:rsidR="003A78D2">
          <w:rPr>
            <w:rFonts w:hint="eastAsia"/>
            <w:webHidden/>
          </w:rPr>
          <w:t>8</w:t>
        </w:r>
        <w:r w:rsidR="005D7520">
          <w:rPr>
            <w:webHidden/>
          </w:rPr>
          <w:fldChar w:fldCharType="end"/>
        </w:r>
      </w:hyperlink>
    </w:p>
    <w:p w14:paraId="1A44E984" w14:textId="6DA275DB" w:rsidR="005D7520" w:rsidRDefault="00173678">
      <w:pPr>
        <w:pStyle w:val="TOC2"/>
        <w:rPr>
          <w:rFonts w:asciiTheme="minorHAnsi" w:hAnsiTheme="minorHAnsi"/>
          <w:b w:val="0"/>
          <w:sz w:val="22"/>
        </w:rPr>
      </w:pPr>
      <w:hyperlink w:anchor="_Toc71200525" w:history="1">
        <w:r w:rsidR="005D7520" w:rsidRPr="007066A6">
          <w:rPr>
            <w:rStyle w:val="Hyperlink"/>
          </w:rPr>
          <w:t>5.7.</w:t>
        </w:r>
        <w:r w:rsidR="005D7520">
          <w:rPr>
            <w:rFonts w:asciiTheme="minorHAnsi" w:hAnsiTheme="minorHAnsi"/>
            <w:b w:val="0"/>
            <w:sz w:val="22"/>
          </w:rPr>
          <w:tab/>
        </w:r>
        <w:r w:rsidR="005D7520" w:rsidRPr="007066A6">
          <w:rPr>
            <w:rStyle w:val="Hyperlink"/>
          </w:rPr>
          <w:t>Backout Verification Procedures</w:t>
        </w:r>
        <w:r w:rsidR="005D7520">
          <w:rPr>
            <w:webHidden/>
          </w:rPr>
          <w:tab/>
        </w:r>
        <w:r w:rsidR="005D7520">
          <w:rPr>
            <w:webHidden/>
          </w:rPr>
          <w:fldChar w:fldCharType="begin"/>
        </w:r>
        <w:r w:rsidR="005D7520">
          <w:rPr>
            <w:webHidden/>
          </w:rPr>
          <w:instrText xml:space="preserve"> PAGEREF _Toc71200525 \h </w:instrText>
        </w:r>
        <w:r w:rsidR="005D7520">
          <w:rPr>
            <w:webHidden/>
          </w:rPr>
        </w:r>
        <w:r w:rsidR="005D7520">
          <w:rPr>
            <w:webHidden/>
          </w:rPr>
          <w:fldChar w:fldCharType="separate"/>
        </w:r>
        <w:r w:rsidR="003A78D2">
          <w:rPr>
            <w:rFonts w:hint="eastAsia"/>
            <w:webHidden/>
          </w:rPr>
          <w:t>8</w:t>
        </w:r>
        <w:r w:rsidR="005D7520">
          <w:rPr>
            <w:webHidden/>
          </w:rPr>
          <w:fldChar w:fldCharType="end"/>
        </w:r>
      </w:hyperlink>
    </w:p>
    <w:p w14:paraId="60BF1DA8" w14:textId="1750D9C3" w:rsidR="005D7520" w:rsidRDefault="00173678">
      <w:pPr>
        <w:pStyle w:val="TOC1"/>
        <w:rPr>
          <w:rFonts w:asciiTheme="minorHAnsi" w:hAnsiTheme="minorHAnsi"/>
          <w:b w:val="0"/>
          <w:sz w:val="22"/>
        </w:rPr>
      </w:pPr>
      <w:hyperlink w:anchor="_Toc71200526" w:history="1">
        <w:r w:rsidR="005D7520" w:rsidRPr="007066A6">
          <w:rPr>
            <w:rStyle w:val="Hyperlink"/>
          </w:rPr>
          <w:t>6.</w:t>
        </w:r>
        <w:r w:rsidR="005D7520">
          <w:rPr>
            <w:rFonts w:asciiTheme="minorHAnsi" w:hAnsiTheme="minorHAnsi"/>
            <w:b w:val="0"/>
            <w:sz w:val="22"/>
          </w:rPr>
          <w:tab/>
        </w:r>
        <w:r w:rsidR="005D7520" w:rsidRPr="007066A6">
          <w:rPr>
            <w:rStyle w:val="Hyperlink"/>
          </w:rPr>
          <w:t>Rollback Procedures</w:t>
        </w:r>
        <w:r w:rsidR="005D7520">
          <w:rPr>
            <w:webHidden/>
          </w:rPr>
          <w:tab/>
        </w:r>
        <w:r w:rsidR="005D7520">
          <w:rPr>
            <w:webHidden/>
          </w:rPr>
          <w:fldChar w:fldCharType="begin"/>
        </w:r>
        <w:r w:rsidR="005D7520">
          <w:rPr>
            <w:webHidden/>
          </w:rPr>
          <w:instrText xml:space="preserve"> PAGEREF _Toc71200526 \h </w:instrText>
        </w:r>
        <w:r w:rsidR="005D7520">
          <w:rPr>
            <w:webHidden/>
          </w:rPr>
        </w:r>
        <w:r w:rsidR="005D7520">
          <w:rPr>
            <w:webHidden/>
          </w:rPr>
          <w:fldChar w:fldCharType="separate"/>
        </w:r>
        <w:r w:rsidR="003A78D2">
          <w:rPr>
            <w:rFonts w:hint="eastAsia"/>
            <w:webHidden/>
          </w:rPr>
          <w:t>8</w:t>
        </w:r>
        <w:r w:rsidR="005D7520">
          <w:rPr>
            <w:webHidden/>
          </w:rPr>
          <w:fldChar w:fldCharType="end"/>
        </w:r>
      </w:hyperlink>
    </w:p>
    <w:p w14:paraId="1EE1926C" w14:textId="1ABA1331" w:rsidR="005D7520" w:rsidRDefault="00173678">
      <w:pPr>
        <w:pStyle w:val="TOC2"/>
        <w:rPr>
          <w:rFonts w:asciiTheme="minorHAnsi" w:hAnsiTheme="minorHAnsi"/>
          <w:b w:val="0"/>
          <w:sz w:val="22"/>
        </w:rPr>
      </w:pPr>
      <w:hyperlink w:anchor="_Toc71200527" w:history="1">
        <w:r w:rsidR="005D7520" w:rsidRPr="007066A6">
          <w:rPr>
            <w:rStyle w:val="Hyperlink"/>
          </w:rPr>
          <w:t>6.1.</w:t>
        </w:r>
        <w:r w:rsidR="005D7520">
          <w:rPr>
            <w:rFonts w:asciiTheme="minorHAnsi" w:hAnsiTheme="minorHAnsi"/>
            <w:b w:val="0"/>
            <w:sz w:val="22"/>
          </w:rPr>
          <w:tab/>
        </w:r>
        <w:r w:rsidR="005D7520" w:rsidRPr="007066A6">
          <w:rPr>
            <w:rStyle w:val="Hyperlink"/>
          </w:rPr>
          <w:t>Rollback Considerations</w:t>
        </w:r>
        <w:r w:rsidR="005D7520">
          <w:rPr>
            <w:webHidden/>
          </w:rPr>
          <w:tab/>
        </w:r>
        <w:r w:rsidR="005D7520">
          <w:rPr>
            <w:webHidden/>
          </w:rPr>
          <w:fldChar w:fldCharType="begin"/>
        </w:r>
        <w:r w:rsidR="005D7520">
          <w:rPr>
            <w:webHidden/>
          </w:rPr>
          <w:instrText xml:space="preserve"> PAGEREF _Toc71200527 \h </w:instrText>
        </w:r>
        <w:r w:rsidR="005D7520">
          <w:rPr>
            <w:webHidden/>
          </w:rPr>
        </w:r>
        <w:r w:rsidR="005D7520">
          <w:rPr>
            <w:webHidden/>
          </w:rPr>
          <w:fldChar w:fldCharType="separate"/>
        </w:r>
        <w:r w:rsidR="003A78D2">
          <w:rPr>
            <w:rFonts w:hint="eastAsia"/>
            <w:webHidden/>
          </w:rPr>
          <w:t>8</w:t>
        </w:r>
        <w:r w:rsidR="005D7520">
          <w:rPr>
            <w:webHidden/>
          </w:rPr>
          <w:fldChar w:fldCharType="end"/>
        </w:r>
      </w:hyperlink>
    </w:p>
    <w:p w14:paraId="4EBAEB49" w14:textId="75F02AA4" w:rsidR="005D7520" w:rsidRDefault="00173678">
      <w:pPr>
        <w:pStyle w:val="TOC2"/>
        <w:rPr>
          <w:rFonts w:asciiTheme="minorHAnsi" w:hAnsiTheme="minorHAnsi"/>
          <w:b w:val="0"/>
          <w:sz w:val="22"/>
        </w:rPr>
      </w:pPr>
      <w:hyperlink w:anchor="_Toc71200528" w:history="1">
        <w:r w:rsidR="005D7520" w:rsidRPr="007066A6">
          <w:rPr>
            <w:rStyle w:val="Hyperlink"/>
          </w:rPr>
          <w:t>6.2.</w:t>
        </w:r>
        <w:r w:rsidR="005D7520">
          <w:rPr>
            <w:rFonts w:asciiTheme="minorHAnsi" w:hAnsiTheme="minorHAnsi"/>
            <w:b w:val="0"/>
            <w:sz w:val="22"/>
          </w:rPr>
          <w:tab/>
        </w:r>
        <w:r w:rsidR="005D7520" w:rsidRPr="007066A6">
          <w:rPr>
            <w:rStyle w:val="Hyperlink"/>
          </w:rPr>
          <w:t>Rollback Criteria</w:t>
        </w:r>
        <w:r w:rsidR="005D7520">
          <w:rPr>
            <w:webHidden/>
          </w:rPr>
          <w:tab/>
        </w:r>
        <w:r w:rsidR="005D7520">
          <w:rPr>
            <w:webHidden/>
          </w:rPr>
          <w:fldChar w:fldCharType="begin"/>
        </w:r>
        <w:r w:rsidR="005D7520">
          <w:rPr>
            <w:webHidden/>
          </w:rPr>
          <w:instrText xml:space="preserve"> PAGEREF _Toc71200528 \h </w:instrText>
        </w:r>
        <w:r w:rsidR="005D7520">
          <w:rPr>
            <w:webHidden/>
          </w:rPr>
        </w:r>
        <w:r w:rsidR="005D7520">
          <w:rPr>
            <w:webHidden/>
          </w:rPr>
          <w:fldChar w:fldCharType="separate"/>
        </w:r>
        <w:r w:rsidR="003A78D2">
          <w:rPr>
            <w:rFonts w:hint="eastAsia"/>
            <w:webHidden/>
          </w:rPr>
          <w:t>9</w:t>
        </w:r>
        <w:r w:rsidR="005D7520">
          <w:rPr>
            <w:webHidden/>
          </w:rPr>
          <w:fldChar w:fldCharType="end"/>
        </w:r>
      </w:hyperlink>
    </w:p>
    <w:p w14:paraId="73E1363E" w14:textId="4875BF94" w:rsidR="005D7520" w:rsidRDefault="00173678">
      <w:pPr>
        <w:pStyle w:val="TOC2"/>
        <w:rPr>
          <w:rFonts w:asciiTheme="minorHAnsi" w:hAnsiTheme="minorHAnsi"/>
          <w:b w:val="0"/>
          <w:sz w:val="22"/>
        </w:rPr>
      </w:pPr>
      <w:hyperlink w:anchor="_Toc71200529" w:history="1">
        <w:r w:rsidR="005D7520" w:rsidRPr="007066A6">
          <w:rPr>
            <w:rStyle w:val="Hyperlink"/>
          </w:rPr>
          <w:t>6.3.</w:t>
        </w:r>
        <w:r w:rsidR="005D7520">
          <w:rPr>
            <w:rFonts w:asciiTheme="minorHAnsi" w:hAnsiTheme="minorHAnsi"/>
            <w:b w:val="0"/>
            <w:sz w:val="22"/>
          </w:rPr>
          <w:tab/>
        </w:r>
        <w:r w:rsidR="005D7520" w:rsidRPr="007066A6">
          <w:rPr>
            <w:rStyle w:val="Hyperlink"/>
          </w:rPr>
          <w:t>Rollback Risks</w:t>
        </w:r>
        <w:r w:rsidR="005D7520">
          <w:rPr>
            <w:webHidden/>
          </w:rPr>
          <w:tab/>
        </w:r>
        <w:r w:rsidR="005D7520">
          <w:rPr>
            <w:webHidden/>
          </w:rPr>
          <w:fldChar w:fldCharType="begin"/>
        </w:r>
        <w:r w:rsidR="005D7520">
          <w:rPr>
            <w:webHidden/>
          </w:rPr>
          <w:instrText xml:space="preserve"> PAGEREF _Toc71200529 \h </w:instrText>
        </w:r>
        <w:r w:rsidR="005D7520">
          <w:rPr>
            <w:webHidden/>
          </w:rPr>
        </w:r>
        <w:r w:rsidR="005D7520">
          <w:rPr>
            <w:webHidden/>
          </w:rPr>
          <w:fldChar w:fldCharType="separate"/>
        </w:r>
        <w:r w:rsidR="003A78D2">
          <w:rPr>
            <w:rFonts w:hint="eastAsia"/>
            <w:webHidden/>
          </w:rPr>
          <w:t>9</w:t>
        </w:r>
        <w:r w:rsidR="005D7520">
          <w:rPr>
            <w:webHidden/>
          </w:rPr>
          <w:fldChar w:fldCharType="end"/>
        </w:r>
      </w:hyperlink>
    </w:p>
    <w:p w14:paraId="21EAE9DA" w14:textId="7CF332C3" w:rsidR="005D7520" w:rsidRDefault="00173678">
      <w:pPr>
        <w:pStyle w:val="TOC2"/>
        <w:rPr>
          <w:rFonts w:asciiTheme="minorHAnsi" w:hAnsiTheme="minorHAnsi"/>
          <w:b w:val="0"/>
          <w:sz w:val="22"/>
        </w:rPr>
      </w:pPr>
      <w:hyperlink w:anchor="_Toc71200530" w:history="1">
        <w:r w:rsidR="005D7520" w:rsidRPr="007066A6">
          <w:rPr>
            <w:rStyle w:val="Hyperlink"/>
          </w:rPr>
          <w:t>6.4.</w:t>
        </w:r>
        <w:r w:rsidR="005D7520">
          <w:rPr>
            <w:rFonts w:asciiTheme="minorHAnsi" w:hAnsiTheme="minorHAnsi"/>
            <w:b w:val="0"/>
            <w:sz w:val="22"/>
          </w:rPr>
          <w:tab/>
        </w:r>
        <w:r w:rsidR="005D7520" w:rsidRPr="007066A6">
          <w:rPr>
            <w:rStyle w:val="Hyperlink"/>
          </w:rPr>
          <w:t>Authority for Rollback</w:t>
        </w:r>
        <w:r w:rsidR="005D7520">
          <w:rPr>
            <w:webHidden/>
          </w:rPr>
          <w:tab/>
        </w:r>
        <w:r w:rsidR="005D7520">
          <w:rPr>
            <w:webHidden/>
          </w:rPr>
          <w:fldChar w:fldCharType="begin"/>
        </w:r>
        <w:r w:rsidR="005D7520">
          <w:rPr>
            <w:webHidden/>
          </w:rPr>
          <w:instrText xml:space="preserve"> PAGEREF _Toc71200530 \h </w:instrText>
        </w:r>
        <w:r w:rsidR="005D7520">
          <w:rPr>
            <w:webHidden/>
          </w:rPr>
        </w:r>
        <w:r w:rsidR="005D7520">
          <w:rPr>
            <w:webHidden/>
          </w:rPr>
          <w:fldChar w:fldCharType="separate"/>
        </w:r>
        <w:r w:rsidR="003A78D2">
          <w:rPr>
            <w:rFonts w:hint="eastAsia"/>
            <w:webHidden/>
          </w:rPr>
          <w:t>9</w:t>
        </w:r>
        <w:r w:rsidR="005D7520">
          <w:rPr>
            <w:webHidden/>
          </w:rPr>
          <w:fldChar w:fldCharType="end"/>
        </w:r>
      </w:hyperlink>
    </w:p>
    <w:p w14:paraId="4C1A1774" w14:textId="3280D120" w:rsidR="005D7520" w:rsidRDefault="00173678">
      <w:pPr>
        <w:pStyle w:val="TOC2"/>
        <w:rPr>
          <w:rFonts w:asciiTheme="minorHAnsi" w:hAnsiTheme="minorHAnsi"/>
          <w:b w:val="0"/>
          <w:sz w:val="22"/>
        </w:rPr>
      </w:pPr>
      <w:hyperlink w:anchor="_Toc71200531" w:history="1">
        <w:r w:rsidR="005D7520" w:rsidRPr="007066A6">
          <w:rPr>
            <w:rStyle w:val="Hyperlink"/>
          </w:rPr>
          <w:t>6.5.</w:t>
        </w:r>
        <w:r w:rsidR="005D7520">
          <w:rPr>
            <w:rFonts w:asciiTheme="minorHAnsi" w:hAnsiTheme="minorHAnsi"/>
            <w:b w:val="0"/>
            <w:sz w:val="22"/>
          </w:rPr>
          <w:tab/>
        </w:r>
        <w:r w:rsidR="005D7520" w:rsidRPr="007066A6">
          <w:rPr>
            <w:rStyle w:val="Hyperlink"/>
          </w:rPr>
          <w:t>Rollback Procedures</w:t>
        </w:r>
        <w:r w:rsidR="005D7520">
          <w:rPr>
            <w:webHidden/>
          </w:rPr>
          <w:tab/>
        </w:r>
        <w:r w:rsidR="005D7520">
          <w:rPr>
            <w:webHidden/>
          </w:rPr>
          <w:fldChar w:fldCharType="begin"/>
        </w:r>
        <w:r w:rsidR="005D7520">
          <w:rPr>
            <w:webHidden/>
          </w:rPr>
          <w:instrText xml:space="preserve"> PAGEREF _Toc71200531 \h </w:instrText>
        </w:r>
        <w:r w:rsidR="005D7520">
          <w:rPr>
            <w:webHidden/>
          </w:rPr>
        </w:r>
        <w:r w:rsidR="005D7520">
          <w:rPr>
            <w:webHidden/>
          </w:rPr>
          <w:fldChar w:fldCharType="separate"/>
        </w:r>
        <w:r w:rsidR="003A78D2">
          <w:rPr>
            <w:rFonts w:hint="eastAsia"/>
            <w:webHidden/>
          </w:rPr>
          <w:t>9</w:t>
        </w:r>
        <w:r w:rsidR="005D7520">
          <w:rPr>
            <w:webHidden/>
          </w:rPr>
          <w:fldChar w:fldCharType="end"/>
        </w:r>
      </w:hyperlink>
    </w:p>
    <w:p w14:paraId="20028D04" w14:textId="3FA1CEF6" w:rsidR="005D7520" w:rsidRDefault="00173678">
      <w:pPr>
        <w:pStyle w:val="TOC2"/>
        <w:rPr>
          <w:rFonts w:asciiTheme="minorHAnsi" w:hAnsiTheme="minorHAnsi"/>
          <w:b w:val="0"/>
          <w:sz w:val="22"/>
        </w:rPr>
      </w:pPr>
      <w:hyperlink w:anchor="_Toc71200532" w:history="1">
        <w:r w:rsidR="005D7520" w:rsidRPr="007066A6">
          <w:rPr>
            <w:rStyle w:val="Hyperlink"/>
          </w:rPr>
          <w:t>6.6.</w:t>
        </w:r>
        <w:r w:rsidR="005D7520">
          <w:rPr>
            <w:rFonts w:asciiTheme="minorHAnsi" w:hAnsiTheme="minorHAnsi"/>
            <w:b w:val="0"/>
            <w:sz w:val="22"/>
          </w:rPr>
          <w:tab/>
        </w:r>
        <w:r w:rsidR="005D7520" w:rsidRPr="007066A6">
          <w:rPr>
            <w:rStyle w:val="Hyperlink"/>
          </w:rPr>
          <w:t>Rollback Verification Procedures</w:t>
        </w:r>
        <w:r w:rsidR="005D7520">
          <w:rPr>
            <w:webHidden/>
          </w:rPr>
          <w:tab/>
        </w:r>
        <w:r w:rsidR="005D7520">
          <w:rPr>
            <w:webHidden/>
          </w:rPr>
          <w:fldChar w:fldCharType="begin"/>
        </w:r>
        <w:r w:rsidR="005D7520">
          <w:rPr>
            <w:webHidden/>
          </w:rPr>
          <w:instrText xml:space="preserve"> PAGEREF _Toc71200532 \h </w:instrText>
        </w:r>
        <w:r w:rsidR="005D7520">
          <w:rPr>
            <w:webHidden/>
          </w:rPr>
        </w:r>
        <w:r w:rsidR="005D7520">
          <w:rPr>
            <w:webHidden/>
          </w:rPr>
          <w:fldChar w:fldCharType="separate"/>
        </w:r>
        <w:r w:rsidR="003A78D2">
          <w:rPr>
            <w:rFonts w:hint="eastAsia"/>
            <w:webHidden/>
          </w:rPr>
          <w:t>9</w:t>
        </w:r>
        <w:r w:rsidR="005D7520">
          <w:rPr>
            <w:webHidden/>
          </w:rPr>
          <w:fldChar w:fldCharType="end"/>
        </w:r>
      </w:hyperlink>
    </w:p>
    <w:p w14:paraId="1CE89E0F" w14:textId="7C99C2F6" w:rsidR="005D7520" w:rsidRDefault="00173678">
      <w:pPr>
        <w:pStyle w:val="TOC1"/>
        <w:rPr>
          <w:rFonts w:asciiTheme="minorHAnsi" w:hAnsiTheme="minorHAnsi"/>
          <w:b w:val="0"/>
          <w:sz w:val="22"/>
        </w:rPr>
      </w:pPr>
      <w:hyperlink w:anchor="_Toc71200533" w:history="1">
        <w:r w:rsidR="005D7520" w:rsidRPr="007066A6">
          <w:rPr>
            <w:rStyle w:val="Hyperlink"/>
          </w:rPr>
          <w:t>A.</w:t>
        </w:r>
        <w:r w:rsidR="005D7520">
          <w:rPr>
            <w:rFonts w:asciiTheme="minorHAnsi" w:hAnsiTheme="minorHAnsi"/>
            <w:b w:val="0"/>
            <w:sz w:val="22"/>
          </w:rPr>
          <w:tab/>
        </w:r>
        <w:r w:rsidR="005D7520" w:rsidRPr="007066A6">
          <w:rPr>
            <w:rStyle w:val="Hyperlink"/>
          </w:rPr>
          <w:t>Acronyms and Abbreviations</w:t>
        </w:r>
        <w:r w:rsidR="005D7520">
          <w:rPr>
            <w:webHidden/>
          </w:rPr>
          <w:tab/>
        </w:r>
        <w:r w:rsidR="005D7520">
          <w:rPr>
            <w:webHidden/>
          </w:rPr>
          <w:fldChar w:fldCharType="begin"/>
        </w:r>
        <w:r w:rsidR="005D7520">
          <w:rPr>
            <w:webHidden/>
          </w:rPr>
          <w:instrText xml:space="preserve"> PAGEREF _Toc71200533 \h </w:instrText>
        </w:r>
        <w:r w:rsidR="005D7520">
          <w:rPr>
            <w:webHidden/>
          </w:rPr>
        </w:r>
        <w:r w:rsidR="005D7520">
          <w:rPr>
            <w:webHidden/>
          </w:rPr>
          <w:fldChar w:fldCharType="separate"/>
        </w:r>
        <w:r w:rsidR="003A78D2">
          <w:rPr>
            <w:rFonts w:hint="eastAsia"/>
            <w:webHidden/>
          </w:rPr>
          <w:t>10</w:t>
        </w:r>
        <w:r w:rsidR="005D7520">
          <w:rPr>
            <w:webHidden/>
          </w:rPr>
          <w:fldChar w:fldCharType="end"/>
        </w:r>
      </w:hyperlink>
    </w:p>
    <w:p w14:paraId="480FE0F0" w14:textId="2304637E"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3588A5D" w14:textId="2D3FFE6F" w:rsidR="005D7520"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71200534" w:history="1">
        <w:r w:rsidR="005D7520" w:rsidRPr="005145A7">
          <w:rPr>
            <w:rStyle w:val="Hyperlink"/>
            <w:noProof/>
          </w:rPr>
          <w:t>Figure 1:  VistA Scheduling Desktop Shortcut</w:t>
        </w:r>
        <w:r w:rsidR="005D7520">
          <w:rPr>
            <w:noProof/>
            <w:webHidden/>
          </w:rPr>
          <w:tab/>
        </w:r>
        <w:r w:rsidR="005D7520">
          <w:rPr>
            <w:noProof/>
            <w:webHidden/>
          </w:rPr>
          <w:fldChar w:fldCharType="begin"/>
        </w:r>
        <w:r w:rsidR="005D7520">
          <w:rPr>
            <w:noProof/>
            <w:webHidden/>
          </w:rPr>
          <w:instrText xml:space="preserve"> PAGEREF _Toc71200534 \h </w:instrText>
        </w:r>
        <w:r w:rsidR="005D7520">
          <w:rPr>
            <w:noProof/>
            <w:webHidden/>
          </w:rPr>
        </w:r>
        <w:r w:rsidR="005D7520">
          <w:rPr>
            <w:noProof/>
            <w:webHidden/>
          </w:rPr>
          <w:fldChar w:fldCharType="separate"/>
        </w:r>
        <w:r w:rsidR="003A78D2">
          <w:rPr>
            <w:noProof/>
            <w:webHidden/>
          </w:rPr>
          <w:t>8</w:t>
        </w:r>
        <w:r w:rsidR="005D7520">
          <w:rPr>
            <w:noProof/>
            <w:webHidden/>
          </w:rPr>
          <w:fldChar w:fldCharType="end"/>
        </w:r>
      </w:hyperlink>
    </w:p>
    <w:p w14:paraId="14780579" w14:textId="66C0E2EE"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2BC476FB" w14:textId="1A3B165C" w:rsidR="005D7520"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71200535" w:history="1">
        <w:r w:rsidR="005D7520" w:rsidRPr="003C35DD">
          <w:rPr>
            <w:rStyle w:val="Hyperlink"/>
            <w:noProof/>
          </w:rPr>
          <w:t>Table 1:  Dependencies</w:t>
        </w:r>
        <w:r w:rsidR="005D7520">
          <w:rPr>
            <w:noProof/>
            <w:webHidden/>
          </w:rPr>
          <w:tab/>
        </w:r>
        <w:r w:rsidR="005D7520">
          <w:rPr>
            <w:noProof/>
            <w:webHidden/>
          </w:rPr>
          <w:fldChar w:fldCharType="begin"/>
        </w:r>
        <w:r w:rsidR="005D7520">
          <w:rPr>
            <w:noProof/>
            <w:webHidden/>
          </w:rPr>
          <w:instrText xml:space="preserve"> PAGEREF _Toc71200535 \h </w:instrText>
        </w:r>
        <w:r w:rsidR="005D7520">
          <w:rPr>
            <w:noProof/>
            <w:webHidden/>
          </w:rPr>
        </w:r>
        <w:r w:rsidR="005D7520">
          <w:rPr>
            <w:noProof/>
            <w:webHidden/>
          </w:rPr>
          <w:fldChar w:fldCharType="separate"/>
        </w:r>
        <w:r w:rsidR="003A78D2">
          <w:rPr>
            <w:noProof/>
            <w:webHidden/>
          </w:rPr>
          <w:t>1</w:t>
        </w:r>
        <w:r w:rsidR="005D7520">
          <w:rPr>
            <w:noProof/>
            <w:webHidden/>
          </w:rPr>
          <w:fldChar w:fldCharType="end"/>
        </w:r>
      </w:hyperlink>
    </w:p>
    <w:p w14:paraId="2B1551BA" w14:textId="045FB527" w:rsidR="005D7520" w:rsidRDefault="00173678">
      <w:pPr>
        <w:pStyle w:val="TableofFigures"/>
        <w:tabs>
          <w:tab w:val="right" w:leader="dot" w:pos="9350"/>
        </w:tabs>
        <w:rPr>
          <w:noProof/>
          <w:sz w:val="22"/>
        </w:rPr>
      </w:pPr>
      <w:hyperlink w:anchor="_Toc71200536" w:history="1">
        <w:r w:rsidR="005D7520" w:rsidRPr="003C35DD">
          <w:rPr>
            <w:rStyle w:val="Hyperlink"/>
            <w:noProof/>
          </w:rPr>
          <w:t>Table 2:  DIBR Roles and Responsibilities</w:t>
        </w:r>
        <w:r w:rsidR="005D7520">
          <w:rPr>
            <w:noProof/>
            <w:webHidden/>
          </w:rPr>
          <w:tab/>
        </w:r>
        <w:r w:rsidR="005D7520">
          <w:rPr>
            <w:noProof/>
            <w:webHidden/>
          </w:rPr>
          <w:fldChar w:fldCharType="begin"/>
        </w:r>
        <w:r w:rsidR="005D7520">
          <w:rPr>
            <w:noProof/>
            <w:webHidden/>
          </w:rPr>
          <w:instrText xml:space="preserve"> PAGEREF _Toc71200536 \h </w:instrText>
        </w:r>
        <w:r w:rsidR="005D7520">
          <w:rPr>
            <w:noProof/>
            <w:webHidden/>
          </w:rPr>
        </w:r>
        <w:r w:rsidR="005D7520">
          <w:rPr>
            <w:noProof/>
            <w:webHidden/>
          </w:rPr>
          <w:fldChar w:fldCharType="separate"/>
        </w:r>
        <w:r w:rsidR="003A78D2">
          <w:rPr>
            <w:noProof/>
            <w:webHidden/>
          </w:rPr>
          <w:t>1</w:t>
        </w:r>
        <w:r w:rsidR="005D7520">
          <w:rPr>
            <w:noProof/>
            <w:webHidden/>
          </w:rPr>
          <w:fldChar w:fldCharType="end"/>
        </w:r>
      </w:hyperlink>
    </w:p>
    <w:p w14:paraId="6BED1E8A" w14:textId="53F10B9F" w:rsidR="005D7520" w:rsidRDefault="00173678">
      <w:pPr>
        <w:pStyle w:val="TableofFigures"/>
        <w:tabs>
          <w:tab w:val="right" w:leader="dot" w:pos="9350"/>
        </w:tabs>
        <w:rPr>
          <w:noProof/>
          <w:sz w:val="22"/>
        </w:rPr>
      </w:pPr>
      <w:hyperlink w:anchor="_Toc71200537" w:history="1">
        <w:r w:rsidR="005D7520" w:rsidRPr="003C35DD">
          <w:rPr>
            <w:rStyle w:val="Hyperlink"/>
            <w:noProof/>
          </w:rPr>
          <w:t>Table 3:  Key Communication Items</w:t>
        </w:r>
        <w:r w:rsidR="005D7520">
          <w:rPr>
            <w:noProof/>
            <w:webHidden/>
          </w:rPr>
          <w:tab/>
        </w:r>
        <w:r w:rsidR="005D7520">
          <w:rPr>
            <w:noProof/>
            <w:webHidden/>
          </w:rPr>
          <w:fldChar w:fldCharType="begin"/>
        </w:r>
        <w:r w:rsidR="005D7520">
          <w:rPr>
            <w:noProof/>
            <w:webHidden/>
          </w:rPr>
          <w:instrText xml:space="preserve"> PAGEREF _Toc71200537 \h </w:instrText>
        </w:r>
        <w:r w:rsidR="005D7520">
          <w:rPr>
            <w:noProof/>
            <w:webHidden/>
          </w:rPr>
        </w:r>
        <w:r w:rsidR="005D7520">
          <w:rPr>
            <w:noProof/>
            <w:webHidden/>
          </w:rPr>
          <w:fldChar w:fldCharType="separate"/>
        </w:r>
        <w:r w:rsidR="003A78D2">
          <w:rPr>
            <w:noProof/>
            <w:webHidden/>
          </w:rPr>
          <w:t>4</w:t>
        </w:r>
        <w:r w:rsidR="005D7520">
          <w:rPr>
            <w:noProof/>
            <w:webHidden/>
          </w:rPr>
          <w:fldChar w:fldCharType="end"/>
        </w:r>
      </w:hyperlink>
    </w:p>
    <w:p w14:paraId="02B98966" w14:textId="7D59EC89" w:rsidR="005D7520" w:rsidRDefault="00173678">
      <w:pPr>
        <w:pStyle w:val="TableofFigures"/>
        <w:tabs>
          <w:tab w:val="right" w:leader="dot" w:pos="9350"/>
        </w:tabs>
        <w:rPr>
          <w:noProof/>
          <w:sz w:val="22"/>
        </w:rPr>
      </w:pPr>
      <w:hyperlink w:anchor="_Toc71200538" w:history="1">
        <w:r w:rsidR="005D7520" w:rsidRPr="003C35DD">
          <w:rPr>
            <w:rStyle w:val="Hyperlink"/>
            <w:noProof/>
          </w:rPr>
          <w:t>Table 4:  Deployment, Installation, Backout, and Rollback Checklist</w:t>
        </w:r>
        <w:r w:rsidR="005D7520">
          <w:rPr>
            <w:noProof/>
            <w:webHidden/>
          </w:rPr>
          <w:tab/>
        </w:r>
        <w:r w:rsidR="005D7520">
          <w:rPr>
            <w:noProof/>
            <w:webHidden/>
          </w:rPr>
          <w:fldChar w:fldCharType="begin"/>
        </w:r>
        <w:r w:rsidR="005D7520">
          <w:rPr>
            <w:noProof/>
            <w:webHidden/>
          </w:rPr>
          <w:instrText xml:space="preserve"> PAGEREF _Toc71200538 \h </w:instrText>
        </w:r>
        <w:r w:rsidR="005D7520">
          <w:rPr>
            <w:noProof/>
            <w:webHidden/>
          </w:rPr>
        </w:r>
        <w:r w:rsidR="005D7520">
          <w:rPr>
            <w:noProof/>
            <w:webHidden/>
          </w:rPr>
          <w:fldChar w:fldCharType="separate"/>
        </w:r>
        <w:r w:rsidR="003A78D2">
          <w:rPr>
            <w:noProof/>
            <w:webHidden/>
          </w:rPr>
          <w:t>4</w:t>
        </w:r>
        <w:r w:rsidR="005D7520">
          <w:rPr>
            <w:noProof/>
            <w:webHidden/>
          </w:rPr>
          <w:fldChar w:fldCharType="end"/>
        </w:r>
      </w:hyperlink>
    </w:p>
    <w:p w14:paraId="22D8CBDF" w14:textId="5040FBA9" w:rsidR="005D7520" w:rsidRDefault="00173678">
      <w:pPr>
        <w:pStyle w:val="TableofFigures"/>
        <w:tabs>
          <w:tab w:val="right" w:leader="dot" w:pos="9350"/>
        </w:tabs>
        <w:rPr>
          <w:noProof/>
          <w:sz w:val="22"/>
        </w:rPr>
      </w:pPr>
      <w:hyperlink w:anchor="_Toc71200539" w:history="1">
        <w:r w:rsidR="005D7520" w:rsidRPr="003C35DD">
          <w:rPr>
            <w:rStyle w:val="Hyperlink"/>
            <w:noProof/>
          </w:rPr>
          <w:t>Table 5:  Acronyms and Abbreviations</w:t>
        </w:r>
        <w:r w:rsidR="005D7520">
          <w:rPr>
            <w:noProof/>
            <w:webHidden/>
          </w:rPr>
          <w:tab/>
        </w:r>
        <w:r w:rsidR="005D7520">
          <w:rPr>
            <w:noProof/>
            <w:webHidden/>
          </w:rPr>
          <w:fldChar w:fldCharType="begin"/>
        </w:r>
        <w:r w:rsidR="005D7520">
          <w:rPr>
            <w:noProof/>
            <w:webHidden/>
          </w:rPr>
          <w:instrText xml:space="preserve"> PAGEREF _Toc71200539 \h </w:instrText>
        </w:r>
        <w:r w:rsidR="005D7520">
          <w:rPr>
            <w:noProof/>
            <w:webHidden/>
          </w:rPr>
        </w:r>
        <w:r w:rsidR="005D7520">
          <w:rPr>
            <w:noProof/>
            <w:webHidden/>
          </w:rPr>
          <w:fldChar w:fldCharType="separate"/>
        </w:r>
        <w:r w:rsidR="003A78D2">
          <w:rPr>
            <w:noProof/>
            <w:webHidden/>
          </w:rPr>
          <w:t>10</w:t>
        </w:r>
        <w:r w:rsidR="005D7520">
          <w:rPr>
            <w:noProof/>
            <w:webHidden/>
          </w:rPr>
          <w:fldChar w:fldCharType="end"/>
        </w:r>
      </w:hyperlink>
    </w:p>
    <w:p w14:paraId="6B805371" w14:textId="7211FE3B"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71200488"/>
      <w:r>
        <w:lastRenderedPageBreak/>
        <w:t>Introduction</w:t>
      </w:r>
      <w:bookmarkEnd w:id="0"/>
      <w:bookmarkEnd w:id="1"/>
    </w:p>
    <w:p w14:paraId="3B28590F" w14:textId="78D87EB4"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5B63EC">
        <w:t>1.7.7.4</w:t>
      </w:r>
      <w:r>
        <w:t xml:space="preserve"> of the</w:t>
      </w:r>
      <w:r w:rsidRPr="00467BA3">
        <w:t xml:space="preserve"> Veterans Health Information System and Technology Architecture (</w:t>
      </w:r>
      <w:proofErr w:type="spellStart"/>
      <w:r w:rsidRPr="00467BA3">
        <w:t>VistA</w:t>
      </w:r>
      <w:proofErr w:type="spellEnd"/>
      <w:r w:rsidRPr="00467BA3">
        <w:t>)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71200489"/>
      <w:r>
        <w:t>Purpose</w:t>
      </w:r>
      <w:bookmarkEnd w:id="2"/>
      <w:bookmarkEnd w:id="3"/>
    </w:p>
    <w:p w14:paraId="4FA46A74" w14:textId="1CEB66A5"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5B63EC">
        <w:t>1.7.7.4</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71200490"/>
      <w:r>
        <w:t>Dependencies</w:t>
      </w:r>
      <w:bookmarkEnd w:id="4"/>
    </w:p>
    <w:p w14:paraId="0621A399" w14:textId="2293C08C"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3A78D2" w:rsidRPr="003A78D2">
        <w:rPr>
          <w:rStyle w:val="Cross-Reference"/>
        </w:rPr>
        <w:t>Table 1</w:t>
      </w:r>
      <w:r w:rsidRPr="005D4613">
        <w:rPr>
          <w:rStyle w:val="Cross-Reference"/>
        </w:rPr>
        <w:fldChar w:fldCharType="end"/>
      </w:r>
      <w:r w:rsidR="00907E2A">
        <w:t xml:space="preserve"> details the</w:t>
      </w:r>
      <w:r w:rsidR="00907E2A" w:rsidRPr="00907E2A">
        <w:t xml:space="preserve"> </w:t>
      </w:r>
      <w:proofErr w:type="spellStart"/>
      <w:r w:rsidR="00907E2A" w:rsidRPr="00907E2A">
        <w:t>VistA</w:t>
      </w:r>
      <w:proofErr w:type="spellEnd"/>
      <w:r w:rsidR="00907E2A" w:rsidRPr="00907E2A">
        <w:t xml:space="preserve">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5B63EC">
        <w:t>1.7.7.4</w:t>
      </w:r>
      <w:r w:rsidR="00A872B6">
        <w:t>.</w:t>
      </w:r>
    </w:p>
    <w:p w14:paraId="0839EB7C" w14:textId="512169B1" w:rsidR="00907E2A" w:rsidRDefault="00907E2A" w:rsidP="00907E2A">
      <w:pPr>
        <w:pStyle w:val="Caption"/>
      </w:pPr>
      <w:bookmarkStart w:id="5" w:name="_Ref18225739"/>
      <w:bookmarkStart w:id="6" w:name="_Toc71200535"/>
      <w:r>
        <w:t xml:space="preserve">Table </w:t>
      </w:r>
      <w:r>
        <w:fldChar w:fldCharType="begin"/>
      </w:r>
      <w:r>
        <w:instrText>SEQ Table \* ARABIC</w:instrText>
      </w:r>
      <w:r>
        <w:fldChar w:fldCharType="separate"/>
      </w:r>
      <w:r w:rsidR="003A78D2">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2B388E5C" w:rsidR="000F2885" w:rsidRDefault="000F2885" w:rsidP="00FB12BA">
            <w:pPr>
              <w:pStyle w:val="TableText0"/>
            </w:pPr>
            <w:r>
              <w:t>SD*5.3*</w:t>
            </w:r>
            <w:r w:rsidR="005B2D64">
              <w:t>785</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71200491"/>
      <w:r>
        <w:t>Constraints</w:t>
      </w:r>
      <w:bookmarkEnd w:id="7"/>
    </w:p>
    <w:p w14:paraId="531B2B12" w14:textId="764C8CF7" w:rsidR="00FF110B" w:rsidRDefault="00FF110B" w:rsidP="00CC58E1">
      <w:pPr>
        <w:pStyle w:val="BodyText"/>
      </w:pPr>
      <w:r w:rsidRPr="00FF110B">
        <w:t xml:space="preserve">VS GUI </w:t>
      </w:r>
      <w:r>
        <w:t>Release</w:t>
      </w:r>
      <w:r w:rsidR="00ED5D95">
        <w:t xml:space="preserve"> </w:t>
      </w:r>
      <w:r w:rsidR="005B63EC">
        <w:t>1.7.7.4</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w:t>
      </w:r>
      <w:proofErr w:type="spellStart"/>
      <w:r w:rsidRPr="00FF110B">
        <w:t>VistA</w:t>
      </w:r>
      <w:proofErr w:type="spellEnd"/>
      <w:r w:rsidRPr="00FF110B">
        <w:t xml:space="preserve"> instance.</w:t>
      </w:r>
      <w:r>
        <w:t xml:space="preserve"> Installers must have Administrative privileges for the appropriate location for installation.</w:t>
      </w:r>
    </w:p>
    <w:p w14:paraId="39E8A66E" w14:textId="3F94A468"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5B63EC">
        <w:t>1.7.7.4</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71200492"/>
      <w:r>
        <w:t>Roles and Responsibilities</w:t>
      </w:r>
      <w:bookmarkEnd w:id="8"/>
    </w:p>
    <w:p w14:paraId="4CE743D1" w14:textId="77B3CAE0"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3A78D2" w:rsidRPr="003A78D2">
        <w:rPr>
          <w:rStyle w:val="Cross-Reference"/>
        </w:rPr>
        <w:t>Table 2</w:t>
      </w:r>
      <w:r w:rsidR="00FC6130" w:rsidRPr="00FC6130">
        <w:rPr>
          <w:rStyle w:val="Cross-Reference"/>
        </w:rPr>
        <w:fldChar w:fldCharType="end"/>
      </w:r>
      <w:r w:rsidR="00613686">
        <w:t>.</w:t>
      </w:r>
    </w:p>
    <w:p w14:paraId="78964EEA" w14:textId="0DB72ED7" w:rsidR="00C239E6" w:rsidRDefault="00C239E6" w:rsidP="00C239E6">
      <w:pPr>
        <w:pStyle w:val="Caption"/>
      </w:pPr>
      <w:bookmarkStart w:id="9" w:name="_Ref18225765"/>
      <w:bookmarkStart w:id="10" w:name="_Toc71200536"/>
      <w:r>
        <w:t xml:space="preserve">Table </w:t>
      </w:r>
      <w:r>
        <w:fldChar w:fldCharType="begin"/>
      </w:r>
      <w:r>
        <w:instrText>SEQ Table \* ARABIC</w:instrText>
      </w:r>
      <w:r>
        <w:fldChar w:fldCharType="separate"/>
      </w:r>
      <w:r w:rsidR="003A78D2">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71200493"/>
      <w:r>
        <w:t>Deployment</w:t>
      </w:r>
      <w:bookmarkEnd w:id="11"/>
    </w:p>
    <w:p w14:paraId="265E7FB2" w14:textId="2FCD52AE" w:rsidR="005C3529" w:rsidRDefault="1BAF0039" w:rsidP="005C3529">
      <w:pPr>
        <w:pStyle w:val="BodyText"/>
      </w:pPr>
      <w:r>
        <w:t>Deployment of VS GUI Release</w:t>
      </w:r>
      <w:r w:rsidR="00415044">
        <w:t xml:space="preserve"> </w:t>
      </w:r>
      <w:r w:rsidR="005B63EC">
        <w:t>1.7.7.4</w:t>
      </w:r>
      <w:r>
        <w:t xml:space="preserve"> </w:t>
      </w:r>
      <w:r w:rsidR="00415044">
        <w:t xml:space="preserve">with </w:t>
      </w:r>
      <w:r>
        <w:t>associated patch</w:t>
      </w:r>
      <w:r w:rsidR="00206349">
        <w:t xml:space="preserve"> SD*5.3*</w:t>
      </w:r>
      <w:r w:rsidR="005B2D64">
        <w:t>785</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proofErr w:type="spellStart"/>
      <w:r w:rsidR="009A16BE" w:rsidRPr="009A16BE">
        <w:t>VistA</w:t>
      </w:r>
      <w:proofErr w:type="spellEnd"/>
      <w:r w:rsidR="009A16BE" w:rsidRPr="009A16BE">
        <w:t xml:space="preserve">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22" w:history="1">
        <w:r w:rsidR="00D30065" w:rsidRPr="00423B3D">
          <w:rPr>
            <w:rStyle w:val="Hyperlink"/>
          </w:rPr>
          <w:t>SOFTWARE</w:t>
        </w:r>
      </w:hyperlink>
      <w:r w:rsidR="00D30065">
        <w:t xml:space="preserve"> </w:t>
      </w:r>
      <w:r w:rsidR="002E1964">
        <w:t xml:space="preserve">repository for installation </w:t>
      </w:r>
      <w:r w:rsidR="00D30065" w:rsidRPr="00306CFD">
        <w:t>into the sites' VACS folder</w:t>
      </w:r>
      <w:r w:rsidR="00726423">
        <w:t xml:space="preserve">, while the associated </w:t>
      </w:r>
      <w:proofErr w:type="spellStart"/>
      <w:r w:rsidR="00726423">
        <w:t>VistA</w:t>
      </w:r>
      <w:proofErr w:type="spellEnd"/>
      <w:r w:rsidR="00726423">
        <w:t xml:space="preserve"> patch for Legacy </w:t>
      </w:r>
      <w:proofErr w:type="spellStart"/>
      <w:r w:rsidR="00726423">
        <w:t>VistA</w:t>
      </w:r>
      <w:proofErr w:type="spellEnd"/>
      <w:r w:rsidR="00726423">
        <w:t xml:space="preserve">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32EF0DB0" w:rsidR="004E5EB8" w:rsidRPr="004E5EB8" w:rsidRDefault="005C3529" w:rsidP="005C3529">
      <w:pPr>
        <w:pStyle w:val="BodyText"/>
      </w:pPr>
      <w:r>
        <w:t xml:space="preserve">The VSE schedule </w:t>
      </w:r>
      <w:r w:rsidR="00C307D9">
        <w:t>with</w:t>
      </w:r>
      <w:r>
        <w:t xml:space="preserve"> milestones for the deployment can be found on the </w:t>
      </w:r>
      <w:hyperlink r:id="rId23" w:history="1">
        <w:r w:rsidRPr="005C3529">
          <w:rPr>
            <w:rStyle w:val="Hyperlink"/>
          </w:rPr>
          <w:t>VSE PMO SharePoint site</w:t>
        </w:r>
      </w:hyperlink>
      <w:r>
        <w:t>.</w:t>
      </w:r>
      <w:r>
        <w:rPr>
          <w:rStyle w:val="FootnoteReference"/>
        </w:rPr>
        <w:footnoteReference w:id="2"/>
      </w:r>
    </w:p>
    <w:p w14:paraId="034BCDEE" w14:textId="2CA62EA8" w:rsidR="00BA2E9D" w:rsidRDefault="00653838" w:rsidP="00F30C96">
      <w:pPr>
        <w:pStyle w:val="Heading2"/>
      </w:pPr>
      <w:bookmarkStart w:id="12" w:name="_Toc71200494"/>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4A567EE4" w:rsidR="00F83CD0" w:rsidRDefault="00F83CD0" w:rsidP="00817A23">
      <w:pPr>
        <w:pStyle w:val="BodyText"/>
      </w:pPr>
      <w:r w:rsidRPr="00F83CD0">
        <w:t>The deployment and installation should be done during off hours.</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w:t>
      </w:r>
      <w:proofErr w:type="spellStart"/>
      <w:r w:rsidRPr="00F83CD0">
        <w:t>VistA</w:t>
      </w:r>
      <w:proofErr w:type="spellEnd"/>
      <w:r w:rsidRPr="00F83CD0">
        <w:t xml:space="preserve"> </w:t>
      </w:r>
      <w:r>
        <w:t>patch description for</w:t>
      </w:r>
      <w:r w:rsidRPr="00F83CD0">
        <w:t xml:space="preserve"> </w:t>
      </w:r>
      <w:r>
        <w:t>patch deployment and installation instructions.</w:t>
      </w:r>
    </w:p>
    <w:p w14:paraId="6A57056F" w14:textId="7FADBF5D"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proofErr w:type="spellStart"/>
      <w:r>
        <w:t>PreP</w:t>
      </w:r>
      <w:r w:rsidRPr="006D6958">
        <w:t>roduction</w:t>
      </w:r>
      <w:proofErr w:type="spellEnd"/>
      <w:r w:rsidRPr="006D6958">
        <w:t xml:space="preserve">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proofErr w:type="spellStart"/>
      <w:r>
        <w:t>PreP</w:t>
      </w:r>
      <w:r w:rsidRPr="006D6958">
        <w:t>roduction</w:t>
      </w:r>
      <w:proofErr w:type="spellEnd"/>
      <w:r w:rsidRPr="006D6958">
        <w:t xml:space="preserve">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71200495"/>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71200496"/>
      <w:r>
        <w:t>Deployment Topology (Targeted Architecture)</w:t>
      </w:r>
      <w:bookmarkEnd w:id="14"/>
    </w:p>
    <w:p w14:paraId="4127AD81" w14:textId="30747D87" w:rsidR="0094662F" w:rsidRDefault="0094662F" w:rsidP="0094662F">
      <w:pPr>
        <w:pStyle w:val="BodyText"/>
      </w:pPr>
      <w:r>
        <w:t>The VS</w:t>
      </w:r>
      <w:r w:rsidR="00817A23">
        <w:t xml:space="preserve"> GUI </w:t>
      </w:r>
      <w:r>
        <w:t>Release</w:t>
      </w:r>
      <w:r w:rsidR="00FE079F">
        <w:t xml:space="preserve"> </w:t>
      </w:r>
      <w:r w:rsidR="005B63EC">
        <w:t>1.7.7.4</w:t>
      </w:r>
      <w:r w:rsidR="00415044">
        <w:t xml:space="preserve"> </w:t>
      </w:r>
      <w:r w:rsidR="002A20F7">
        <w:t xml:space="preserve">package </w:t>
      </w:r>
      <w:r>
        <w:t>consist</w:t>
      </w:r>
      <w:r w:rsidR="00415044">
        <w:t>s</w:t>
      </w:r>
      <w:r>
        <w:t xml:space="preserve"> of both </w:t>
      </w:r>
      <w:proofErr w:type="spellStart"/>
      <w:r>
        <w:t>VistA</w:t>
      </w:r>
      <w:proofErr w:type="spellEnd"/>
      <w:r>
        <w:t xml:space="preserve">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1C419510"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t>
      </w:r>
      <w:proofErr w:type="gramStart"/>
      <w:r w:rsidRPr="00612347">
        <w:t>workstation</w:t>
      </w:r>
      <w:r>
        <w:t>,</w:t>
      </w:r>
      <w:r w:rsidRPr="00612347">
        <w:t xml:space="preserve"> or</w:t>
      </w:r>
      <w:proofErr w:type="gramEnd"/>
      <w:r w:rsidRPr="00612347">
        <w:t xml:space="preserve"> installed into a sites VACS folder.</w:t>
      </w:r>
      <w:r>
        <w:t xml:space="preserve"> </w:t>
      </w:r>
      <w:r w:rsidR="0094662F">
        <w:t xml:space="preserve">The distribution of access to the executable is the responsibility of OIT leadership at the </w:t>
      </w:r>
      <w:proofErr w:type="spellStart"/>
      <w:r w:rsidR="0094662F">
        <w:t>VistA</w:t>
      </w:r>
      <w:proofErr w:type="spellEnd"/>
      <w:r w:rsidR="0094662F">
        <w:t xml:space="preserve">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71200497"/>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w:t>
      </w:r>
      <w:proofErr w:type="spellStart"/>
      <w:r w:rsidRPr="00AD473E">
        <w:t>VistA</w:t>
      </w:r>
      <w:proofErr w:type="spellEnd"/>
      <w:r w:rsidRPr="00AD473E">
        <w:t xml:space="preserve">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71200498"/>
      <w:r>
        <w:t>Site Preparation</w:t>
      </w:r>
      <w:bookmarkEnd w:id="16"/>
    </w:p>
    <w:p w14:paraId="58835C67" w14:textId="2E7F920D" w:rsidR="005327D4" w:rsidRDefault="00C5177E" w:rsidP="00C5177E">
      <w:pPr>
        <w:pStyle w:val="BodyText"/>
      </w:pPr>
      <w:r>
        <w:t xml:space="preserve">The VS </w:t>
      </w:r>
      <w:r w:rsidR="00534220">
        <w:t xml:space="preserve">GUI </w:t>
      </w:r>
      <w:r>
        <w:t xml:space="preserve">Release </w:t>
      </w:r>
      <w:r w:rsidR="005B63EC">
        <w:t>1.7.7.4</w:t>
      </w:r>
      <w:r w:rsidR="001F5665">
        <w:t xml:space="preserve"> </w:t>
      </w:r>
      <w:r w:rsidR="000F672D">
        <w:t>Version Description Document (VDD)</w:t>
      </w:r>
      <w:r w:rsidR="004E345E">
        <w:t xml:space="preserve"> and SD*5.3*</w:t>
      </w:r>
      <w:r w:rsidR="005B2D64">
        <w:t>785</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71200499"/>
      <w:r>
        <w:t>Resources</w:t>
      </w:r>
      <w:bookmarkEnd w:id="17"/>
    </w:p>
    <w:p w14:paraId="20245184" w14:textId="2EEAA306"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552FDA">
        <w:t>yourIT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3D4E9958" w:rsidR="00CC02CE" w:rsidRDefault="00CC02CE" w:rsidP="00A66B17">
      <w:pPr>
        <w:pStyle w:val="BodyText"/>
      </w:pPr>
      <w:r>
        <w:t>Supporting documentation for VS GUI Release</w:t>
      </w:r>
      <w:r w:rsidR="00FE079F">
        <w:t xml:space="preserve"> </w:t>
      </w:r>
      <w:r w:rsidR="005B63EC">
        <w:t>1.7.7.4</w:t>
      </w:r>
      <w:r w:rsidR="00415044">
        <w:t xml:space="preserve"> </w:t>
      </w:r>
      <w:r w:rsidR="008B44DB">
        <w:t>is</w:t>
      </w:r>
      <w:r w:rsidR="002F53F8">
        <w:t xml:space="preserve"> available on the </w:t>
      </w:r>
      <w:r w:rsidR="007C004E" w:rsidRPr="00A10FF1">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71200500"/>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71200501"/>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71200502"/>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74E8F377" w:rsidR="002D0F53" w:rsidRDefault="00173678"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42241251" w:rsidR="00892054" w:rsidRDefault="002B37D1" w:rsidP="002B37D1">
      <w:pPr>
        <w:pStyle w:val="Caption"/>
      </w:pPr>
      <w:bookmarkStart w:id="23" w:name="_Ref18309179"/>
      <w:bookmarkStart w:id="24" w:name="_Toc71200537"/>
      <w:r>
        <w:t xml:space="preserve">Table </w:t>
      </w:r>
      <w:r>
        <w:fldChar w:fldCharType="begin"/>
      </w:r>
      <w:r>
        <w:instrText>SEQ Table \* ARABIC</w:instrText>
      </w:r>
      <w:r>
        <w:fldChar w:fldCharType="separate"/>
      </w:r>
      <w:r w:rsidR="003A78D2">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71200503"/>
      <w:r w:rsidRPr="00F30C96">
        <w:t>Deployment/Installation/Back</w:t>
      </w:r>
      <w:r>
        <w:t>o</w:t>
      </w:r>
      <w:r w:rsidRPr="00F30C96">
        <w:t>ut</w:t>
      </w:r>
      <w:r w:rsidR="00574CDF">
        <w:t>/Rollback</w:t>
      </w:r>
      <w:r w:rsidRPr="00F30C96">
        <w:t xml:space="preserve"> Checklist</w:t>
      </w:r>
      <w:bookmarkEnd w:id="26"/>
    </w:p>
    <w:p w14:paraId="5F5F3152" w14:textId="34A29B88"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3A78D2" w:rsidRPr="003A78D2">
        <w:rPr>
          <w:rStyle w:val="Cross-Reference"/>
        </w:rPr>
        <w:t>Table 4</w:t>
      </w:r>
      <w:r w:rsidRPr="004024DD">
        <w:rPr>
          <w:rStyle w:val="Cross-Reference"/>
        </w:rPr>
        <w:fldChar w:fldCharType="end"/>
      </w:r>
      <w:r>
        <w:t xml:space="preserve"> details the DIBR checklist items.</w:t>
      </w:r>
    </w:p>
    <w:p w14:paraId="53EF2F53" w14:textId="24FA6E72" w:rsidR="00CE00AB" w:rsidRDefault="00574CDF" w:rsidP="00574CDF">
      <w:pPr>
        <w:pStyle w:val="Caption"/>
      </w:pPr>
      <w:bookmarkStart w:id="27" w:name="_Ref18060345"/>
      <w:bookmarkStart w:id="28" w:name="_Toc71200538"/>
      <w:r>
        <w:t xml:space="preserve">Table </w:t>
      </w:r>
      <w:r>
        <w:fldChar w:fldCharType="begin"/>
      </w:r>
      <w:r>
        <w:instrText>SEQ Table \* ARABIC</w:instrText>
      </w:r>
      <w:r>
        <w:fldChar w:fldCharType="separate"/>
      </w:r>
      <w:r w:rsidR="003A78D2">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71200504"/>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3A981290" w:rsidR="009922C3" w:rsidRDefault="004360D1" w:rsidP="009922C3">
      <w:pPr>
        <w:pStyle w:val="Heading2"/>
      </w:pPr>
      <w:bookmarkStart w:id="31" w:name="_Toc71200505"/>
      <w:r w:rsidRPr="004360D1">
        <w:t>Pre-installation and System Requirements</w:t>
      </w:r>
      <w:bookmarkEnd w:id="31"/>
    </w:p>
    <w:p w14:paraId="08B66166" w14:textId="23402A40"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5B63EC">
        <w:t>1.7.7.4</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w:t>
      </w:r>
      <w:proofErr w:type="spellStart"/>
      <w:r>
        <w:t>VistA</w:t>
      </w:r>
      <w:proofErr w:type="spellEnd"/>
      <w:r>
        <w:t xml:space="preserve">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71200506"/>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71200507"/>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w:t>
      </w:r>
      <w:proofErr w:type="spellStart"/>
      <w:r w:rsidR="1DAFF088">
        <w:t>VistA</w:t>
      </w:r>
      <w:proofErr w:type="spellEnd"/>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71200508"/>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71200509"/>
      <w:r>
        <w:t>Installation Scripts</w:t>
      </w:r>
      <w:bookmarkEnd w:id="35"/>
    </w:p>
    <w:p w14:paraId="3A929E7F" w14:textId="72FE4F24"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5B2D64">
        <w:t>785</w:t>
      </w:r>
      <w:r w:rsidR="005327D4">
        <w:t xml:space="preserve"> Patch Description</w:t>
      </w:r>
      <w:r w:rsidR="00D4121A">
        <w:t>.</w:t>
      </w:r>
    </w:p>
    <w:p w14:paraId="1452279D" w14:textId="417E27C1" w:rsidR="00920D05" w:rsidRPr="00605B9A" w:rsidRDefault="00920D05" w:rsidP="00920D05">
      <w:pPr>
        <w:pStyle w:val="Heading2"/>
      </w:pPr>
      <w:bookmarkStart w:id="36" w:name="_Toc71200510"/>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71200511"/>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w:t>
      </w:r>
      <w:proofErr w:type="spellStart"/>
      <w:r>
        <w:t>VistA</w:t>
      </w:r>
      <w:proofErr w:type="spellEnd"/>
      <w:r>
        <w:t xml:space="preserve">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71200512"/>
      <w:r>
        <w:t>Installation Procedures</w:t>
      </w:r>
      <w:bookmarkEnd w:id="38"/>
    </w:p>
    <w:p w14:paraId="18D7822D" w14:textId="23BB36D3" w:rsidR="0047406A" w:rsidRDefault="00551784" w:rsidP="0047406A">
      <w:pPr>
        <w:pStyle w:val="BodyText"/>
      </w:pPr>
      <w:r>
        <w:t xml:space="preserve">Follow the instructions </w:t>
      </w:r>
      <w:r w:rsidR="00D468AA">
        <w:t xml:space="preserve">provided </w:t>
      </w:r>
      <w:r>
        <w:t xml:space="preserve">in the </w:t>
      </w:r>
      <w:r w:rsidR="005327D4">
        <w:t>SD*5.3*</w:t>
      </w:r>
      <w:r w:rsidR="005B2D64">
        <w:t>785</w:t>
      </w:r>
      <w:r w:rsidR="005327D4">
        <w:t xml:space="preserve"> Patch Description</w:t>
      </w:r>
      <w:r w:rsidR="00121540">
        <w:t>.</w:t>
      </w:r>
    </w:p>
    <w:p w14:paraId="2A50B708" w14:textId="2A8FFA2D" w:rsidR="0047406A" w:rsidRDefault="0047406A" w:rsidP="0047406A">
      <w:pPr>
        <w:pStyle w:val="Heading2"/>
      </w:pPr>
      <w:bookmarkStart w:id="39" w:name="_Toc71200513"/>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71200514"/>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71200515"/>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71200516"/>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 xml:space="preserve">Find </w:t>
      </w:r>
      <w:proofErr w:type="spellStart"/>
      <w:r>
        <w:t>VistA</w:t>
      </w:r>
      <w:proofErr w:type="spellEnd"/>
      <w:r>
        <w:t xml:space="preserve"> Scheduling GUI</w:t>
      </w:r>
    </w:p>
    <w:p w14:paraId="2CF9BE21" w14:textId="77777777" w:rsidR="00F900B3" w:rsidRDefault="00F900B3" w:rsidP="00E1339D">
      <w:pPr>
        <w:pStyle w:val="ListNumber"/>
      </w:pPr>
      <w:r>
        <w:t xml:space="preserve">Right-click </w:t>
      </w:r>
      <w:proofErr w:type="spellStart"/>
      <w:r>
        <w:t>VistA</w:t>
      </w:r>
      <w:proofErr w:type="spellEnd"/>
      <w:r>
        <w:t xml:space="preserve">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proofErr w:type="spellStart"/>
      <w:r w:rsidR="005630DA">
        <w:t>VistA</w:t>
      </w:r>
      <w:proofErr w:type="spellEnd"/>
      <w:r w:rsidR="005630DA">
        <w:t xml:space="preserve">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71200517"/>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71200518"/>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3C0E28C9" w:rsidR="00A4320B" w:rsidRDefault="00A4320B" w:rsidP="00A4320B">
      <w:pPr>
        <w:pStyle w:val="ListBullet"/>
      </w:pPr>
      <w:r>
        <w:t xml:space="preserve">The software functionality </w:t>
      </w:r>
      <w:r w:rsidR="00326115">
        <w:t>has been</w:t>
      </w:r>
      <w:r>
        <w:t xml:space="preserve"> validated in </w:t>
      </w:r>
      <w:proofErr w:type="spellStart"/>
      <w:r w:rsidR="00A37306">
        <w:t>P</w:t>
      </w:r>
      <w:r>
        <w:t>re</w:t>
      </w:r>
      <w:r w:rsidR="00A37306">
        <w:t>P</w:t>
      </w:r>
      <w:r>
        <w:t>roduction</w:t>
      </w:r>
      <w:proofErr w:type="spellEnd"/>
      <w:r>
        <w:t xml:space="preserve"> (Mirror/Test) environment at the IOC sites</w:t>
      </w:r>
    </w:p>
    <w:p w14:paraId="4156B9E9" w14:textId="09A076F1" w:rsidR="00A4320B" w:rsidRDefault="00A4320B" w:rsidP="00A4320B">
      <w:pPr>
        <w:pStyle w:val="ListBullet"/>
      </w:pPr>
      <w:r>
        <w:t xml:space="preserve">The software </w:t>
      </w:r>
      <w:r w:rsidR="00326115">
        <w:t>was</w:t>
      </w:r>
      <w:r>
        <w:t xml:space="preserve"> validated in the </w:t>
      </w:r>
      <w:proofErr w:type="spellStart"/>
      <w:r w:rsidR="00A37306">
        <w:t>P</w:t>
      </w:r>
      <w:r>
        <w:t>re</w:t>
      </w:r>
      <w:r w:rsidR="00A37306">
        <w:t>P</w:t>
      </w:r>
      <w:r>
        <w:t>roduction</w:t>
      </w:r>
      <w:proofErr w:type="spellEnd"/>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71200519"/>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71200520"/>
      <w:r>
        <w:t>User Acceptance Testing (UAT)</w:t>
      </w:r>
      <w:bookmarkEnd w:id="46"/>
    </w:p>
    <w:p w14:paraId="72AF5D99" w14:textId="2AD4DFCD"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proofErr w:type="spellStart"/>
      <w:r w:rsidR="00294B0A">
        <w:t>PreProduction</w:t>
      </w:r>
      <w:proofErr w:type="spellEnd"/>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71200521"/>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71200522"/>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71200523"/>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71200524"/>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proofErr w:type="spellStart"/>
      <w:r w:rsidRPr="001F3A94">
        <w:rPr>
          <w:rStyle w:val="Strong"/>
          <w:b w:val="0"/>
          <w:bCs w:val="0"/>
        </w:rPr>
        <w:t>VistA</w:t>
      </w:r>
      <w:proofErr w:type="spellEnd"/>
      <w:r w:rsidRPr="001F3A94">
        <w:rPr>
          <w:rStyle w:val="Strong"/>
          <w:b w:val="0"/>
          <w:bCs w:val="0"/>
        </w:rPr>
        <w:t xml:space="preserve"> Scheduling GUI</w:t>
      </w:r>
    </w:p>
    <w:p w14:paraId="4C781907" w14:textId="06318E35" w:rsidR="00B526BF" w:rsidRPr="001F3A94" w:rsidRDefault="00B526BF" w:rsidP="001F3A94">
      <w:pPr>
        <w:pStyle w:val="ListNumber"/>
      </w:pPr>
      <w:r w:rsidRPr="001F3A94">
        <w:t xml:space="preserve">Right-click </w:t>
      </w:r>
      <w:proofErr w:type="spellStart"/>
      <w:r w:rsidRPr="001F3A94">
        <w:rPr>
          <w:rStyle w:val="Strong"/>
          <w:b w:val="0"/>
          <w:bCs w:val="0"/>
        </w:rPr>
        <w:t>VistA</w:t>
      </w:r>
      <w:proofErr w:type="spellEnd"/>
      <w:r w:rsidRPr="001F3A94">
        <w:rPr>
          <w:rStyle w:val="Strong"/>
          <w:b w:val="0"/>
          <w:bCs w:val="0"/>
        </w:rPr>
        <w:t xml:space="preserve">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71200525"/>
      <w:r>
        <w:t>Backout Verification Procedures</w:t>
      </w:r>
      <w:bookmarkEnd w:id="51"/>
    </w:p>
    <w:p w14:paraId="7394DD0C" w14:textId="3CE692AA" w:rsidR="00201BD9" w:rsidRDefault="00201BD9" w:rsidP="00904A69">
      <w:pPr>
        <w:pStyle w:val="BodyText"/>
      </w:pPr>
      <w:r>
        <w:t xml:space="preserve">Once the update has been backed out, the icon for the </w:t>
      </w:r>
      <w:proofErr w:type="spellStart"/>
      <w:r>
        <w:t>VistA</w:t>
      </w:r>
      <w:proofErr w:type="spellEnd"/>
      <w:r>
        <w:t xml:space="preserve">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3A78D2" w:rsidRPr="003A78D2">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10840347" w:rsidR="00201BD9" w:rsidRDefault="00201BD9" w:rsidP="00201BD9">
      <w:pPr>
        <w:pStyle w:val="Caption"/>
      </w:pPr>
      <w:bookmarkStart w:id="52" w:name="_Ref18226335"/>
      <w:bookmarkStart w:id="53" w:name="_Toc71200534"/>
      <w:r>
        <w:t xml:space="preserve">Figure </w:t>
      </w:r>
      <w:r>
        <w:fldChar w:fldCharType="begin"/>
      </w:r>
      <w:r>
        <w:instrText>SEQ Figure \* ARABIC</w:instrText>
      </w:r>
      <w:r>
        <w:fldChar w:fldCharType="separate"/>
      </w:r>
      <w:r w:rsidR="003A78D2">
        <w:rPr>
          <w:noProof/>
        </w:rPr>
        <w:t>1</w:t>
      </w:r>
      <w:r>
        <w:fldChar w:fldCharType="end"/>
      </w:r>
      <w:bookmarkEnd w:id="52"/>
      <w:r>
        <w:t xml:space="preserve">:  </w:t>
      </w:r>
      <w:proofErr w:type="spellStart"/>
      <w:r>
        <w:t>VistA</w:t>
      </w:r>
      <w:proofErr w:type="spellEnd"/>
      <w:r>
        <w:t xml:space="preserve">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71200526"/>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71200527"/>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71200528"/>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71200529"/>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71200530"/>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71200531"/>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71200532"/>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w:t>
      </w:r>
      <w:proofErr w:type="spellStart"/>
      <w:r w:rsidR="00AC20E9">
        <w:t>VistA</w:t>
      </w:r>
      <w:proofErr w:type="spellEnd"/>
      <w:r w:rsidR="00AC20E9">
        <w:t xml:space="preserve">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71200533"/>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23BBF895" w:rsidR="00492089" w:rsidRDefault="00492089" w:rsidP="00492089">
      <w:pPr>
        <w:pStyle w:val="Caption"/>
      </w:pPr>
      <w:bookmarkStart w:id="62" w:name="_Ref18225643"/>
      <w:bookmarkStart w:id="63" w:name="_Toc71200539"/>
      <w:r>
        <w:t xml:space="preserve">Table </w:t>
      </w:r>
      <w:r>
        <w:fldChar w:fldCharType="begin"/>
      </w:r>
      <w:r>
        <w:instrText>SEQ Table \* ARABIC</w:instrText>
      </w:r>
      <w:r>
        <w:fldChar w:fldCharType="separate"/>
      </w:r>
      <w:r w:rsidR="003A78D2">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proofErr w:type="spellStart"/>
            <w:r>
              <w:t>VistA</w:t>
            </w:r>
            <w:proofErr w:type="spellEnd"/>
            <w:r>
              <w:t xml:space="preserve">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proofErr w:type="spellStart"/>
            <w:r w:rsidRPr="00D77554">
              <w:rPr>
                <w:rStyle w:val="Strong"/>
                <w:b w:val="0"/>
                <w:bCs w:val="0"/>
              </w:rPr>
              <w:t>VistA</w:t>
            </w:r>
            <w:proofErr w:type="spellEnd"/>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proofErr w:type="spellStart"/>
            <w:r>
              <w:t>VistA</w:t>
            </w:r>
            <w:proofErr w:type="spellEnd"/>
            <w:r>
              <w:t xml:space="preserve">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proofErr w:type="spellStart"/>
            <w:r>
              <w:t>VistA</w:t>
            </w:r>
            <w:proofErr w:type="spellEnd"/>
            <w:r>
              <w:t xml:space="preserve">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4CC9" w14:textId="77777777" w:rsidR="00173678" w:rsidRDefault="00173678" w:rsidP="00AE1DED">
      <w:pPr>
        <w:spacing w:before="0" w:after="0"/>
      </w:pPr>
      <w:r>
        <w:separator/>
      </w:r>
    </w:p>
  </w:endnote>
  <w:endnote w:type="continuationSeparator" w:id="0">
    <w:p w14:paraId="057896E9" w14:textId="77777777" w:rsidR="00173678" w:rsidRDefault="00173678" w:rsidP="00AE1DED">
      <w:pPr>
        <w:spacing w:before="0" w:after="0"/>
      </w:pPr>
      <w:r>
        <w:continuationSeparator/>
      </w:r>
    </w:p>
  </w:endnote>
  <w:endnote w:type="continuationNotice" w:id="1">
    <w:p w14:paraId="47A58C4B" w14:textId="77777777" w:rsidR="00173678" w:rsidRDefault="001736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E3C" w14:textId="77777777" w:rsidR="007C0EE7" w:rsidRDefault="007C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1041" w14:textId="77777777" w:rsidR="007C0EE7" w:rsidRDefault="007C0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EE7B" w14:textId="77777777" w:rsidR="007C0EE7" w:rsidRDefault="007C0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proofErr w:type="spellStart"/>
    <w:r w:rsidRPr="005E2DE4">
      <w:t>VistA</w:t>
    </w:r>
    <w:proofErr w:type="spellEnd"/>
    <w:r w:rsidRPr="005E2DE4">
      <w:t xml:space="preserve"> Scheduling Enhancements (VSE)</w:t>
    </w:r>
  </w:p>
  <w:p w14:paraId="2F049866" w14:textId="1DE5E239" w:rsidR="007D5C36" w:rsidRDefault="007D5C36">
    <w:pPr>
      <w:pStyle w:val="Footer"/>
    </w:pPr>
    <w:r>
      <w:t xml:space="preserve">DIBR for VS GUI Release </w:t>
    </w:r>
    <w:r w:rsidR="005B63EC">
      <w:t>1.7.7.4</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BF391C">
      <w:rPr>
        <w:noProof/>
      </w:rPr>
      <w:t>June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BFD3" w14:textId="77777777" w:rsidR="00173678" w:rsidRDefault="00173678" w:rsidP="00AE1DED">
      <w:pPr>
        <w:spacing w:before="0" w:after="0"/>
      </w:pPr>
      <w:r>
        <w:separator/>
      </w:r>
    </w:p>
  </w:footnote>
  <w:footnote w:type="continuationSeparator" w:id="0">
    <w:p w14:paraId="5D11D3A1" w14:textId="77777777" w:rsidR="00173678" w:rsidRDefault="00173678" w:rsidP="00AE1DED">
      <w:pPr>
        <w:spacing w:before="0" w:after="0"/>
      </w:pPr>
      <w:r>
        <w:continuationSeparator/>
      </w:r>
    </w:p>
  </w:footnote>
  <w:footnote w:type="continuationNotice" w:id="1">
    <w:p w14:paraId="1DFF5E77" w14:textId="77777777" w:rsidR="00173678" w:rsidRDefault="00173678">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037D7EAD" w:rsidR="007C0EE7" w:rsidRDefault="007C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11FE" w14:textId="00715C96" w:rsidR="00A734AC" w:rsidRDefault="00A73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B3B1" w14:textId="3DDDDD3F" w:rsidR="007C0EE7" w:rsidRDefault="007C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5E946541" w:rsidR="007D5C36" w:rsidRDefault="007D5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DFD645C" w:rsidR="007D5C36" w:rsidRDefault="007D5C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17F9A0A4" w:rsidR="007D5C36" w:rsidRDefault="007D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2FF7"/>
    <w:rsid w:val="001639D0"/>
    <w:rsid w:val="00171296"/>
    <w:rsid w:val="00173678"/>
    <w:rsid w:val="00180462"/>
    <w:rsid w:val="001810A9"/>
    <w:rsid w:val="00182964"/>
    <w:rsid w:val="00184BEA"/>
    <w:rsid w:val="00185729"/>
    <w:rsid w:val="0019071D"/>
    <w:rsid w:val="001935CF"/>
    <w:rsid w:val="001936DF"/>
    <w:rsid w:val="0019575C"/>
    <w:rsid w:val="00197606"/>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039"/>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6293"/>
    <w:rsid w:val="0039031E"/>
    <w:rsid w:val="00392D38"/>
    <w:rsid w:val="003938C5"/>
    <w:rsid w:val="003938CA"/>
    <w:rsid w:val="003A0133"/>
    <w:rsid w:val="003A0562"/>
    <w:rsid w:val="003A0708"/>
    <w:rsid w:val="003A26F6"/>
    <w:rsid w:val="003A3F13"/>
    <w:rsid w:val="003A4775"/>
    <w:rsid w:val="003A6ADB"/>
    <w:rsid w:val="003A7335"/>
    <w:rsid w:val="003A78D2"/>
    <w:rsid w:val="003B0D19"/>
    <w:rsid w:val="003B1AFD"/>
    <w:rsid w:val="003B35EC"/>
    <w:rsid w:val="003B7CEE"/>
    <w:rsid w:val="003C000B"/>
    <w:rsid w:val="003C1B92"/>
    <w:rsid w:val="003C269D"/>
    <w:rsid w:val="003C3872"/>
    <w:rsid w:val="003C4205"/>
    <w:rsid w:val="003C6D58"/>
    <w:rsid w:val="003D1851"/>
    <w:rsid w:val="003D4E97"/>
    <w:rsid w:val="003D5846"/>
    <w:rsid w:val="003D6224"/>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5044"/>
    <w:rsid w:val="004170A1"/>
    <w:rsid w:val="0042031C"/>
    <w:rsid w:val="00420CBE"/>
    <w:rsid w:val="0042319A"/>
    <w:rsid w:val="00423B3D"/>
    <w:rsid w:val="00432754"/>
    <w:rsid w:val="00432FD2"/>
    <w:rsid w:val="00435DB1"/>
    <w:rsid w:val="004360D1"/>
    <w:rsid w:val="00440303"/>
    <w:rsid w:val="0044177C"/>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630DA"/>
    <w:rsid w:val="00563192"/>
    <w:rsid w:val="005632C6"/>
    <w:rsid w:val="00563391"/>
    <w:rsid w:val="0056559C"/>
    <w:rsid w:val="00565680"/>
    <w:rsid w:val="00565F7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B63EC"/>
    <w:rsid w:val="005C0BB1"/>
    <w:rsid w:val="005C3133"/>
    <w:rsid w:val="005C3180"/>
    <w:rsid w:val="005C3529"/>
    <w:rsid w:val="005D4613"/>
    <w:rsid w:val="005D7520"/>
    <w:rsid w:val="005E0293"/>
    <w:rsid w:val="005E1579"/>
    <w:rsid w:val="005E1D0E"/>
    <w:rsid w:val="005E2292"/>
    <w:rsid w:val="005E2DE4"/>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14C1"/>
    <w:rsid w:val="00703DE6"/>
    <w:rsid w:val="00705344"/>
    <w:rsid w:val="0071364C"/>
    <w:rsid w:val="007142B2"/>
    <w:rsid w:val="007174D0"/>
    <w:rsid w:val="00717B26"/>
    <w:rsid w:val="00720A75"/>
    <w:rsid w:val="00722BEC"/>
    <w:rsid w:val="0072553C"/>
    <w:rsid w:val="00726423"/>
    <w:rsid w:val="007279A8"/>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0AF"/>
    <w:rsid w:val="00996342"/>
    <w:rsid w:val="009A16BE"/>
    <w:rsid w:val="009A18E3"/>
    <w:rsid w:val="009A1D9A"/>
    <w:rsid w:val="009A2577"/>
    <w:rsid w:val="009A47AC"/>
    <w:rsid w:val="009A49B3"/>
    <w:rsid w:val="009A5EED"/>
    <w:rsid w:val="009A6B90"/>
    <w:rsid w:val="009A71D9"/>
    <w:rsid w:val="009C161A"/>
    <w:rsid w:val="009C267B"/>
    <w:rsid w:val="009C7372"/>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0FF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391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92E"/>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2328"/>
    <w:rsid w:val="00CA3A46"/>
    <w:rsid w:val="00CA42F2"/>
    <w:rsid w:val="00CB02B8"/>
    <w:rsid w:val="00CB03C0"/>
    <w:rsid w:val="00CB0D14"/>
    <w:rsid w:val="00CB1284"/>
    <w:rsid w:val="00CB158C"/>
    <w:rsid w:val="00CB7C2B"/>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6BE"/>
    <w:rsid w:val="00CF57BF"/>
    <w:rsid w:val="00CF6602"/>
    <w:rsid w:val="00CF7909"/>
    <w:rsid w:val="00D0058B"/>
    <w:rsid w:val="00D03A8C"/>
    <w:rsid w:val="00D04635"/>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2C45"/>
    <w:rsid w:val="00DC46C4"/>
    <w:rsid w:val="00DC6C85"/>
    <w:rsid w:val="00DD081C"/>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3219"/>
    <w:rsid w:val="00EA4230"/>
    <w:rsid w:val="00EA4707"/>
    <w:rsid w:val="00EA4BD7"/>
    <w:rsid w:val="00EA4F6D"/>
    <w:rsid w:val="00EA5155"/>
    <w:rsid w:val="00EA6701"/>
    <w:rsid w:val="00EB1C05"/>
    <w:rsid w:val="00EB5911"/>
    <w:rsid w:val="00EB6777"/>
    <w:rsid w:val="00EB7BD5"/>
    <w:rsid w:val="00EC39A9"/>
    <w:rsid w:val="00EC5760"/>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26A4"/>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A67"/>
    <w:rsid w:val="00F835E5"/>
    <w:rsid w:val="00F839C2"/>
    <w:rsid w:val="00F83CD0"/>
    <w:rsid w:val="00F85530"/>
    <w:rsid w:val="00F87144"/>
    <w:rsid w:val="00F87573"/>
    <w:rsid w:val="00F900B3"/>
    <w:rsid w:val="00F9011E"/>
    <w:rsid w:val="00F95130"/>
    <w:rsid w:val="00F95F41"/>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DAFF088"/>
    <w:rsid w:val="1ECEDB41"/>
    <w:rsid w:val="21D08A84"/>
    <w:rsid w:val="21E44D31"/>
    <w:rsid w:val="23445FBF"/>
    <w:rsid w:val="24D13588"/>
    <w:rsid w:val="2518621E"/>
    <w:rsid w:val="2908EB93"/>
    <w:rsid w:val="2AEFFC2A"/>
    <w:rsid w:val="2DE14091"/>
    <w:rsid w:val="2E65590D"/>
    <w:rsid w:val="2F5C00B0"/>
    <w:rsid w:val="30C17470"/>
    <w:rsid w:val="34CA8F8E"/>
    <w:rsid w:val="358C6FC4"/>
    <w:rsid w:val="37C4E77B"/>
    <w:rsid w:val="3A80486A"/>
    <w:rsid w:val="3CCFDB5A"/>
    <w:rsid w:val="3D938D1F"/>
    <w:rsid w:val="3E29F315"/>
    <w:rsid w:val="40A2A2B0"/>
    <w:rsid w:val="40BA1562"/>
    <w:rsid w:val="4148E150"/>
    <w:rsid w:val="43A661A3"/>
    <w:rsid w:val="4476A166"/>
    <w:rsid w:val="4526B8D3"/>
    <w:rsid w:val="4658C55F"/>
    <w:rsid w:val="4727EBF2"/>
    <w:rsid w:val="47C7A6C9"/>
    <w:rsid w:val="48C64E27"/>
    <w:rsid w:val="4BC694EE"/>
    <w:rsid w:val="52F9B152"/>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vagov.sharepoint.com/sites/OITEPMOVSEENHANCEMENT"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wnload.vista.med.va.gov/index.html/SOFTW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4.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CLIN 0003BF VS GUI Release 1 7 7 1 DIBR</vt:lpstr>
    </vt:vector>
  </TitlesOfParts>
  <Manager/>
  <Company>Liberty ITS</Company>
  <LinksUpToDate>false</LinksUpToDate>
  <CharactersWithSpaces>24647</CharactersWithSpaces>
  <SharedDoc>false</SharedDoc>
  <HLinks>
    <vt:vector size="336" baseType="variant">
      <vt:variant>
        <vt:i4>4063347</vt:i4>
      </vt:variant>
      <vt:variant>
        <vt:i4>342</vt:i4>
      </vt:variant>
      <vt:variant>
        <vt:i4>0</vt:i4>
      </vt:variant>
      <vt:variant>
        <vt:i4>5</vt:i4>
      </vt:variant>
      <vt:variant>
        <vt:lpwstr/>
      </vt:variant>
      <vt:variant>
        <vt:lpwstr>table3</vt:lpwstr>
      </vt:variant>
      <vt:variant>
        <vt:i4>2228284</vt:i4>
      </vt:variant>
      <vt:variant>
        <vt:i4>339</vt:i4>
      </vt:variant>
      <vt:variant>
        <vt:i4>0</vt:i4>
      </vt:variant>
      <vt:variant>
        <vt:i4>5</vt:i4>
      </vt:variant>
      <vt:variant>
        <vt:lpwstr>https://www.va.gov/vdl/</vt:lpwstr>
      </vt:variant>
      <vt:variant>
        <vt:lpwstr/>
      </vt:variant>
      <vt:variant>
        <vt:i4>5242909</vt:i4>
      </vt:variant>
      <vt:variant>
        <vt:i4>336</vt:i4>
      </vt:variant>
      <vt:variant>
        <vt:i4>0</vt:i4>
      </vt:variant>
      <vt:variant>
        <vt:i4>5</vt:i4>
      </vt:variant>
      <vt:variant>
        <vt:lpwstr>https://dvagov.sharepoint.com/sites/OITEPMOVSEENHANCEMENT</vt:lpwstr>
      </vt:variant>
      <vt:variant>
        <vt:lpwstr/>
      </vt:variant>
      <vt:variant>
        <vt:i4>7077944</vt:i4>
      </vt:variant>
      <vt:variant>
        <vt:i4>333</vt:i4>
      </vt:variant>
      <vt:variant>
        <vt:i4>0</vt:i4>
      </vt:variant>
      <vt:variant>
        <vt:i4>5</vt:i4>
      </vt:variant>
      <vt:variant>
        <vt:lpwstr>https://download.vista.med.va.gov/index.html/SOFTWARE/</vt:lpwstr>
      </vt:variant>
      <vt:variant>
        <vt:lpwstr/>
      </vt:variant>
      <vt:variant>
        <vt:i4>1572917</vt:i4>
      </vt:variant>
      <vt:variant>
        <vt:i4>314</vt:i4>
      </vt:variant>
      <vt:variant>
        <vt:i4>0</vt:i4>
      </vt:variant>
      <vt:variant>
        <vt:i4>5</vt:i4>
      </vt:variant>
      <vt:variant>
        <vt:lpwstr/>
      </vt:variant>
      <vt:variant>
        <vt:lpwstr>_Toc69462656</vt:lpwstr>
      </vt:variant>
      <vt:variant>
        <vt:i4>1769525</vt:i4>
      </vt:variant>
      <vt:variant>
        <vt:i4>308</vt:i4>
      </vt:variant>
      <vt:variant>
        <vt:i4>0</vt:i4>
      </vt:variant>
      <vt:variant>
        <vt:i4>5</vt:i4>
      </vt:variant>
      <vt:variant>
        <vt:lpwstr/>
      </vt:variant>
      <vt:variant>
        <vt:lpwstr>_Toc69462655</vt:lpwstr>
      </vt:variant>
      <vt:variant>
        <vt:i4>1703989</vt:i4>
      </vt:variant>
      <vt:variant>
        <vt:i4>302</vt:i4>
      </vt:variant>
      <vt:variant>
        <vt:i4>0</vt:i4>
      </vt:variant>
      <vt:variant>
        <vt:i4>5</vt:i4>
      </vt:variant>
      <vt:variant>
        <vt:lpwstr/>
      </vt:variant>
      <vt:variant>
        <vt:lpwstr>_Toc69462654</vt:lpwstr>
      </vt:variant>
      <vt:variant>
        <vt:i4>1900597</vt:i4>
      </vt:variant>
      <vt:variant>
        <vt:i4>296</vt:i4>
      </vt:variant>
      <vt:variant>
        <vt:i4>0</vt:i4>
      </vt:variant>
      <vt:variant>
        <vt:i4>5</vt:i4>
      </vt:variant>
      <vt:variant>
        <vt:lpwstr/>
      </vt:variant>
      <vt:variant>
        <vt:lpwstr>_Toc69462653</vt:lpwstr>
      </vt:variant>
      <vt:variant>
        <vt:i4>1835061</vt:i4>
      </vt:variant>
      <vt:variant>
        <vt:i4>290</vt:i4>
      </vt:variant>
      <vt:variant>
        <vt:i4>0</vt:i4>
      </vt:variant>
      <vt:variant>
        <vt:i4>5</vt:i4>
      </vt:variant>
      <vt:variant>
        <vt:lpwstr/>
      </vt:variant>
      <vt:variant>
        <vt:lpwstr>_Toc69462652</vt:lpwstr>
      </vt:variant>
      <vt:variant>
        <vt:i4>2031669</vt:i4>
      </vt:variant>
      <vt:variant>
        <vt:i4>281</vt:i4>
      </vt:variant>
      <vt:variant>
        <vt:i4>0</vt:i4>
      </vt:variant>
      <vt:variant>
        <vt:i4>5</vt:i4>
      </vt:variant>
      <vt:variant>
        <vt:lpwstr/>
      </vt:variant>
      <vt:variant>
        <vt:lpwstr>_Toc69462651</vt:lpwstr>
      </vt:variant>
      <vt:variant>
        <vt:i4>1966133</vt:i4>
      </vt:variant>
      <vt:variant>
        <vt:i4>272</vt:i4>
      </vt:variant>
      <vt:variant>
        <vt:i4>0</vt:i4>
      </vt:variant>
      <vt:variant>
        <vt:i4>5</vt:i4>
      </vt:variant>
      <vt:variant>
        <vt:lpwstr/>
      </vt:variant>
      <vt:variant>
        <vt:lpwstr>_Toc69462650</vt:lpwstr>
      </vt:variant>
      <vt:variant>
        <vt:i4>1507380</vt:i4>
      </vt:variant>
      <vt:variant>
        <vt:i4>266</vt:i4>
      </vt:variant>
      <vt:variant>
        <vt:i4>0</vt:i4>
      </vt:variant>
      <vt:variant>
        <vt:i4>5</vt:i4>
      </vt:variant>
      <vt:variant>
        <vt:lpwstr/>
      </vt:variant>
      <vt:variant>
        <vt:lpwstr>_Toc69462649</vt:lpwstr>
      </vt:variant>
      <vt:variant>
        <vt:i4>1441844</vt:i4>
      </vt:variant>
      <vt:variant>
        <vt:i4>260</vt:i4>
      </vt:variant>
      <vt:variant>
        <vt:i4>0</vt:i4>
      </vt:variant>
      <vt:variant>
        <vt:i4>5</vt:i4>
      </vt:variant>
      <vt:variant>
        <vt:lpwstr/>
      </vt:variant>
      <vt:variant>
        <vt:lpwstr>_Toc69462648</vt:lpwstr>
      </vt:variant>
      <vt:variant>
        <vt:i4>1638452</vt:i4>
      </vt:variant>
      <vt:variant>
        <vt:i4>254</vt:i4>
      </vt:variant>
      <vt:variant>
        <vt:i4>0</vt:i4>
      </vt:variant>
      <vt:variant>
        <vt:i4>5</vt:i4>
      </vt:variant>
      <vt:variant>
        <vt:lpwstr/>
      </vt:variant>
      <vt:variant>
        <vt:lpwstr>_Toc69462647</vt:lpwstr>
      </vt:variant>
      <vt:variant>
        <vt:i4>1572916</vt:i4>
      </vt:variant>
      <vt:variant>
        <vt:i4>248</vt:i4>
      </vt:variant>
      <vt:variant>
        <vt:i4>0</vt:i4>
      </vt:variant>
      <vt:variant>
        <vt:i4>5</vt:i4>
      </vt:variant>
      <vt:variant>
        <vt:lpwstr/>
      </vt:variant>
      <vt:variant>
        <vt:lpwstr>_Toc69462646</vt:lpwstr>
      </vt:variant>
      <vt:variant>
        <vt:i4>1769524</vt:i4>
      </vt:variant>
      <vt:variant>
        <vt:i4>242</vt:i4>
      </vt:variant>
      <vt:variant>
        <vt:i4>0</vt:i4>
      </vt:variant>
      <vt:variant>
        <vt:i4>5</vt:i4>
      </vt:variant>
      <vt:variant>
        <vt:lpwstr/>
      </vt:variant>
      <vt:variant>
        <vt:lpwstr>_Toc69462645</vt:lpwstr>
      </vt:variant>
      <vt:variant>
        <vt:i4>1703988</vt:i4>
      </vt:variant>
      <vt:variant>
        <vt:i4>236</vt:i4>
      </vt:variant>
      <vt:variant>
        <vt:i4>0</vt:i4>
      </vt:variant>
      <vt:variant>
        <vt:i4>5</vt:i4>
      </vt:variant>
      <vt:variant>
        <vt:lpwstr/>
      </vt:variant>
      <vt:variant>
        <vt:lpwstr>_Toc69462644</vt:lpwstr>
      </vt:variant>
      <vt:variant>
        <vt:i4>1900596</vt:i4>
      </vt:variant>
      <vt:variant>
        <vt:i4>230</vt:i4>
      </vt:variant>
      <vt:variant>
        <vt:i4>0</vt:i4>
      </vt:variant>
      <vt:variant>
        <vt:i4>5</vt:i4>
      </vt:variant>
      <vt:variant>
        <vt:lpwstr/>
      </vt:variant>
      <vt:variant>
        <vt:lpwstr>_Toc69462643</vt:lpwstr>
      </vt:variant>
      <vt:variant>
        <vt:i4>1835060</vt:i4>
      </vt:variant>
      <vt:variant>
        <vt:i4>224</vt:i4>
      </vt:variant>
      <vt:variant>
        <vt:i4>0</vt:i4>
      </vt:variant>
      <vt:variant>
        <vt:i4>5</vt:i4>
      </vt:variant>
      <vt:variant>
        <vt:lpwstr/>
      </vt:variant>
      <vt:variant>
        <vt:lpwstr>_Toc69462642</vt:lpwstr>
      </vt:variant>
      <vt:variant>
        <vt:i4>2031668</vt:i4>
      </vt:variant>
      <vt:variant>
        <vt:i4>218</vt:i4>
      </vt:variant>
      <vt:variant>
        <vt:i4>0</vt:i4>
      </vt:variant>
      <vt:variant>
        <vt:i4>5</vt:i4>
      </vt:variant>
      <vt:variant>
        <vt:lpwstr/>
      </vt:variant>
      <vt:variant>
        <vt:lpwstr>_Toc69462641</vt:lpwstr>
      </vt:variant>
      <vt:variant>
        <vt:i4>1966132</vt:i4>
      </vt:variant>
      <vt:variant>
        <vt:i4>212</vt:i4>
      </vt:variant>
      <vt:variant>
        <vt:i4>0</vt:i4>
      </vt:variant>
      <vt:variant>
        <vt:i4>5</vt:i4>
      </vt:variant>
      <vt:variant>
        <vt:lpwstr/>
      </vt:variant>
      <vt:variant>
        <vt:lpwstr>_Toc69462640</vt:lpwstr>
      </vt:variant>
      <vt:variant>
        <vt:i4>1507379</vt:i4>
      </vt:variant>
      <vt:variant>
        <vt:i4>206</vt:i4>
      </vt:variant>
      <vt:variant>
        <vt:i4>0</vt:i4>
      </vt:variant>
      <vt:variant>
        <vt:i4>5</vt:i4>
      </vt:variant>
      <vt:variant>
        <vt:lpwstr/>
      </vt:variant>
      <vt:variant>
        <vt:lpwstr>_Toc69462639</vt:lpwstr>
      </vt:variant>
      <vt:variant>
        <vt:i4>1441843</vt:i4>
      </vt:variant>
      <vt:variant>
        <vt:i4>200</vt:i4>
      </vt:variant>
      <vt:variant>
        <vt:i4>0</vt:i4>
      </vt:variant>
      <vt:variant>
        <vt:i4>5</vt:i4>
      </vt:variant>
      <vt:variant>
        <vt:lpwstr/>
      </vt:variant>
      <vt:variant>
        <vt:lpwstr>_Toc69462638</vt:lpwstr>
      </vt:variant>
      <vt:variant>
        <vt:i4>1638451</vt:i4>
      </vt:variant>
      <vt:variant>
        <vt:i4>194</vt:i4>
      </vt:variant>
      <vt:variant>
        <vt:i4>0</vt:i4>
      </vt:variant>
      <vt:variant>
        <vt:i4>5</vt:i4>
      </vt:variant>
      <vt:variant>
        <vt:lpwstr/>
      </vt:variant>
      <vt:variant>
        <vt:lpwstr>_Toc69462637</vt:lpwstr>
      </vt:variant>
      <vt:variant>
        <vt:i4>1572915</vt:i4>
      </vt:variant>
      <vt:variant>
        <vt:i4>188</vt:i4>
      </vt:variant>
      <vt:variant>
        <vt:i4>0</vt:i4>
      </vt:variant>
      <vt:variant>
        <vt:i4>5</vt:i4>
      </vt:variant>
      <vt:variant>
        <vt:lpwstr/>
      </vt:variant>
      <vt:variant>
        <vt:lpwstr>_Toc69462636</vt:lpwstr>
      </vt:variant>
      <vt:variant>
        <vt:i4>1769523</vt:i4>
      </vt:variant>
      <vt:variant>
        <vt:i4>182</vt:i4>
      </vt:variant>
      <vt:variant>
        <vt:i4>0</vt:i4>
      </vt:variant>
      <vt:variant>
        <vt:i4>5</vt:i4>
      </vt:variant>
      <vt:variant>
        <vt:lpwstr/>
      </vt:variant>
      <vt:variant>
        <vt:lpwstr>_Toc69462635</vt:lpwstr>
      </vt:variant>
      <vt:variant>
        <vt:i4>1703987</vt:i4>
      </vt:variant>
      <vt:variant>
        <vt:i4>176</vt:i4>
      </vt:variant>
      <vt:variant>
        <vt:i4>0</vt:i4>
      </vt:variant>
      <vt:variant>
        <vt:i4>5</vt:i4>
      </vt:variant>
      <vt:variant>
        <vt:lpwstr/>
      </vt:variant>
      <vt:variant>
        <vt:lpwstr>_Toc69462634</vt:lpwstr>
      </vt:variant>
      <vt:variant>
        <vt:i4>1900595</vt:i4>
      </vt:variant>
      <vt:variant>
        <vt:i4>170</vt:i4>
      </vt:variant>
      <vt:variant>
        <vt:i4>0</vt:i4>
      </vt:variant>
      <vt:variant>
        <vt:i4>5</vt:i4>
      </vt:variant>
      <vt:variant>
        <vt:lpwstr/>
      </vt:variant>
      <vt:variant>
        <vt:lpwstr>_Toc69462633</vt:lpwstr>
      </vt:variant>
      <vt:variant>
        <vt:i4>1835059</vt:i4>
      </vt:variant>
      <vt:variant>
        <vt:i4>164</vt:i4>
      </vt:variant>
      <vt:variant>
        <vt:i4>0</vt:i4>
      </vt:variant>
      <vt:variant>
        <vt:i4>5</vt:i4>
      </vt:variant>
      <vt:variant>
        <vt:lpwstr/>
      </vt:variant>
      <vt:variant>
        <vt:lpwstr>_Toc69462632</vt:lpwstr>
      </vt:variant>
      <vt:variant>
        <vt:i4>2031667</vt:i4>
      </vt:variant>
      <vt:variant>
        <vt:i4>158</vt:i4>
      </vt:variant>
      <vt:variant>
        <vt:i4>0</vt:i4>
      </vt:variant>
      <vt:variant>
        <vt:i4>5</vt:i4>
      </vt:variant>
      <vt:variant>
        <vt:lpwstr/>
      </vt:variant>
      <vt:variant>
        <vt:lpwstr>_Toc69462631</vt:lpwstr>
      </vt:variant>
      <vt:variant>
        <vt:i4>1966131</vt:i4>
      </vt:variant>
      <vt:variant>
        <vt:i4>152</vt:i4>
      </vt:variant>
      <vt:variant>
        <vt:i4>0</vt:i4>
      </vt:variant>
      <vt:variant>
        <vt:i4>5</vt:i4>
      </vt:variant>
      <vt:variant>
        <vt:lpwstr/>
      </vt:variant>
      <vt:variant>
        <vt:lpwstr>_Toc69462630</vt:lpwstr>
      </vt:variant>
      <vt:variant>
        <vt:i4>1507378</vt:i4>
      </vt:variant>
      <vt:variant>
        <vt:i4>146</vt:i4>
      </vt:variant>
      <vt:variant>
        <vt:i4>0</vt:i4>
      </vt:variant>
      <vt:variant>
        <vt:i4>5</vt:i4>
      </vt:variant>
      <vt:variant>
        <vt:lpwstr/>
      </vt:variant>
      <vt:variant>
        <vt:lpwstr>_Toc69462629</vt:lpwstr>
      </vt:variant>
      <vt:variant>
        <vt:i4>1441842</vt:i4>
      </vt:variant>
      <vt:variant>
        <vt:i4>140</vt:i4>
      </vt:variant>
      <vt:variant>
        <vt:i4>0</vt:i4>
      </vt:variant>
      <vt:variant>
        <vt:i4>5</vt:i4>
      </vt:variant>
      <vt:variant>
        <vt:lpwstr/>
      </vt:variant>
      <vt:variant>
        <vt:lpwstr>_Toc69462628</vt:lpwstr>
      </vt:variant>
      <vt:variant>
        <vt:i4>1638450</vt:i4>
      </vt:variant>
      <vt:variant>
        <vt:i4>134</vt:i4>
      </vt:variant>
      <vt:variant>
        <vt:i4>0</vt:i4>
      </vt:variant>
      <vt:variant>
        <vt:i4>5</vt:i4>
      </vt:variant>
      <vt:variant>
        <vt:lpwstr/>
      </vt:variant>
      <vt:variant>
        <vt:lpwstr>_Toc69462627</vt:lpwstr>
      </vt:variant>
      <vt:variant>
        <vt:i4>1572914</vt:i4>
      </vt:variant>
      <vt:variant>
        <vt:i4>128</vt:i4>
      </vt:variant>
      <vt:variant>
        <vt:i4>0</vt:i4>
      </vt:variant>
      <vt:variant>
        <vt:i4>5</vt:i4>
      </vt:variant>
      <vt:variant>
        <vt:lpwstr/>
      </vt:variant>
      <vt:variant>
        <vt:lpwstr>_Toc69462626</vt:lpwstr>
      </vt:variant>
      <vt:variant>
        <vt:i4>1769522</vt:i4>
      </vt:variant>
      <vt:variant>
        <vt:i4>122</vt:i4>
      </vt:variant>
      <vt:variant>
        <vt:i4>0</vt:i4>
      </vt:variant>
      <vt:variant>
        <vt:i4>5</vt:i4>
      </vt:variant>
      <vt:variant>
        <vt:lpwstr/>
      </vt:variant>
      <vt:variant>
        <vt:lpwstr>_Toc69462625</vt:lpwstr>
      </vt:variant>
      <vt:variant>
        <vt:i4>1703986</vt:i4>
      </vt:variant>
      <vt:variant>
        <vt:i4>116</vt:i4>
      </vt:variant>
      <vt:variant>
        <vt:i4>0</vt:i4>
      </vt:variant>
      <vt:variant>
        <vt:i4>5</vt:i4>
      </vt:variant>
      <vt:variant>
        <vt:lpwstr/>
      </vt:variant>
      <vt:variant>
        <vt:lpwstr>_Toc69462624</vt:lpwstr>
      </vt:variant>
      <vt:variant>
        <vt:i4>1900594</vt:i4>
      </vt:variant>
      <vt:variant>
        <vt:i4>110</vt:i4>
      </vt:variant>
      <vt:variant>
        <vt:i4>0</vt:i4>
      </vt:variant>
      <vt:variant>
        <vt:i4>5</vt:i4>
      </vt:variant>
      <vt:variant>
        <vt:lpwstr/>
      </vt:variant>
      <vt:variant>
        <vt:lpwstr>_Toc69462623</vt:lpwstr>
      </vt:variant>
      <vt:variant>
        <vt:i4>1835058</vt:i4>
      </vt:variant>
      <vt:variant>
        <vt:i4>104</vt:i4>
      </vt:variant>
      <vt:variant>
        <vt:i4>0</vt:i4>
      </vt:variant>
      <vt:variant>
        <vt:i4>5</vt:i4>
      </vt:variant>
      <vt:variant>
        <vt:lpwstr/>
      </vt:variant>
      <vt:variant>
        <vt:lpwstr>_Toc69462622</vt:lpwstr>
      </vt:variant>
      <vt:variant>
        <vt:i4>2031666</vt:i4>
      </vt:variant>
      <vt:variant>
        <vt:i4>98</vt:i4>
      </vt:variant>
      <vt:variant>
        <vt:i4>0</vt:i4>
      </vt:variant>
      <vt:variant>
        <vt:i4>5</vt:i4>
      </vt:variant>
      <vt:variant>
        <vt:lpwstr/>
      </vt:variant>
      <vt:variant>
        <vt:lpwstr>_Toc69462621</vt:lpwstr>
      </vt:variant>
      <vt:variant>
        <vt:i4>1966130</vt:i4>
      </vt:variant>
      <vt:variant>
        <vt:i4>92</vt:i4>
      </vt:variant>
      <vt:variant>
        <vt:i4>0</vt:i4>
      </vt:variant>
      <vt:variant>
        <vt:i4>5</vt:i4>
      </vt:variant>
      <vt:variant>
        <vt:lpwstr/>
      </vt:variant>
      <vt:variant>
        <vt:lpwstr>_Toc69462620</vt:lpwstr>
      </vt:variant>
      <vt:variant>
        <vt:i4>1507377</vt:i4>
      </vt:variant>
      <vt:variant>
        <vt:i4>86</vt:i4>
      </vt:variant>
      <vt:variant>
        <vt:i4>0</vt:i4>
      </vt:variant>
      <vt:variant>
        <vt:i4>5</vt:i4>
      </vt:variant>
      <vt:variant>
        <vt:lpwstr/>
      </vt:variant>
      <vt:variant>
        <vt:lpwstr>_Toc69462619</vt:lpwstr>
      </vt:variant>
      <vt:variant>
        <vt:i4>1441841</vt:i4>
      </vt:variant>
      <vt:variant>
        <vt:i4>80</vt:i4>
      </vt:variant>
      <vt:variant>
        <vt:i4>0</vt:i4>
      </vt:variant>
      <vt:variant>
        <vt:i4>5</vt:i4>
      </vt:variant>
      <vt:variant>
        <vt:lpwstr/>
      </vt:variant>
      <vt:variant>
        <vt:lpwstr>_Toc69462618</vt:lpwstr>
      </vt:variant>
      <vt:variant>
        <vt:i4>1638449</vt:i4>
      </vt:variant>
      <vt:variant>
        <vt:i4>74</vt:i4>
      </vt:variant>
      <vt:variant>
        <vt:i4>0</vt:i4>
      </vt:variant>
      <vt:variant>
        <vt:i4>5</vt:i4>
      </vt:variant>
      <vt:variant>
        <vt:lpwstr/>
      </vt:variant>
      <vt:variant>
        <vt:lpwstr>_Toc69462617</vt:lpwstr>
      </vt:variant>
      <vt:variant>
        <vt:i4>1572913</vt:i4>
      </vt:variant>
      <vt:variant>
        <vt:i4>68</vt:i4>
      </vt:variant>
      <vt:variant>
        <vt:i4>0</vt:i4>
      </vt:variant>
      <vt:variant>
        <vt:i4>5</vt:i4>
      </vt:variant>
      <vt:variant>
        <vt:lpwstr/>
      </vt:variant>
      <vt:variant>
        <vt:lpwstr>_Toc69462616</vt:lpwstr>
      </vt:variant>
      <vt:variant>
        <vt:i4>1769521</vt:i4>
      </vt:variant>
      <vt:variant>
        <vt:i4>62</vt:i4>
      </vt:variant>
      <vt:variant>
        <vt:i4>0</vt:i4>
      </vt:variant>
      <vt:variant>
        <vt:i4>5</vt:i4>
      </vt:variant>
      <vt:variant>
        <vt:lpwstr/>
      </vt:variant>
      <vt:variant>
        <vt:lpwstr>_Toc69462615</vt:lpwstr>
      </vt:variant>
      <vt:variant>
        <vt:i4>1703985</vt:i4>
      </vt:variant>
      <vt:variant>
        <vt:i4>56</vt:i4>
      </vt:variant>
      <vt:variant>
        <vt:i4>0</vt:i4>
      </vt:variant>
      <vt:variant>
        <vt:i4>5</vt:i4>
      </vt:variant>
      <vt:variant>
        <vt:lpwstr/>
      </vt:variant>
      <vt:variant>
        <vt:lpwstr>_Toc69462614</vt:lpwstr>
      </vt:variant>
      <vt:variant>
        <vt:i4>1900593</vt:i4>
      </vt:variant>
      <vt:variant>
        <vt:i4>50</vt:i4>
      </vt:variant>
      <vt:variant>
        <vt:i4>0</vt:i4>
      </vt:variant>
      <vt:variant>
        <vt:i4>5</vt:i4>
      </vt:variant>
      <vt:variant>
        <vt:lpwstr/>
      </vt:variant>
      <vt:variant>
        <vt:lpwstr>_Toc69462613</vt:lpwstr>
      </vt:variant>
      <vt:variant>
        <vt:i4>1835057</vt:i4>
      </vt:variant>
      <vt:variant>
        <vt:i4>44</vt:i4>
      </vt:variant>
      <vt:variant>
        <vt:i4>0</vt:i4>
      </vt:variant>
      <vt:variant>
        <vt:i4>5</vt:i4>
      </vt:variant>
      <vt:variant>
        <vt:lpwstr/>
      </vt:variant>
      <vt:variant>
        <vt:lpwstr>_Toc69462612</vt:lpwstr>
      </vt:variant>
      <vt:variant>
        <vt:i4>2031665</vt:i4>
      </vt:variant>
      <vt:variant>
        <vt:i4>38</vt:i4>
      </vt:variant>
      <vt:variant>
        <vt:i4>0</vt:i4>
      </vt:variant>
      <vt:variant>
        <vt:i4>5</vt:i4>
      </vt:variant>
      <vt:variant>
        <vt:lpwstr/>
      </vt:variant>
      <vt:variant>
        <vt:lpwstr>_Toc69462611</vt:lpwstr>
      </vt:variant>
      <vt:variant>
        <vt:i4>1966129</vt:i4>
      </vt:variant>
      <vt:variant>
        <vt:i4>32</vt:i4>
      </vt:variant>
      <vt:variant>
        <vt:i4>0</vt:i4>
      </vt:variant>
      <vt:variant>
        <vt:i4>5</vt:i4>
      </vt:variant>
      <vt:variant>
        <vt:lpwstr/>
      </vt:variant>
      <vt:variant>
        <vt:lpwstr>_Toc69462610</vt:lpwstr>
      </vt:variant>
      <vt:variant>
        <vt:i4>1507376</vt:i4>
      </vt:variant>
      <vt:variant>
        <vt:i4>26</vt:i4>
      </vt:variant>
      <vt:variant>
        <vt:i4>0</vt:i4>
      </vt:variant>
      <vt:variant>
        <vt:i4>5</vt:i4>
      </vt:variant>
      <vt:variant>
        <vt:lpwstr/>
      </vt:variant>
      <vt:variant>
        <vt:lpwstr>_Toc69462609</vt:lpwstr>
      </vt:variant>
      <vt:variant>
        <vt:i4>1441840</vt:i4>
      </vt:variant>
      <vt:variant>
        <vt:i4>20</vt:i4>
      </vt:variant>
      <vt:variant>
        <vt:i4>0</vt:i4>
      </vt:variant>
      <vt:variant>
        <vt:i4>5</vt:i4>
      </vt:variant>
      <vt:variant>
        <vt:lpwstr/>
      </vt:variant>
      <vt:variant>
        <vt:lpwstr>_Toc69462608</vt:lpwstr>
      </vt:variant>
      <vt:variant>
        <vt:i4>1638448</vt:i4>
      </vt:variant>
      <vt:variant>
        <vt:i4>14</vt:i4>
      </vt:variant>
      <vt:variant>
        <vt:i4>0</vt:i4>
      </vt:variant>
      <vt:variant>
        <vt:i4>5</vt:i4>
      </vt:variant>
      <vt:variant>
        <vt:lpwstr/>
      </vt:variant>
      <vt:variant>
        <vt:lpwstr>_Toc69462607</vt:lpwstr>
      </vt:variant>
      <vt:variant>
        <vt:i4>1572912</vt:i4>
      </vt:variant>
      <vt:variant>
        <vt:i4>8</vt:i4>
      </vt:variant>
      <vt:variant>
        <vt:i4>0</vt:i4>
      </vt:variant>
      <vt:variant>
        <vt:i4>5</vt:i4>
      </vt:variant>
      <vt:variant>
        <vt:lpwstr/>
      </vt:variant>
      <vt:variant>
        <vt:lpwstr>_Toc69462606</vt:lpwstr>
      </vt:variant>
      <vt:variant>
        <vt:i4>1769520</vt:i4>
      </vt:variant>
      <vt:variant>
        <vt:i4>2</vt:i4>
      </vt:variant>
      <vt:variant>
        <vt:i4>0</vt:i4>
      </vt:variant>
      <vt:variant>
        <vt:i4>5</vt:i4>
      </vt:variant>
      <vt:variant>
        <vt:lpwstr/>
      </vt:variant>
      <vt:variant>
        <vt:lpwstr>_Toc69462605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0003BF VS GUI Release 1 7 7 1 DIBR</dc:title>
  <dc:subject>VistA Scheduling, VSE</dc:subject>
  <cp:keywords/>
  <dc:description/>
  <cp:revision>2</cp:revision>
  <cp:lastPrinted>2021-06-22T18:32:00Z</cp:lastPrinted>
  <dcterms:created xsi:type="dcterms:W3CDTF">2021-06-29T15:59:00Z</dcterms:created>
  <dcterms:modified xsi:type="dcterms:W3CDTF">2021-06-29T15:59:00Z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