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B6DB2B" w14:textId="77777777" w:rsidR="00A175A5" w:rsidRDefault="00C144A9">
      <w:pPr>
        <w:pStyle w:val="BodyText"/>
        <w:spacing w:before="65" w:line="247" w:lineRule="auto"/>
        <w:ind w:left="2714" w:right="2512" w:hanging="5"/>
        <w:jc w:val="center"/>
        <w:rPr>
          <w:rFonts w:ascii="Arial"/>
        </w:rPr>
      </w:pPr>
      <w:r>
        <w:fldChar w:fldCharType="begin"/>
      </w:r>
      <w:r>
        <w:instrText xml:space="preserve"> HYPERLINK \l "_bookmark0" </w:instrText>
      </w:r>
      <w:r>
        <w:fldChar w:fldCharType="separate"/>
      </w:r>
      <w:r>
        <w:rPr>
          <w:rFonts w:ascii="Arial"/>
        </w:rPr>
        <w:t>Department of Veterans Affairs Decentralized Hospital Computer Program</w:t>
      </w:r>
      <w:r>
        <w:rPr>
          <w:rFonts w:ascii="Arial"/>
        </w:rPr>
        <w:fldChar w:fldCharType="end"/>
      </w:r>
    </w:p>
    <w:p w14:paraId="55030146" w14:textId="77777777" w:rsidR="00A175A5" w:rsidRDefault="00A175A5">
      <w:pPr>
        <w:pStyle w:val="BodyText"/>
        <w:rPr>
          <w:rFonts w:ascii="Arial"/>
          <w:sz w:val="26"/>
        </w:rPr>
      </w:pPr>
    </w:p>
    <w:p w14:paraId="6F54AF9F" w14:textId="77777777" w:rsidR="00A175A5" w:rsidRDefault="00A175A5">
      <w:pPr>
        <w:pStyle w:val="BodyText"/>
        <w:rPr>
          <w:rFonts w:ascii="Arial"/>
          <w:sz w:val="26"/>
        </w:rPr>
      </w:pPr>
    </w:p>
    <w:p w14:paraId="1EE254C2" w14:textId="77777777" w:rsidR="00A175A5" w:rsidRDefault="00A175A5">
      <w:pPr>
        <w:pStyle w:val="BodyText"/>
        <w:rPr>
          <w:rFonts w:ascii="Arial"/>
          <w:sz w:val="26"/>
        </w:rPr>
      </w:pPr>
    </w:p>
    <w:p w14:paraId="6BDA62D3" w14:textId="77777777" w:rsidR="00A175A5" w:rsidRDefault="00A175A5">
      <w:pPr>
        <w:pStyle w:val="BodyText"/>
        <w:rPr>
          <w:rFonts w:ascii="Arial"/>
          <w:sz w:val="26"/>
        </w:rPr>
      </w:pPr>
    </w:p>
    <w:p w14:paraId="340E3C61" w14:textId="77777777" w:rsidR="00A175A5" w:rsidRDefault="00A175A5">
      <w:pPr>
        <w:pStyle w:val="BodyText"/>
        <w:rPr>
          <w:rFonts w:ascii="Arial"/>
          <w:sz w:val="26"/>
        </w:rPr>
      </w:pPr>
    </w:p>
    <w:p w14:paraId="212F154E" w14:textId="77777777" w:rsidR="00A175A5" w:rsidRDefault="00A175A5">
      <w:pPr>
        <w:pStyle w:val="BodyText"/>
        <w:rPr>
          <w:rFonts w:ascii="Arial"/>
          <w:sz w:val="26"/>
        </w:rPr>
      </w:pPr>
    </w:p>
    <w:p w14:paraId="2651106D" w14:textId="77777777" w:rsidR="00A175A5" w:rsidRDefault="00A175A5">
      <w:pPr>
        <w:pStyle w:val="BodyText"/>
        <w:rPr>
          <w:rFonts w:ascii="Arial"/>
          <w:sz w:val="26"/>
        </w:rPr>
      </w:pPr>
    </w:p>
    <w:p w14:paraId="0EEFFD31" w14:textId="77777777" w:rsidR="00A175A5" w:rsidRDefault="00A175A5">
      <w:pPr>
        <w:pStyle w:val="BodyText"/>
        <w:rPr>
          <w:rFonts w:ascii="Arial"/>
          <w:sz w:val="26"/>
        </w:rPr>
      </w:pPr>
    </w:p>
    <w:p w14:paraId="27D1013E" w14:textId="77777777" w:rsidR="00A175A5" w:rsidRDefault="00A175A5">
      <w:pPr>
        <w:pStyle w:val="BodyText"/>
        <w:rPr>
          <w:rFonts w:ascii="Arial"/>
          <w:sz w:val="26"/>
        </w:rPr>
      </w:pPr>
    </w:p>
    <w:p w14:paraId="18296318" w14:textId="77777777" w:rsidR="00A175A5" w:rsidRDefault="00A175A5">
      <w:pPr>
        <w:pStyle w:val="BodyText"/>
        <w:rPr>
          <w:rFonts w:ascii="Arial"/>
          <w:sz w:val="26"/>
        </w:rPr>
      </w:pPr>
    </w:p>
    <w:p w14:paraId="06CB52B5" w14:textId="77777777" w:rsidR="00A175A5" w:rsidRDefault="00A175A5">
      <w:pPr>
        <w:pStyle w:val="BodyText"/>
        <w:rPr>
          <w:rFonts w:ascii="Arial"/>
          <w:sz w:val="26"/>
        </w:rPr>
      </w:pPr>
    </w:p>
    <w:p w14:paraId="4130AC11" w14:textId="77777777" w:rsidR="00A175A5" w:rsidRDefault="00A175A5">
      <w:pPr>
        <w:pStyle w:val="BodyText"/>
        <w:rPr>
          <w:rFonts w:ascii="Arial"/>
          <w:sz w:val="26"/>
        </w:rPr>
      </w:pPr>
    </w:p>
    <w:p w14:paraId="0345D881" w14:textId="77777777" w:rsidR="00A175A5" w:rsidRDefault="00A175A5">
      <w:pPr>
        <w:pStyle w:val="BodyText"/>
        <w:spacing w:before="1"/>
        <w:rPr>
          <w:rFonts w:ascii="Arial"/>
          <w:sz w:val="33"/>
        </w:rPr>
      </w:pPr>
    </w:p>
    <w:p w14:paraId="298F758D" w14:textId="77777777" w:rsidR="00A175A5" w:rsidRDefault="00C144A9">
      <w:pPr>
        <w:pStyle w:val="Title"/>
        <w:spacing w:line="247" w:lineRule="auto"/>
        <w:rPr>
          <w:rFonts w:ascii="Times New Roman"/>
          <w:b w:val="0"/>
        </w:rPr>
      </w:pPr>
      <w:hyperlink w:anchor="_bookmark0" w:history="1">
        <w:r>
          <w:t>EQUIPMENT/TURN-IN REQUEST PACKAGE SECURITY GUIDE</w:t>
        </w:r>
        <w:r>
          <w:rPr>
            <w:rFonts w:ascii="Times New Roman"/>
            <w:b w:val="0"/>
          </w:rPr>
          <w:t xml:space="preserve"> </w:t>
        </w:r>
      </w:hyperlink>
    </w:p>
    <w:p w14:paraId="7F9D6DE6" w14:textId="77777777" w:rsidR="00A175A5" w:rsidRDefault="00A175A5">
      <w:pPr>
        <w:pStyle w:val="BodyText"/>
        <w:rPr>
          <w:rFonts w:ascii="Times New Roman"/>
          <w:sz w:val="54"/>
        </w:rPr>
      </w:pPr>
    </w:p>
    <w:p w14:paraId="558E12EE" w14:textId="77777777" w:rsidR="00A175A5" w:rsidRDefault="00A175A5">
      <w:pPr>
        <w:pStyle w:val="BodyText"/>
        <w:rPr>
          <w:rFonts w:ascii="Times New Roman"/>
          <w:sz w:val="54"/>
        </w:rPr>
      </w:pPr>
    </w:p>
    <w:p w14:paraId="46791066" w14:textId="77777777" w:rsidR="00A175A5" w:rsidRDefault="00A175A5">
      <w:pPr>
        <w:pStyle w:val="BodyText"/>
        <w:spacing w:before="4"/>
        <w:rPr>
          <w:rFonts w:ascii="Times New Roman"/>
          <w:sz w:val="49"/>
        </w:rPr>
      </w:pPr>
    </w:p>
    <w:p w14:paraId="2D76EE06" w14:textId="77777777" w:rsidR="00A175A5" w:rsidRDefault="00C144A9">
      <w:pPr>
        <w:spacing w:before="1"/>
        <w:ind w:left="3806" w:right="3484"/>
        <w:jc w:val="center"/>
        <w:rPr>
          <w:rFonts w:ascii="Times New Roman"/>
          <w:sz w:val="48"/>
        </w:rPr>
      </w:pPr>
      <w:hyperlink w:anchor="_bookmark0" w:history="1">
        <w:r>
          <w:rPr>
            <w:rFonts w:ascii="Arial"/>
            <w:sz w:val="48"/>
          </w:rPr>
          <w:t>Version 1.0 June 1996</w:t>
        </w:r>
        <w:r>
          <w:rPr>
            <w:rFonts w:ascii="Times New Roman"/>
            <w:sz w:val="48"/>
          </w:rPr>
          <w:t xml:space="preserve"> </w:t>
        </w:r>
      </w:hyperlink>
    </w:p>
    <w:p w14:paraId="46963545" w14:textId="77777777" w:rsidR="00A175A5" w:rsidRDefault="00A175A5">
      <w:pPr>
        <w:pStyle w:val="BodyText"/>
        <w:rPr>
          <w:rFonts w:ascii="Times New Roman"/>
          <w:sz w:val="54"/>
        </w:rPr>
      </w:pPr>
    </w:p>
    <w:p w14:paraId="0B8670C9" w14:textId="77777777" w:rsidR="00A175A5" w:rsidRDefault="00A175A5">
      <w:pPr>
        <w:pStyle w:val="BodyText"/>
        <w:rPr>
          <w:rFonts w:ascii="Times New Roman"/>
          <w:sz w:val="54"/>
        </w:rPr>
      </w:pPr>
    </w:p>
    <w:p w14:paraId="3FA184E5" w14:textId="77777777" w:rsidR="00A175A5" w:rsidRDefault="00A175A5">
      <w:pPr>
        <w:pStyle w:val="BodyText"/>
        <w:rPr>
          <w:rFonts w:ascii="Times New Roman"/>
          <w:sz w:val="54"/>
        </w:rPr>
      </w:pPr>
    </w:p>
    <w:p w14:paraId="32740FAC" w14:textId="77777777" w:rsidR="00A175A5" w:rsidRDefault="00A175A5">
      <w:pPr>
        <w:pStyle w:val="BodyText"/>
        <w:rPr>
          <w:rFonts w:ascii="Times New Roman"/>
          <w:sz w:val="54"/>
        </w:rPr>
      </w:pPr>
    </w:p>
    <w:p w14:paraId="298A0217" w14:textId="77777777" w:rsidR="00A175A5" w:rsidRDefault="00C144A9">
      <w:pPr>
        <w:pStyle w:val="BodyText"/>
        <w:spacing w:before="357" w:line="247" w:lineRule="auto"/>
        <w:ind w:left="2445" w:right="2243"/>
        <w:jc w:val="center"/>
        <w:rPr>
          <w:rFonts w:ascii="Arial"/>
        </w:rPr>
      </w:pPr>
      <w:hyperlink w:anchor="_bookmark0" w:history="1">
        <w:r>
          <w:rPr>
            <w:rFonts w:ascii="Arial"/>
          </w:rPr>
          <w:t>Information Resource Management Field Office Washington, DC</w:t>
        </w:r>
      </w:hyperlink>
    </w:p>
    <w:p w14:paraId="2E7F0692" w14:textId="77777777" w:rsidR="00A175A5" w:rsidRDefault="00A175A5">
      <w:pPr>
        <w:spacing w:line="247" w:lineRule="auto"/>
        <w:jc w:val="center"/>
        <w:rPr>
          <w:rFonts w:ascii="Arial"/>
        </w:rPr>
        <w:sectPr w:rsidR="00A175A5">
          <w:type w:val="continuous"/>
          <w:pgSz w:w="12240" w:h="15840"/>
          <w:pgMar w:top="1380" w:right="1340" w:bottom="280" w:left="1140" w:header="720" w:footer="720" w:gutter="0"/>
          <w:cols w:space="720"/>
        </w:sectPr>
      </w:pPr>
    </w:p>
    <w:p w14:paraId="5A2BDD30" w14:textId="77777777" w:rsidR="00A175A5" w:rsidRDefault="00A175A5">
      <w:pPr>
        <w:pStyle w:val="BodyText"/>
        <w:spacing w:before="4"/>
        <w:rPr>
          <w:rFonts w:ascii="Arial"/>
          <w:sz w:val="17"/>
        </w:rPr>
      </w:pPr>
    </w:p>
    <w:p w14:paraId="5FD16595" w14:textId="77777777" w:rsidR="00A175A5" w:rsidRDefault="00A175A5">
      <w:pPr>
        <w:rPr>
          <w:rFonts w:ascii="Arial"/>
          <w:sz w:val="17"/>
        </w:rPr>
        <w:sectPr w:rsidR="00A175A5">
          <w:pgSz w:w="12240" w:h="15840"/>
          <w:pgMar w:top="1500" w:right="1340" w:bottom="280" w:left="1140" w:header="720" w:footer="720" w:gutter="0"/>
          <w:cols w:space="720"/>
        </w:sectPr>
      </w:pPr>
    </w:p>
    <w:p w14:paraId="7F32FB96" w14:textId="77777777" w:rsidR="00A175A5" w:rsidRDefault="00C144A9">
      <w:pPr>
        <w:spacing w:before="73"/>
        <w:ind w:left="300"/>
        <w:rPr>
          <w:rFonts w:ascii="Arial"/>
          <w:sz w:val="36"/>
        </w:rPr>
      </w:pPr>
      <w:bookmarkStart w:id="1" w:name="Package_Security"/>
      <w:bookmarkStart w:id="2" w:name="_bookmark0"/>
      <w:bookmarkEnd w:id="1"/>
      <w:bookmarkEnd w:id="2"/>
      <w:r>
        <w:rPr>
          <w:rFonts w:ascii="Arial"/>
          <w:sz w:val="36"/>
        </w:rPr>
        <w:lastRenderedPageBreak/>
        <w:t>Package Security</w:t>
      </w:r>
    </w:p>
    <w:p w14:paraId="61EAB05D" w14:textId="77777777" w:rsidR="00A175A5" w:rsidRDefault="00C144A9">
      <w:pPr>
        <w:pStyle w:val="BodyText"/>
        <w:spacing w:before="287"/>
        <w:ind w:left="300" w:right="248"/>
      </w:pPr>
      <w:r>
        <w:t>Equipment/Turn-In Request package contains several levels of security including data file and security keys. You can find details on file security in the Data Security chapter of the User Manual. The security described there applies to the files and data s</w:t>
      </w:r>
      <w:r>
        <w:t>ent with the package.</w:t>
      </w:r>
    </w:p>
    <w:p w14:paraId="037CB7D4" w14:textId="77777777" w:rsidR="00A175A5" w:rsidRDefault="00A175A5">
      <w:pPr>
        <w:pStyle w:val="BodyText"/>
        <w:spacing w:before="9"/>
        <w:rPr>
          <w:sz w:val="23"/>
        </w:rPr>
      </w:pPr>
    </w:p>
    <w:p w14:paraId="62A503E6" w14:textId="77777777" w:rsidR="00A175A5" w:rsidRDefault="00C144A9">
      <w:pPr>
        <w:pStyle w:val="BodyText"/>
        <w:spacing w:before="1"/>
        <w:ind w:left="300" w:right="129"/>
      </w:pPr>
      <w:r>
        <w:t>When using the Equipment/Turn-In Request package, you can only use menus and options to which you have been granted access. You must have the proper keys to use certain locked options. In this package, only the requestor and concurri</w:t>
      </w:r>
      <w:r>
        <w:t>ng</w:t>
      </w:r>
      <w:bookmarkStart w:id="3" w:name="Security_Keys"/>
      <w:bookmarkEnd w:id="3"/>
      <w:r>
        <w:t xml:space="preserve"> official levels are not locked.</w:t>
      </w:r>
    </w:p>
    <w:p w14:paraId="6F937E1F" w14:textId="77777777" w:rsidR="00A175A5" w:rsidRDefault="00A175A5">
      <w:pPr>
        <w:pStyle w:val="BodyText"/>
        <w:spacing w:before="5"/>
      </w:pPr>
    </w:p>
    <w:p w14:paraId="085A56DD" w14:textId="77777777" w:rsidR="00A175A5" w:rsidRDefault="00C144A9">
      <w:pPr>
        <w:ind w:left="300"/>
        <w:rPr>
          <w:rFonts w:ascii="Times New Roman"/>
          <w:b/>
          <w:sz w:val="24"/>
        </w:rPr>
      </w:pPr>
      <w:r>
        <w:rPr>
          <w:rFonts w:ascii="Times New Roman"/>
          <w:b/>
          <w:sz w:val="24"/>
        </w:rPr>
        <w:t>Security Keys</w:t>
      </w:r>
    </w:p>
    <w:p w14:paraId="0CC30978" w14:textId="77777777" w:rsidR="00A175A5" w:rsidRDefault="00A175A5">
      <w:pPr>
        <w:pStyle w:val="BodyText"/>
        <w:rPr>
          <w:rFonts w:ascii="Times New Roman"/>
          <w:b/>
          <w:sz w:val="25"/>
        </w:rPr>
      </w:pPr>
    </w:p>
    <w:p w14:paraId="314F0860" w14:textId="77777777" w:rsidR="00A175A5" w:rsidRDefault="00C144A9">
      <w:pPr>
        <w:pStyle w:val="BodyText"/>
        <w:ind w:left="300"/>
      </w:pPr>
      <w:r>
        <w:t>Each level of user is locked with a specific security key. Assign security keys to the</w:t>
      </w:r>
    </w:p>
    <w:tbl>
      <w:tblPr>
        <w:tblW w:w="0" w:type="auto"/>
        <w:tblInd w:w="107" w:type="dxa"/>
        <w:tblLayout w:type="fixed"/>
        <w:tblCellMar>
          <w:left w:w="0" w:type="dxa"/>
          <w:right w:w="0" w:type="dxa"/>
        </w:tblCellMar>
        <w:tblLook w:val="01E0" w:firstRow="1" w:lastRow="1" w:firstColumn="1" w:lastColumn="1" w:noHBand="0" w:noVBand="0"/>
      </w:tblPr>
      <w:tblGrid>
        <w:gridCol w:w="2732"/>
        <w:gridCol w:w="6812"/>
      </w:tblGrid>
      <w:tr w:rsidR="00A175A5" w14:paraId="7C04F6E6" w14:textId="77777777">
        <w:trPr>
          <w:trHeight w:val="432"/>
        </w:trPr>
        <w:tc>
          <w:tcPr>
            <w:tcW w:w="2732" w:type="dxa"/>
          </w:tcPr>
          <w:p w14:paraId="4001252A" w14:textId="77777777" w:rsidR="00A175A5" w:rsidRDefault="00C144A9">
            <w:pPr>
              <w:pStyle w:val="TableParagraph"/>
              <w:spacing w:line="240" w:lineRule="auto"/>
              <w:ind w:left="200"/>
              <w:rPr>
                <w:sz w:val="24"/>
              </w:rPr>
            </w:pPr>
            <w:r>
              <w:rPr>
                <w:sz w:val="24"/>
              </w:rPr>
              <w:t>appropriate user level.</w:t>
            </w:r>
          </w:p>
        </w:tc>
        <w:tc>
          <w:tcPr>
            <w:tcW w:w="6812" w:type="dxa"/>
          </w:tcPr>
          <w:p w14:paraId="06FB9161" w14:textId="77777777" w:rsidR="00A175A5" w:rsidRDefault="00A175A5">
            <w:pPr>
              <w:pStyle w:val="TableParagraph"/>
              <w:spacing w:line="240" w:lineRule="auto"/>
              <w:ind w:left="0"/>
              <w:rPr>
                <w:rFonts w:ascii="Times New Roman"/>
              </w:rPr>
            </w:pPr>
          </w:p>
        </w:tc>
      </w:tr>
      <w:tr w:rsidR="00A175A5" w14:paraId="132EA79B" w14:textId="77777777">
        <w:trPr>
          <w:trHeight w:val="432"/>
        </w:trPr>
        <w:tc>
          <w:tcPr>
            <w:tcW w:w="2732" w:type="dxa"/>
          </w:tcPr>
          <w:p w14:paraId="6580CC64" w14:textId="77777777" w:rsidR="00A175A5" w:rsidRDefault="00C144A9">
            <w:pPr>
              <w:pStyle w:val="TableParagraph"/>
              <w:spacing w:before="143"/>
              <w:ind w:left="200"/>
              <w:rPr>
                <w:sz w:val="24"/>
              </w:rPr>
            </w:pPr>
            <w:r>
              <w:rPr>
                <w:sz w:val="24"/>
              </w:rPr>
              <w:t>PRCNCMR</w:t>
            </w:r>
          </w:p>
        </w:tc>
        <w:tc>
          <w:tcPr>
            <w:tcW w:w="6812" w:type="dxa"/>
          </w:tcPr>
          <w:p w14:paraId="192DF577" w14:textId="77777777" w:rsidR="00A175A5" w:rsidRDefault="00C144A9">
            <w:pPr>
              <w:pStyle w:val="TableParagraph"/>
              <w:spacing w:before="143"/>
              <w:rPr>
                <w:sz w:val="24"/>
              </w:rPr>
            </w:pPr>
            <w:r>
              <w:rPr>
                <w:sz w:val="24"/>
              </w:rPr>
              <w:t>This key is needed by each CMR Responsible</w:t>
            </w:r>
          </w:p>
        </w:tc>
      </w:tr>
      <w:tr w:rsidR="00A175A5" w14:paraId="31CB550A" w14:textId="77777777">
        <w:trPr>
          <w:trHeight w:val="287"/>
        </w:trPr>
        <w:tc>
          <w:tcPr>
            <w:tcW w:w="2732" w:type="dxa"/>
          </w:tcPr>
          <w:p w14:paraId="7FE0A2D2" w14:textId="77777777" w:rsidR="00A175A5" w:rsidRDefault="00A175A5">
            <w:pPr>
              <w:pStyle w:val="TableParagraph"/>
              <w:spacing w:line="240" w:lineRule="auto"/>
              <w:ind w:left="0"/>
              <w:rPr>
                <w:rFonts w:ascii="Times New Roman"/>
                <w:sz w:val="20"/>
              </w:rPr>
            </w:pPr>
          </w:p>
        </w:tc>
        <w:tc>
          <w:tcPr>
            <w:tcW w:w="6812" w:type="dxa"/>
          </w:tcPr>
          <w:p w14:paraId="67D3575C" w14:textId="77777777" w:rsidR="00A175A5" w:rsidRDefault="00C144A9">
            <w:pPr>
              <w:pStyle w:val="TableParagraph"/>
              <w:rPr>
                <w:sz w:val="24"/>
              </w:rPr>
            </w:pPr>
            <w:r>
              <w:rPr>
                <w:sz w:val="24"/>
              </w:rPr>
              <w:t>Official to access the CMR Official level. It may</w:t>
            </w:r>
          </w:p>
        </w:tc>
      </w:tr>
      <w:tr w:rsidR="00A175A5" w14:paraId="77A2088C" w14:textId="77777777">
        <w:trPr>
          <w:trHeight w:val="287"/>
        </w:trPr>
        <w:tc>
          <w:tcPr>
            <w:tcW w:w="2732" w:type="dxa"/>
          </w:tcPr>
          <w:p w14:paraId="608A3AB2" w14:textId="77777777" w:rsidR="00A175A5" w:rsidRDefault="00A175A5">
            <w:pPr>
              <w:pStyle w:val="TableParagraph"/>
              <w:spacing w:line="240" w:lineRule="auto"/>
              <w:ind w:left="0"/>
              <w:rPr>
                <w:rFonts w:ascii="Times New Roman"/>
                <w:sz w:val="20"/>
              </w:rPr>
            </w:pPr>
          </w:p>
        </w:tc>
        <w:tc>
          <w:tcPr>
            <w:tcW w:w="6812" w:type="dxa"/>
          </w:tcPr>
          <w:p w14:paraId="31FAA53E" w14:textId="77777777" w:rsidR="00A175A5" w:rsidRDefault="00C144A9">
            <w:pPr>
              <w:pStyle w:val="TableParagraph"/>
              <w:rPr>
                <w:sz w:val="24"/>
              </w:rPr>
            </w:pPr>
            <w:r>
              <w:rPr>
                <w:sz w:val="24"/>
              </w:rPr>
              <w:t>also be assigned the Alternate CMR Responsible</w:t>
            </w:r>
          </w:p>
        </w:tc>
      </w:tr>
      <w:tr w:rsidR="00A175A5" w14:paraId="10B89B9E" w14:textId="77777777">
        <w:trPr>
          <w:trHeight w:val="432"/>
        </w:trPr>
        <w:tc>
          <w:tcPr>
            <w:tcW w:w="2732" w:type="dxa"/>
          </w:tcPr>
          <w:p w14:paraId="1E2ED893" w14:textId="77777777" w:rsidR="00A175A5" w:rsidRDefault="00A175A5">
            <w:pPr>
              <w:pStyle w:val="TableParagraph"/>
              <w:spacing w:line="240" w:lineRule="auto"/>
              <w:ind w:left="0"/>
              <w:rPr>
                <w:rFonts w:ascii="Times New Roman"/>
              </w:rPr>
            </w:pPr>
          </w:p>
        </w:tc>
        <w:tc>
          <w:tcPr>
            <w:tcW w:w="6812" w:type="dxa"/>
          </w:tcPr>
          <w:p w14:paraId="063740AB" w14:textId="77777777" w:rsidR="00A175A5" w:rsidRDefault="00C144A9">
            <w:pPr>
              <w:pStyle w:val="TableParagraph"/>
              <w:spacing w:line="288" w:lineRule="exact"/>
              <w:rPr>
                <w:sz w:val="24"/>
              </w:rPr>
            </w:pPr>
            <w:r>
              <w:rPr>
                <w:sz w:val="24"/>
              </w:rPr>
              <w:t>Official who may act as a surrogate.</w:t>
            </w:r>
          </w:p>
        </w:tc>
      </w:tr>
      <w:tr w:rsidR="00A175A5" w14:paraId="11182B4A" w14:textId="77777777">
        <w:trPr>
          <w:trHeight w:val="431"/>
        </w:trPr>
        <w:tc>
          <w:tcPr>
            <w:tcW w:w="2732" w:type="dxa"/>
          </w:tcPr>
          <w:p w14:paraId="1536B86B" w14:textId="77777777" w:rsidR="00A175A5" w:rsidRDefault="00C144A9">
            <w:pPr>
              <w:pStyle w:val="TableParagraph"/>
              <w:spacing w:before="143"/>
              <w:ind w:left="200"/>
              <w:rPr>
                <w:sz w:val="24"/>
              </w:rPr>
            </w:pPr>
            <w:r>
              <w:rPr>
                <w:sz w:val="24"/>
              </w:rPr>
              <w:t>PRCNPPM</w:t>
            </w:r>
          </w:p>
        </w:tc>
        <w:tc>
          <w:tcPr>
            <w:tcW w:w="6812" w:type="dxa"/>
          </w:tcPr>
          <w:p w14:paraId="6F4DA74D" w14:textId="77777777" w:rsidR="00A175A5" w:rsidRDefault="00C144A9">
            <w:pPr>
              <w:pStyle w:val="TableParagraph"/>
              <w:spacing w:before="143"/>
              <w:rPr>
                <w:sz w:val="24"/>
              </w:rPr>
            </w:pPr>
            <w:r>
              <w:rPr>
                <w:sz w:val="24"/>
              </w:rPr>
              <w:t>This key is needed by the Personal Property</w:t>
            </w:r>
          </w:p>
        </w:tc>
      </w:tr>
      <w:tr w:rsidR="00A175A5" w14:paraId="40357C9B" w14:textId="77777777">
        <w:trPr>
          <w:trHeight w:val="431"/>
        </w:trPr>
        <w:tc>
          <w:tcPr>
            <w:tcW w:w="2732" w:type="dxa"/>
          </w:tcPr>
          <w:p w14:paraId="6741622A" w14:textId="77777777" w:rsidR="00A175A5" w:rsidRDefault="00A175A5">
            <w:pPr>
              <w:pStyle w:val="TableParagraph"/>
              <w:spacing w:line="240" w:lineRule="auto"/>
              <w:ind w:left="0"/>
              <w:rPr>
                <w:rFonts w:ascii="Times New Roman"/>
              </w:rPr>
            </w:pPr>
          </w:p>
        </w:tc>
        <w:tc>
          <w:tcPr>
            <w:tcW w:w="6812" w:type="dxa"/>
          </w:tcPr>
          <w:p w14:paraId="525FCC82" w14:textId="77777777" w:rsidR="00A175A5" w:rsidRDefault="00C144A9">
            <w:pPr>
              <w:pStyle w:val="TableParagraph"/>
              <w:spacing w:line="288" w:lineRule="exact"/>
              <w:rPr>
                <w:sz w:val="24"/>
              </w:rPr>
            </w:pPr>
            <w:r>
              <w:rPr>
                <w:sz w:val="24"/>
              </w:rPr>
              <w:t>Manager (PPM).</w:t>
            </w:r>
          </w:p>
        </w:tc>
      </w:tr>
      <w:tr w:rsidR="00A175A5" w14:paraId="5078F828" w14:textId="77777777">
        <w:trPr>
          <w:trHeight w:val="432"/>
        </w:trPr>
        <w:tc>
          <w:tcPr>
            <w:tcW w:w="2732" w:type="dxa"/>
          </w:tcPr>
          <w:p w14:paraId="5EFA16EE" w14:textId="77777777" w:rsidR="00A175A5" w:rsidRDefault="00C144A9">
            <w:pPr>
              <w:pStyle w:val="TableParagraph"/>
              <w:spacing w:before="143"/>
              <w:ind w:left="200"/>
              <w:rPr>
                <w:sz w:val="24"/>
              </w:rPr>
            </w:pPr>
            <w:r>
              <w:rPr>
                <w:sz w:val="24"/>
              </w:rPr>
              <w:t>PRCNRNK</w:t>
            </w:r>
          </w:p>
        </w:tc>
        <w:tc>
          <w:tcPr>
            <w:tcW w:w="6812" w:type="dxa"/>
          </w:tcPr>
          <w:p w14:paraId="3B4E9362" w14:textId="77777777" w:rsidR="00A175A5" w:rsidRDefault="00C144A9">
            <w:pPr>
              <w:pStyle w:val="TableParagraph"/>
              <w:spacing w:before="143"/>
              <w:rPr>
                <w:sz w:val="24"/>
              </w:rPr>
            </w:pPr>
            <w:r>
              <w:rPr>
                <w:sz w:val="24"/>
              </w:rPr>
              <w:t>This key is needed by whomever is designated to</w:t>
            </w:r>
          </w:p>
        </w:tc>
      </w:tr>
      <w:tr w:rsidR="00A175A5" w14:paraId="31397AB1" w14:textId="77777777">
        <w:trPr>
          <w:trHeight w:val="432"/>
        </w:trPr>
        <w:tc>
          <w:tcPr>
            <w:tcW w:w="2732" w:type="dxa"/>
          </w:tcPr>
          <w:p w14:paraId="4BD50367" w14:textId="77777777" w:rsidR="00A175A5" w:rsidRDefault="00A175A5">
            <w:pPr>
              <w:pStyle w:val="TableParagraph"/>
              <w:spacing w:line="240" w:lineRule="auto"/>
              <w:ind w:left="0"/>
              <w:rPr>
                <w:rFonts w:ascii="Times New Roman"/>
              </w:rPr>
            </w:pPr>
          </w:p>
        </w:tc>
        <w:tc>
          <w:tcPr>
            <w:tcW w:w="6812" w:type="dxa"/>
          </w:tcPr>
          <w:p w14:paraId="45F05D56" w14:textId="77777777" w:rsidR="00A175A5" w:rsidRDefault="00C144A9">
            <w:pPr>
              <w:pStyle w:val="TableParagraph"/>
              <w:spacing w:line="288" w:lineRule="exact"/>
              <w:rPr>
                <w:sz w:val="24"/>
              </w:rPr>
            </w:pPr>
            <w:r>
              <w:rPr>
                <w:sz w:val="24"/>
              </w:rPr>
              <w:t>rank requests for the Equipment Committee.</w:t>
            </w:r>
          </w:p>
        </w:tc>
      </w:tr>
      <w:tr w:rsidR="00A175A5" w14:paraId="470CA331" w14:textId="77777777">
        <w:trPr>
          <w:trHeight w:val="431"/>
        </w:trPr>
        <w:tc>
          <w:tcPr>
            <w:tcW w:w="2732" w:type="dxa"/>
          </w:tcPr>
          <w:p w14:paraId="0524B8F6" w14:textId="77777777" w:rsidR="00A175A5" w:rsidRDefault="00C144A9">
            <w:pPr>
              <w:pStyle w:val="TableParagraph"/>
              <w:spacing w:before="143"/>
              <w:ind w:left="200"/>
              <w:rPr>
                <w:sz w:val="24"/>
              </w:rPr>
            </w:pPr>
            <w:r>
              <w:rPr>
                <w:sz w:val="24"/>
              </w:rPr>
              <w:t>PRCNEN</w:t>
            </w:r>
          </w:p>
        </w:tc>
        <w:tc>
          <w:tcPr>
            <w:tcW w:w="6812" w:type="dxa"/>
          </w:tcPr>
          <w:p w14:paraId="6CD874FB" w14:textId="77777777" w:rsidR="00A175A5" w:rsidRDefault="00C144A9">
            <w:pPr>
              <w:pStyle w:val="TableParagraph"/>
              <w:spacing w:before="143"/>
              <w:rPr>
                <w:sz w:val="24"/>
              </w:rPr>
            </w:pPr>
            <w:r>
              <w:rPr>
                <w:sz w:val="24"/>
              </w:rPr>
              <w:t>This key is needed by the designated Engineering</w:t>
            </w:r>
          </w:p>
        </w:tc>
      </w:tr>
      <w:tr w:rsidR="00A175A5" w14:paraId="07F918D3" w14:textId="77777777">
        <w:trPr>
          <w:trHeight w:val="287"/>
        </w:trPr>
        <w:tc>
          <w:tcPr>
            <w:tcW w:w="2732" w:type="dxa"/>
          </w:tcPr>
          <w:p w14:paraId="4ADD58C1" w14:textId="77777777" w:rsidR="00A175A5" w:rsidRDefault="00A175A5">
            <w:pPr>
              <w:pStyle w:val="TableParagraph"/>
              <w:spacing w:line="240" w:lineRule="auto"/>
              <w:ind w:left="0"/>
              <w:rPr>
                <w:rFonts w:ascii="Times New Roman"/>
                <w:sz w:val="20"/>
              </w:rPr>
            </w:pPr>
          </w:p>
        </w:tc>
        <w:tc>
          <w:tcPr>
            <w:tcW w:w="6812" w:type="dxa"/>
          </w:tcPr>
          <w:p w14:paraId="28A2C8AB" w14:textId="77777777" w:rsidR="00A175A5" w:rsidRDefault="00C144A9">
            <w:pPr>
              <w:pStyle w:val="TableParagraph"/>
              <w:rPr>
                <w:sz w:val="24"/>
              </w:rPr>
            </w:pPr>
            <w:r>
              <w:rPr>
                <w:sz w:val="24"/>
              </w:rPr>
              <w:t>department members who may be responsible for</w:t>
            </w:r>
          </w:p>
        </w:tc>
      </w:tr>
      <w:tr w:rsidR="00A175A5" w14:paraId="13F6DCBF" w14:textId="77777777">
        <w:trPr>
          <w:trHeight w:val="431"/>
        </w:trPr>
        <w:tc>
          <w:tcPr>
            <w:tcW w:w="2732" w:type="dxa"/>
          </w:tcPr>
          <w:p w14:paraId="7A39FBD0" w14:textId="77777777" w:rsidR="00A175A5" w:rsidRDefault="00A175A5">
            <w:pPr>
              <w:pStyle w:val="TableParagraph"/>
              <w:spacing w:line="240" w:lineRule="auto"/>
              <w:ind w:left="0"/>
              <w:rPr>
                <w:rFonts w:ascii="Times New Roman"/>
              </w:rPr>
            </w:pPr>
          </w:p>
        </w:tc>
        <w:tc>
          <w:tcPr>
            <w:tcW w:w="6812" w:type="dxa"/>
          </w:tcPr>
          <w:p w14:paraId="1D7E5E5D" w14:textId="77777777" w:rsidR="00A175A5" w:rsidRDefault="00C144A9">
            <w:pPr>
              <w:pStyle w:val="TableParagraph"/>
              <w:spacing w:line="288" w:lineRule="exact"/>
              <w:rPr>
                <w:sz w:val="24"/>
              </w:rPr>
            </w:pPr>
            <w:r>
              <w:rPr>
                <w:sz w:val="24"/>
              </w:rPr>
              <w:t>examining new or turn-in requests.</w:t>
            </w:r>
          </w:p>
        </w:tc>
      </w:tr>
      <w:tr w:rsidR="00A175A5" w14:paraId="66F5F6A1" w14:textId="77777777">
        <w:trPr>
          <w:trHeight w:val="431"/>
        </w:trPr>
        <w:tc>
          <w:tcPr>
            <w:tcW w:w="2732" w:type="dxa"/>
          </w:tcPr>
          <w:p w14:paraId="007F3F64" w14:textId="77777777" w:rsidR="00A175A5" w:rsidRDefault="00C144A9">
            <w:pPr>
              <w:pStyle w:val="TableParagraph"/>
              <w:spacing w:before="143"/>
              <w:ind w:left="200"/>
              <w:rPr>
                <w:sz w:val="24"/>
              </w:rPr>
            </w:pPr>
            <w:r>
              <w:rPr>
                <w:sz w:val="24"/>
              </w:rPr>
              <w:t>PRCNEQP</w:t>
            </w:r>
          </w:p>
        </w:tc>
        <w:tc>
          <w:tcPr>
            <w:tcW w:w="6812" w:type="dxa"/>
          </w:tcPr>
          <w:p w14:paraId="2CAF950E" w14:textId="77777777" w:rsidR="00A175A5" w:rsidRDefault="00C144A9">
            <w:pPr>
              <w:pStyle w:val="TableParagraph"/>
              <w:spacing w:before="143"/>
              <w:rPr>
                <w:sz w:val="24"/>
              </w:rPr>
            </w:pPr>
            <w:r>
              <w:rPr>
                <w:sz w:val="24"/>
              </w:rPr>
              <w:t>This key is needed by whomever is designated to</w:t>
            </w:r>
          </w:p>
        </w:tc>
      </w:tr>
      <w:tr w:rsidR="00A175A5" w14:paraId="368F361A" w14:textId="77777777">
        <w:trPr>
          <w:trHeight w:val="287"/>
        </w:trPr>
        <w:tc>
          <w:tcPr>
            <w:tcW w:w="2732" w:type="dxa"/>
          </w:tcPr>
          <w:p w14:paraId="05035AD7" w14:textId="77777777" w:rsidR="00A175A5" w:rsidRDefault="00A175A5">
            <w:pPr>
              <w:pStyle w:val="TableParagraph"/>
              <w:spacing w:line="240" w:lineRule="auto"/>
              <w:ind w:left="0"/>
              <w:rPr>
                <w:rFonts w:ascii="Times New Roman"/>
                <w:sz w:val="20"/>
              </w:rPr>
            </w:pPr>
          </w:p>
        </w:tc>
        <w:tc>
          <w:tcPr>
            <w:tcW w:w="6812" w:type="dxa"/>
          </w:tcPr>
          <w:p w14:paraId="6CC0ABE4" w14:textId="77777777" w:rsidR="00A175A5" w:rsidRDefault="00C144A9">
            <w:pPr>
              <w:pStyle w:val="TableParagraph"/>
              <w:rPr>
                <w:sz w:val="24"/>
              </w:rPr>
            </w:pPr>
            <w:r>
              <w:rPr>
                <w:sz w:val="24"/>
              </w:rPr>
              <w:t>review and approve requests for the Equipment</w:t>
            </w:r>
          </w:p>
        </w:tc>
      </w:tr>
      <w:tr w:rsidR="00A175A5" w14:paraId="3E6301B6" w14:textId="77777777">
        <w:trPr>
          <w:trHeight w:val="431"/>
        </w:trPr>
        <w:tc>
          <w:tcPr>
            <w:tcW w:w="2732" w:type="dxa"/>
          </w:tcPr>
          <w:p w14:paraId="2F1B490E" w14:textId="77777777" w:rsidR="00A175A5" w:rsidRDefault="00A175A5">
            <w:pPr>
              <w:pStyle w:val="TableParagraph"/>
              <w:spacing w:line="240" w:lineRule="auto"/>
              <w:ind w:left="0"/>
              <w:rPr>
                <w:rFonts w:ascii="Times New Roman"/>
              </w:rPr>
            </w:pPr>
          </w:p>
        </w:tc>
        <w:tc>
          <w:tcPr>
            <w:tcW w:w="6812" w:type="dxa"/>
          </w:tcPr>
          <w:p w14:paraId="44CE6E1C" w14:textId="77777777" w:rsidR="00A175A5" w:rsidRDefault="00C144A9">
            <w:pPr>
              <w:pStyle w:val="TableParagraph"/>
              <w:spacing w:line="288" w:lineRule="exact"/>
              <w:rPr>
                <w:sz w:val="24"/>
              </w:rPr>
            </w:pPr>
            <w:r>
              <w:rPr>
                <w:sz w:val="24"/>
              </w:rPr>
              <w:t>Committee.</w:t>
            </w:r>
          </w:p>
        </w:tc>
      </w:tr>
      <w:tr w:rsidR="00A175A5" w14:paraId="26F65CED" w14:textId="77777777">
        <w:trPr>
          <w:trHeight w:val="432"/>
        </w:trPr>
        <w:tc>
          <w:tcPr>
            <w:tcW w:w="2732" w:type="dxa"/>
          </w:tcPr>
          <w:p w14:paraId="77457F47" w14:textId="77777777" w:rsidR="00A175A5" w:rsidRDefault="00C144A9">
            <w:pPr>
              <w:pStyle w:val="TableParagraph"/>
              <w:spacing w:before="143"/>
              <w:ind w:left="200"/>
              <w:rPr>
                <w:sz w:val="24"/>
              </w:rPr>
            </w:pPr>
            <w:r>
              <w:rPr>
                <w:sz w:val="24"/>
              </w:rPr>
              <w:t>PRCNWHSE</w:t>
            </w:r>
          </w:p>
        </w:tc>
        <w:tc>
          <w:tcPr>
            <w:tcW w:w="6812" w:type="dxa"/>
          </w:tcPr>
          <w:p w14:paraId="4030B0AB" w14:textId="77777777" w:rsidR="00A175A5" w:rsidRDefault="00C144A9">
            <w:pPr>
              <w:pStyle w:val="TableParagraph"/>
              <w:spacing w:before="143"/>
              <w:rPr>
                <w:sz w:val="24"/>
              </w:rPr>
            </w:pPr>
            <w:r>
              <w:rPr>
                <w:sz w:val="24"/>
              </w:rPr>
              <w:t>This key is needed by the official who will be</w:t>
            </w:r>
          </w:p>
        </w:tc>
      </w:tr>
      <w:tr w:rsidR="00A175A5" w14:paraId="3BA8FA20" w14:textId="77777777">
        <w:trPr>
          <w:trHeight w:val="287"/>
        </w:trPr>
        <w:tc>
          <w:tcPr>
            <w:tcW w:w="2732" w:type="dxa"/>
          </w:tcPr>
          <w:p w14:paraId="5457AA8A" w14:textId="77777777" w:rsidR="00A175A5" w:rsidRDefault="00A175A5">
            <w:pPr>
              <w:pStyle w:val="TableParagraph"/>
              <w:spacing w:line="240" w:lineRule="auto"/>
              <w:ind w:left="0"/>
              <w:rPr>
                <w:rFonts w:ascii="Times New Roman"/>
                <w:sz w:val="20"/>
              </w:rPr>
            </w:pPr>
          </w:p>
        </w:tc>
        <w:tc>
          <w:tcPr>
            <w:tcW w:w="6812" w:type="dxa"/>
          </w:tcPr>
          <w:p w14:paraId="4236640C" w14:textId="77777777" w:rsidR="00A175A5" w:rsidRDefault="00C144A9">
            <w:pPr>
              <w:pStyle w:val="TableParagraph"/>
              <w:rPr>
                <w:sz w:val="24"/>
              </w:rPr>
            </w:pPr>
            <w:r>
              <w:rPr>
                <w:sz w:val="24"/>
              </w:rPr>
              <w:t>assigning pickups to warehouse personnel for</w:t>
            </w:r>
          </w:p>
        </w:tc>
      </w:tr>
      <w:tr w:rsidR="00A175A5" w14:paraId="1CAEA665" w14:textId="77777777">
        <w:trPr>
          <w:trHeight w:val="288"/>
        </w:trPr>
        <w:tc>
          <w:tcPr>
            <w:tcW w:w="2732" w:type="dxa"/>
          </w:tcPr>
          <w:p w14:paraId="5C906854" w14:textId="77777777" w:rsidR="00A175A5" w:rsidRDefault="00A175A5">
            <w:pPr>
              <w:pStyle w:val="TableParagraph"/>
              <w:spacing w:line="240" w:lineRule="auto"/>
              <w:ind w:left="0"/>
              <w:rPr>
                <w:rFonts w:ascii="Times New Roman"/>
                <w:sz w:val="20"/>
              </w:rPr>
            </w:pPr>
          </w:p>
        </w:tc>
        <w:tc>
          <w:tcPr>
            <w:tcW w:w="6812" w:type="dxa"/>
          </w:tcPr>
          <w:p w14:paraId="2AFF3C07" w14:textId="77777777" w:rsidR="00A175A5" w:rsidRDefault="00C144A9">
            <w:pPr>
              <w:pStyle w:val="TableParagraph"/>
              <w:rPr>
                <w:sz w:val="24"/>
              </w:rPr>
            </w:pPr>
            <w:r>
              <w:rPr>
                <w:sz w:val="24"/>
              </w:rPr>
              <w:t>turn-in requests.</w:t>
            </w:r>
          </w:p>
        </w:tc>
      </w:tr>
    </w:tbl>
    <w:p w14:paraId="73323FF6" w14:textId="77777777" w:rsidR="00A175A5" w:rsidRDefault="00A175A5">
      <w:pPr>
        <w:pStyle w:val="BodyText"/>
        <w:rPr>
          <w:sz w:val="28"/>
        </w:rPr>
      </w:pPr>
    </w:p>
    <w:p w14:paraId="69CCC750" w14:textId="77777777" w:rsidR="00A175A5" w:rsidRDefault="00A175A5">
      <w:pPr>
        <w:pStyle w:val="BodyText"/>
        <w:rPr>
          <w:sz w:val="28"/>
        </w:rPr>
      </w:pPr>
    </w:p>
    <w:p w14:paraId="70072725" w14:textId="77777777" w:rsidR="00A175A5" w:rsidRDefault="00A175A5">
      <w:pPr>
        <w:pStyle w:val="BodyText"/>
        <w:rPr>
          <w:sz w:val="28"/>
        </w:rPr>
      </w:pPr>
    </w:p>
    <w:p w14:paraId="5D75A389" w14:textId="77777777" w:rsidR="00A175A5" w:rsidRDefault="00A175A5">
      <w:pPr>
        <w:pStyle w:val="BodyText"/>
        <w:rPr>
          <w:sz w:val="28"/>
        </w:rPr>
      </w:pPr>
    </w:p>
    <w:p w14:paraId="050FAA98" w14:textId="77777777" w:rsidR="00A175A5" w:rsidRDefault="00A175A5">
      <w:pPr>
        <w:pStyle w:val="BodyText"/>
        <w:rPr>
          <w:sz w:val="28"/>
        </w:rPr>
      </w:pPr>
    </w:p>
    <w:p w14:paraId="45104B4E" w14:textId="77777777" w:rsidR="00A175A5" w:rsidRDefault="00C144A9">
      <w:pPr>
        <w:tabs>
          <w:tab w:val="left" w:pos="3319"/>
          <w:tab w:val="right" w:pos="8939"/>
        </w:tabs>
        <w:spacing w:before="176"/>
        <w:ind w:left="30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8"/>
          <w:sz w:val="20"/>
        </w:rPr>
        <w:t xml:space="preserve"> </w:t>
      </w:r>
      <w:r>
        <w:rPr>
          <w:rFonts w:ascii="Times New Roman"/>
          <w:sz w:val="20"/>
        </w:rPr>
        <w:t>Version</w:t>
      </w:r>
      <w:r>
        <w:rPr>
          <w:rFonts w:ascii="Times New Roman"/>
          <w:spacing w:val="3"/>
          <w:sz w:val="20"/>
        </w:rPr>
        <w:t xml:space="preserve"> </w:t>
      </w:r>
      <w:r>
        <w:rPr>
          <w:rFonts w:ascii="Times New Roman"/>
          <w:sz w:val="20"/>
        </w:rPr>
        <w:t>1.0</w:t>
      </w:r>
      <w:r>
        <w:rPr>
          <w:rFonts w:ascii="Times New Roman"/>
          <w:sz w:val="20"/>
        </w:rPr>
        <w:tab/>
        <w:t>1</w:t>
      </w:r>
    </w:p>
    <w:p w14:paraId="1D25D11F" w14:textId="77777777" w:rsidR="00A175A5" w:rsidRDefault="00C144A9">
      <w:pPr>
        <w:spacing w:before="4"/>
        <w:ind w:left="1262" w:right="995"/>
        <w:jc w:val="center"/>
        <w:rPr>
          <w:sz w:val="20"/>
        </w:rPr>
      </w:pPr>
      <w:r>
        <w:rPr>
          <w:sz w:val="20"/>
        </w:rPr>
        <w:t>Package Security Guide</w:t>
      </w:r>
    </w:p>
    <w:p w14:paraId="4ED4474F" w14:textId="77777777" w:rsidR="00A175A5" w:rsidRDefault="00A175A5">
      <w:pPr>
        <w:jc w:val="center"/>
        <w:rPr>
          <w:sz w:val="20"/>
        </w:rPr>
        <w:sectPr w:rsidR="00A175A5">
          <w:pgSz w:w="12240" w:h="15840"/>
          <w:pgMar w:top="1360" w:right="1340" w:bottom="280" w:left="1140" w:header="720" w:footer="720" w:gutter="0"/>
          <w:cols w:space="720"/>
        </w:sectPr>
      </w:pPr>
    </w:p>
    <w:p w14:paraId="40C0929E" w14:textId="77777777" w:rsidR="00A175A5" w:rsidRDefault="00A175A5">
      <w:pPr>
        <w:pStyle w:val="BodyText"/>
        <w:spacing w:before="7"/>
        <w:rPr>
          <w:sz w:val="16"/>
        </w:rPr>
      </w:pPr>
    </w:p>
    <w:p w14:paraId="36C586F9" w14:textId="77777777" w:rsidR="00A175A5" w:rsidRDefault="00A175A5">
      <w:pPr>
        <w:rPr>
          <w:sz w:val="16"/>
        </w:rPr>
        <w:sectPr w:rsidR="00A175A5">
          <w:pgSz w:w="12240" w:h="15840"/>
          <w:pgMar w:top="1500" w:right="1340" w:bottom="280" w:left="1140" w:header="720" w:footer="720" w:gutter="0"/>
          <w:cols w:space="720"/>
        </w:sectPr>
      </w:pPr>
    </w:p>
    <w:p w14:paraId="52D7D48C" w14:textId="77777777" w:rsidR="00A175A5" w:rsidRDefault="00C144A9">
      <w:pPr>
        <w:spacing w:before="79"/>
        <w:ind w:left="300"/>
        <w:rPr>
          <w:sz w:val="20"/>
        </w:rPr>
      </w:pPr>
      <w:hyperlink w:anchor="_bookmark0" w:history="1">
        <w:r>
          <w:rPr>
            <w:sz w:val="20"/>
          </w:rPr>
          <w:t>Security Keys</w:t>
        </w:r>
      </w:hyperlink>
    </w:p>
    <w:p w14:paraId="3D01F3BF" w14:textId="77777777" w:rsidR="00A175A5" w:rsidRDefault="00A175A5">
      <w:pPr>
        <w:pStyle w:val="BodyText"/>
        <w:rPr>
          <w:sz w:val="22"/>
        </w:rPr>
      </w:pPr>
    </w:p>
    <w:p w14:paraId="0EF0CE04" w14:textId="77777777" w:rsidR="00A175A5" w:rsidRDefault="00A175A5">
      <w:pPr>
        <w:pStyle w:val="BodyText"/>
        <w:rPr>
          <w:sz w:val="22"/>
        </w:rPr>
      </w:pPr>
    </w:p>
    <w:p w14:paraId="471C2AF2" w14:textId="77777777" w:rsidR="00A175A5" w:rsidRDefault="00A175A5">
      <w:pPr>
        <w:pStyle w:val="BodyText"/>
        <w:rPr>
          <w:sz w:val="22"/>
        </w:rPr>
      </w:pPr>
    </w:p>
    <w:p w14:paraId="1EA8684C" w14:textId="77777777" w:rsidR="00A175A5" w:rsidRDefault="00A175A5">
      <w:pPr>
        <w:pStyle w:val="BodyText"/>
        <w:rPr>
          <w:sz w:val="22"/>
        </w:rPr>
      </w:pPr>
    </w:p>
    <w:p w14:paraId="3DB5F20B" w14:textId="77777777" w:rsidR="00A175A5" w:rsidRDefault="00A175A5">
      <w:pPr>
        <w:pStyle w:val="BodyText"/>
        <w:rPr>
          <w:sz w:val="22"/>
        </w:rPr>
      </w:pPr>
    </w:p>
    <w:p w14:paraId="08135FF3" w14:textId="77777777" w:rsidR="00A175A5" w:rsidRDefault="00A175A5">
      <w:pPr>
        <w:pStyle w:val="BodyText"/>
        <w:rPr>
          <w:sz w:val="22"/>
        </w:rPr>
      </w:pPr>
    </w:p>
    <w:p w14:paraId="6A54997C" w14:textId="77777777" w:rsidR="00A175A5" w:rsidRDefault="00A175A5">
      <w:pPr>
        <w:pStyle w:val="BodyText"/>
        <w:rPr>
          <w:sz w:val="22"/>
        </w:rPr>
      </w:pPr>
    </w:p>
    <w:p w14:paraId="4A910A54" w14:textId="77777777" w:rsidR="00A175A5" w:rsidRDefault="00A175A5">
      <w:pPr>
        <w:pStyle w:val="BodyText"/>
        <w:rPr>
          <w:sz w:val="22"/>
        </w:rPr>
      </w:pPr>
    </w:p>
    <w:p w14:paraId="39462204" w14:textId="77777777" w:rsidR="00A175A5" w:rsidRDefault="00A175A5">
      <w:pPr>
        <w:pStyle w:val="BodyText"/>
        <w:rPr>
          <w:sz w:val="22"/>
        </w:rPr>
      </w:pPr>
    </w:p>
    <w:p w14:paraId="5293C3B3" w14:textId="77777777" w:rsidR="00A175A5" w:rsidRDefault="00A175A5">
      <w:pPr>
        <w:pStyle w:val="BodyText"/>
        <w:rPr>
          <w:sz w:val="22"/>
        </w:rPr>
      </w:pPr>
    </w:p>
    <w:p w14:paraId="09C7987A" w14:textId="77777777" w:rsidR="00A175A5" w:rsidRDefault="00A175A5">
      <w:pPr>
        <w:pStyle w:val="BodyText"/>
        <w:rPr>
          <w:sz w:val="22"/>
        </w:rPr>
      </w:pPr>
    </w:p>
    <w:p w14:paraId="493129C1" w14:textId="77777777" w:rsidR="00A175A5" w:rsidRDefault="00A175A5">
      <w:pPr>
        <w:pStyle w:val="BodyText"/>
        <w:rPr>
          <w:sz w:val="22"/>
        </w:rPr>
      </w:pPr>
    </w:p>
    <w:p w14:paraId="7E1BBC1B" w14:textId="77777777" w:rsidR="00A175A5" w:rsidRDefault="00A175A5">
      <w:pPr>
        <w:pStyle w:val="BodyText"/>
        <w:rPr>
          <w:sz w:val="22"/>
        </w:rPr>
      </w:pPr>
    </w:p>
    <w:p w14:paraId="090C66B3" w14:textId="77777777" w:rsidR="00A175A5" w:rsidRDefault="00A175A5">
      <w:pPr>
        <w:pStyle w:val="BodyText"/>
        <w:rPr>
          <w:sz w:val="22"/>
        </w:rPr>
      </w:pPr>
    </w:p>
    <w:p w14:paraId="3BCCA37D" w14:textId="77777777" w:rsidR="00A175A5" w:rsidRDefault="00A175A5">
      <w:pPr>
        <w:pStyle w:val="BodyText"/>
        <w:rPr>
          <w:sz w:val="22"/>
        </w:rPr>
      </w:pPr>
    </w:p>
    <w:p w14:paraId="34A8D0AC" w14:textId="77777777" w:rsidR="00A175A5" w:rsidRDefault="00A175A5">
      <w:pPr>
        <w:pStyle w:val="BodyText"/>
        <w:rPr>
          <w:sz w:val="22"/>
        </w:rPr>
      </w:pPr>
    </w:p>
    <w:p w14:paraId="4B5A1D4B" w14:textId="77777777" w:rsidR="00A175A5" w:rsidRDefault="00A175A5">
      <w:pPr>
        <w:pStyle w:val="BodyText"/>
        <w:rPr>
          <w:sz w:val="22"/>
        </w:rPr>
      </w:pPr>
    </w:p>
    <w:p w14:paraId="5B2292AC" w14:textId="77777777" w:rsidR="00A175A5" w:rsidRDefault="00A175A5">
      <w:pPr>
        <w:pStyle w:val="BodyText"/>
        <w:rPr>
          <w:sz w:val="22"/>
        </w:rPr>
      </w:pPr>
    </w:p>
    <w:p w14:paraId="5861B4D0" w14:textId="77777777" w:rsidR="00A175A5" w:rsidRDefault="00A175A5">
      <w:pPr>
        <w:pStyle w:val="BodyText"/>
        <w:rPr>
          <w:sz w:val="22"/>
        </w:rPr>
      </w:pPr>
    </w:p>
    <w:p w14:paraId="376271B8" w14:textId="77777777" w:rsidR="00A175A5" w:rsidRDefault="00A175A5">
      <w:pPr>
        <w:pStyle w:val="BodyText"/>
        <w:rPr>
          <w:sz w:val="22"/>
        </w:rPr>
      </w:pPr>
    </w:p>
    <w:p w14:paraId="56B177BC" w14:textId="77777777" w:rsidR="00A175A5" w:rsidRDefault="00A175A5">
      <w:pPr>
        <w:pStyle w:val="BodyText"/>
        <w:rPr>
          <w:sz w:val="22"/>
        </w:rPr>
      </w:pPr>
    </w:p>
    <w:p w14:paraId="714B439B" w14:textId="77777777" w:rsidR="00A175A5" w:rsidRDefault="00A175A5">
      <w:pPr>
        <w:pStyle w:val="BodyText"/>
        <w:rPr>
          <w:sz w:val="22"/>
        </w:rPr>
      </w:pPr>
    </w:p>
    <w:p w14:paraId="6F6D891E" w14:textId="77777777" w:rsidR="00A175A5" w:rsidRDefault="00A175A5">
      <w:pPr>
        <w:pStyle w:val="BodyText"/>
        <w:rPr>
          <w:sz w:val="22"/>
        </w:rPr>
      </w:pPr>
    </w:p>
    <w:p w14:paraId="58322ED2" w14:textId="77777777" w:rsidR="00A175A5" w:rsidRDefault="00A175A5">
      <w:pPr>
        <w:pStyle w:val="BodyText"/>
        <w:rPr>
          <w:sz w:val="22"/>
        </w:rPr>
      </w:pPr>
    </w:p>
    <w:p w14:paraId="183B0FEC" w14:textId="77777777" w:rsidR="00A175A5" w:rsidRDefault="00A175A5">
      <w:pPr>
        <w:pStyle w:val="BodyText"/>
        <w:rPr>
          <w:sz w:val="22"/>
        </w:rPr>
      </w:pPr>
    </w:p>
    <w:p w14:paraId="2CDE9E36" w14:textId="77777777" w:rsidR="00A175A5" w:rsidRDefault="00A175A5">
      <w:pPr>
        <w:pStyle w:val="BodyText"/>
        <w:rPr>
          <w:sz w:val="22"/>
        </w:rPr>
      </w:pPr>
    </w:p>
    <w:p w14:paraId="73685069" w14:textId="77777777" w:rsidR="00A175A5" w:rsidRDefault="00A175A5">
      <w:pPr>
        <w:pStyle w:val="BodyText"/>
        <w:rPr>
          <w:sz w:val="22"/>
        </w:rPr>
      </w:pPr>
    </w:p>
    <w:p w14:paraId="03E1C156" w14:textId="77777777" w:rsidR="00A175A5" w:rsidRDefault="00A175A5">
      <w:pPr>
        <w:pStyle w:val="BodyText"/>
        <w:rPr>
          <w:sz w:val="22"/>
        </w:rPr>
      </w:pPr>
    </w:p>
    <w:p w14:paraId="06C2B705" w14:textId="77777777" w:rsidR="00A175A5" w:rsidRDefault="00A175A5">
      <w:pPr>
        <w:pStyle w:val="BodyText"/>
        <w:rPr>
          <w:sz w:val="22"/>
        </w:rPr>
      </w:pPr>
    </w:p>
    <w:p w14:paraId="76F3E5D2" w14:textId="77777777" w:rsidR="00A175A5" w:rsidRDefault="00A175A5">
      <w:pPr>
        <w:pStyle w:val="BodyText"/>
        <w:rPr>
          <w:sz w:val="22"/>
        </w:rPr>
      </w:pPr>
    </w:p>
    <w:p w14:paraId="05C4B389" w14:textId="77777777" w:rsidR="00A175A5" w:rsidRDefault="00A175A5">
      <w:pPr>
        <w:pStyle w:val="BodyText"/>
        <w:rPr>
          <w:sz w:val="22"/>
        </w:rPr>
      </w:pPr>
    </w:p>
    <w:p w14:paraId="66284730" w14:textId="77777777" w:rsidR="00A175A5" w:rsidRDefault="00A175A5">
      <w:pPr>
        <w:pStyle w:val="BodyText"/>
        <w:rPr>
          <w:sz w:val="22"/>
        </w:rPr>
      </w:pPr>
    </w:p>
    <w:p w14:paraId="323FF406" w14:textId="77777777" w:rsidR="00A175A5" w:rsidRDefault="00A175A5">
      <w:pPr>
        <w:pStyle w:val="BodyText"/>
        <w:rPr>
          <w:sz w:val="22"/>
        </w:rPr>
      </w:pPr>
    </w:p>
    <w:p w14:paraId="5A81601F" w14:textId="77777777" w:rsidR="00A175A5" w:rsidRDefault="00A175A5">
      <w:pPr>
        <w:pStyle w:val="BodyText"/>
        <w:rPr>
          <w:sz w:val="22"/>
        </w:rPr>
      </w:pPr>
    </w:p>
    <w:p w14:paraId="30516C37" w14:textId="77777777" w:rsidR="00A175A5" w:rsidRDefault="00A175A5">
      <w:pPr>
        <w:pStyle w:val="BodyText"/>
        <w:rPr>
          <w:sz w:val="22"/>
        </w:rPr>
      </w:pPr>
    </w:p>
    <w:p w14:paraId="3EB1437C" w14:textId="77777777" w:rsidR="00A175A5" w:rsidRDefault="00A175A5">
      <w:pPr>
        <w:pStyle w:val="BodyText"/>
        <w:rPr>
          <w:sz w:val="22"/>
        </w:rPr>
      </w:pPr>
    </w:p>
    <w:p w14:paraId="3176CD28" w14:textId="77777777" w:rsidR="00A175A5" w:rsidRDefault="00A175A5">
      <w:pPr>
        <w:pStyle w:val="BodyText"/>
        <w:rPr>
          <w:sz w:val="22"/>
        </w:rPr>
      </w:pPr>
    </w:p>
    <w:p w14:paraId="35A93A98" w14:textId="77777777" w:rsidR="00A175A5" w:rsidRDefault="00A175A5">
      <w:pPr>
        <w:pStyle w:val="BodyText"/>
        <w:rPr>
          <w:sz w:val="22"/>
        </w:rPr>
      </w:pPr>
    </w:p>
    <w:p w14:paraId="3839A280" w14:textId="77777777" w:rsidR="00A175A5" w:rsidRDefault="00A175A5">
      <w:pPr>
        <w:pStyle w:val="BodyText"/>
        <w:rPr>
          <w:sz w:val="22"/>
        </w:rPr>
      </w:pPr>
    </w:p>
    <w:p w14:paraId="161BD4B4" w14:textId="77777777" w:rsidR="00A175A5" w:rsidRDefault="00A175A5">
      <w:pPr>
        <w:pStyle w:val="BodyText"/>
        <w:rPr>
          <w:sz w:val="22"/>
        </w:rPr>
      </w:pPr>
    </w:p>
    <w:p w14:paraId="44BBCCD1" w14:textId="77777777" w:rsidR="00A175A5" w:rsidRDefault="00A175A5">
      <w:pPr>
        <w:pStyle w:val="BodyText"/>
        <w:rPr>
          <w:sz w:val="22"/>
        </w:rPr>
      </w:pPr>
    </w:p>
    <w:p w14:paraId="73AD3614" w14:textId="77777777" w:rsidR="00A175A5" w:rsidRDefault="00A175A5">
      <w:pPr>
        <w:pStyle w:val="BodyText"/>
        <w:rPr>
          <w:sz w:val="22"/>
        </w:rPr>
      </w:pPr>
    </w:p>
    <w:p w14:paraId="57009A65" w14:textId="77777777" w:rsidR="00A175A5" w:rsidRDefault="00A175A5">
      <w:pPr>
        <w:pStyle w:val="BodyText"/>
        <w:rPr>
          <w:sz w:val="22"/>
        </w:rPr>
      </w:pPr>
    </w:p>
    <w:p w14:paraId="4D2FFBB8" w14:textId="77777777" w:rsidR="00A175A5" w:rsidRDefault="00A175A5">
      <w:pPr>
        <w:pStyle w:val="BodyText"/>
        <w:rPr>
          <w:sz w:val="22"/>
        </w:rPr>
      </w:pPr>
    </w:p>
    <w:p w14:paraId="44D89251" w14:textId="77777777" w:rsidR="00A175A5" w:rsidRDefault="00A175A5">
      <w:pPr>
        <w:pStyle w:val="BodyText"/>
        <w:rPr>
          <w:sz w:val="22"/>
        </w:rPr>
      </w:pPr>
    </w:p>
    <w:p w14:paraId="43720A69" w14:textId="77777777" w:rsidR="00A175A5" w:rsidRDefault="00A175A5">
      <w:pPr>
        <w:pStyle w:val="BodyText"/>
        <w:rPr>
          <w:sz w:val="22"/>
        </w:rPr>
      </w:pPr>
    </w:p>
    <w:p w14:paraId="090647F2" w14:textId="77777777" w:rsidR="00A175A5" w:rsidRDefault="00A175A5">
      <w:pPr>
        <w:pStyle w:val="BodyText"/>
        <w:rPr>
          <w:sz w:val="22"/>
        </w:rPr>
      </w:pPr>
    </w:p>
    <w:p w14:paraId="5102D4AC" w14:textId="77777777" w:rsidR="00A175A5" w:rsidRDefault="00A175A5">
      <w:pPr>
        <w:pStyle w:val="BodyText"/>
        <w:rPr>
          <w:sz w:val="22"/>
        </w:rPr>
      </w:pPr>
    </w:p>
    <w:p w14:paraId="74A5A871" w14:textId="77777777" w:rsidR="00A175A5" w:rsidRDefault="00A175A5">
      <w:pPr>
        <w:pStyle w:val="BodyText"/>
        <w:rPr>
          <w:sz w:val="22"/>
        </w:rPr>
      </w:pPr>
    </w:p>
    <w:p w14:paraId="123BEEB7" w14:textId="77777777" w:rsidR="00A175A5" w:rsidRDefault="00A175A5">
      <w:pPr>
        <w:pStyle w:val="BodyText"/>
        <w:rPr>
          <w:sz w:val="22"/>
        </w:rPr>
      </w:pPr>
    </w:p>
    <w:p w14:paraId="2041991B" w14:textId="77777777" w:rsidR="00A175A5" w:rsidRDefault="00A175A5">
      <w:pPr>
        <w:pStyle w:val="BodyText"/>
        <w:rPr>
          <w:sz w:val="22"/>
        </w:rPr>
      </w:pPr>
    </w:p>
    <w:p w14:paraId="0F9B643F" w14:textId="77777777" w:rsidR="00A175A5" w:rsidRDefault="00C144A9">
      <w:pPr>
        <w:tabs>
          <w:tab w:val="left" w:pos="3319"/>
          <w:tab w:val="left" w:pos="8839"/>
        </w:tabs>
        <w:spacing w:before="197"/>
        <w:ind w:left="300"/>
        <w:rPr>
          <w:rFonts w:ascii="Times New Roman"/>
          <w:sz w:val="20"/>
        </w:rPr>
      </w:pPr>
      <w:hyperlink w:anchor="_bookmark0" w:history="1">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16"/>
            <w:sz w:val="20"/>
          </w:rPr>
          <w:t xml:space="preserve"> </w:t>
        </w:r>
        <w:r>
          <w:rPr>
            <w:rFonts w:ascii="Times New Roman"/>
            <w:sz w:val="20"/>
          </w:rPr>
          <w:t>Version</w:t>
        </w:r>
        <w:r>
          <w:rPr>
            <w:rFonts w:ascii="Times New Roman"/>
            <w:spacing w:val="8"/>
            <w:sz w:val="20"/>
          </w:rPr>
          <w:t xml:space="preserve"> </w:t>
        </w:r>
        <w:r>
          <w:rPr>
            <w:rFonts w:ascii="Times New Roman"/>
            <w:sz w:val="20"/>
          </w:rPr>
          <w:t>1.0</w:t>
        </w:r>
        <w:r>
          <w:rPr>
            <w:rFonts w:ascii="Times New Roman"/>
            <w:sz w:val="20"/>
          </w:rPr>
          <w:tab/>
          <w:t>1</w:t>
        </w:r>
      </w:hyperlink>
    </w:p>
    <w:p w14:paraId="57618AA5" w14:textId="77777777" w:rsidR="00A175A5" w:rsidRDefault="00C144A9">
      <w:pPr>
        <w:spacing w:before="5"/>
        <w:ind w:left="1262" w:right="995"/>
        <w:jc w:val="center"/>
        <w:rPr>
          <w:sz w:val="20"/>
        </w:rPr>
      </w:pPr>
      <w:hyperlink w:anchor="_bookmark0" w:history="1">
        <w:r>
          <w:rPr>
            <w:sz w:val="20"/>
          </w:rPr>
          <w:t>Package Security Guide</w:t>
        </w:r>
      </w:hyperlink>
    </w:p>
    <w:sectPr w:rsidR="00A175A5">
      <w:pgSz w:w="12240" w:h="15840"/>
      <w:pgMar w:top="640" w:right="13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75A5"/>
    <w:rsid w:val="00490F70"/>
    <w:rsid w:val="00A175A5"/>
    <w:rsid w:val="00C1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AEE4"/>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311" w:right="995"/>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nxsec.doc</dc:title>
  <dc:creator>LAN Administrator</dc:creator>
  <cp:lastModifiedBy>Lowery, Cindy</cp:lastModifiedBy>
  <cp:revision>3</cp:revision>
  <cp:lastPrinted>2020-12-01T22:45:00Z</cp:lastPrinted>
  <dcterms:created xsi:type="dcterms:W3CDTF">2020-12-01T22:45:00Z</dcterms:created>
  <dcterms:modified xsi:type="dcterms:W3CDTF">2020-12-01T22:45:00Z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1996-07-02T00:00:00Z</vt:filetime>
  </property>
  <property fmtid="{D5CDD505-2E9C-101B-9397-08002B2CF9AE}" pid="3" name="Creator">
    <vt:lpwstr>Microsoft Word </vt:lpwstr>
  </property>
  <property fmtid="{D5CDD505-2E9C-101B-9397-08002B2CF9AE}" pid="4" name="LastSaved">
    <vt:filetime>2020-12-01T00:00:00Z</vt:filetime>
  </property>
</Properties>
</file>