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36B6" w14:textId="77777777" w:rsidR="00DF4400" w:rsidRDefault="00DF4400">
      <w:pPr>
        <w:pStyle w:val="TITLEMAJOR"/>
      </w:pPr>
      <w:smartTag w:uri="urn:schemas-microsoft-com:office:smarttags" w:element="place"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eligibility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14:paraId="5F4D9472" w14:textId="77777777" w:rsidR="00DF4400" w:rsidRDefault="00DF4400">
      <w:pPr>
        <w:pStyle w:val="TITLEMINOR"/>
      </w:pP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</w:p>
    <w:p w14:paraId="3E44B953" w14:textId="77777777" w:rsidR="00DF4400" w:rsidRDefault="00DF4400">
      <w:pPr>
        <w:pStyle w:val="TitlePage"/>
      </w:pPr>
    </w:p>
    <w:p w14:paraId="6D866BCF" w14:textId="77777777" w:rsidR="00DF4400" w:rsidRDefault="00DF4400">
      <w:pPr>
        <w:pStyle w:val="TitlePage"/>
      </w:pPr>
    </w:p>
    <w:p w14:paraId="58E2C90D" w14:textId="77777777" w:rsidR="00DF4400" w:rsidRDefault="00DF4400">
      <w:pPr>
        <w:pStyle w:val="TitlePage"/>
      </w:pPr>
    </w:p>
    <w:p w14:paraId="0F47E472" w14:textId="77777777" w:rsidR="00DF4400" w:rsidRDefault="00DF4400">
      <w:pPr>
        <w:pStyle w:val="TitlePage"/>
      </w:pPr>
    </w:p>
    <w:p w14:paraId="5413B265" w14:textId="77777777" w:rsidR="00DF4400" w:rsidRDefault="00DF4400">
      <w:pPr>
        <w:pStyle w:val="TitlePage"/>
      </w:pPr>
    </w:p>
    <w:p w14:paraId="12AFA363" w14:textId="77777777" w:rsidR="00DF4400" w:rsidRDefault="00DF4400">
      <w:pPr>
        <w:pStyle w:val="TitlePage"/>
      </w:pPr>
    </w:p>
    <w:p w14:paraId="771BC682" w14:textId="77777777" w:rsidR="00DF4400" w:rsidRDefault="00DF4400">
      <w:pPr>
        <w:pStyle w:val="TitlePage"/>
      </w:pPr>
    </w:p>
    <w:p w14:paraId="7F9B563E" w14:textId="77777777" w:rsidR="00DF4400" w:rsidRDefault="00DF4400">
      <w:pPr>
        <w:pStyle w:val="TitlePage"/>
      </w:pPr>
    </w:p>
    <w:p w14:paraId="054893D2" w14:textId="77777777" w:rsidR="00DF4400" w:rsidRDefault="00DF4400">
      <w:pPr>
        <w:pStyle w:val="TitlePage"/>
      </w:pPr>
    </w:p>
    <w:p w14:paraId="4C5B862D" w14:textId="77777777" w:rsidR="00DF4400" w:rsidRDefault="00175E6F">
      <w:pPr>
        <w:pStyle w:val="TITLEMAJOR"/>
      </w:pPr>
      <w:r w:rsidRPr="009B2B40">
        <w:t>Post MPI Enumeration Support</w:t>
      </w:r>
      <w:r w:rsidR="00DF4400">
        <w:t xml:space="preserve"> </w:t>
      </w:r>
    </w:p>
    <w:p w14:paraId="6E375099" w14:textId="77777777" w:rsidR="00DF4400" w:rsidRDefault="00DF4400">
      <w:pPr>
        <w:pStyle w:val="TitlePage"/>
      </w:pPr>
    </w:p>
    <w:p w14:paraId="5B1BFF22" w14:textId="77777777" w:rsidR="00DF4400" w:rsidRDefault="00DF4400">
      <w:pPr>
        <w:pStyle w:val="TitlePage"/>
      </w:pPr>
    </w:p>
    <w:p w14:paraId="5C179770" w14:textId="77777777" w:rsidR="00DF4400" w:rsidRDefault="00DF4400">
      <w:pPr>
        <w:pStyle w:val="TitlePage"/>
      </w:pPr>
    </w:p>
    <w:p w14:paraId="10198699" w14:textId="77777777" w:rsidR="00DF4400" w:rsidRDefault="00DF4400">
      <w:pPr>
        <w:pStyle w:val="TitlePage"/>
      </w:pPr>
    </w:p>
    <w:p w14:paraId="3E4D4611" w14:textId="77777777" w:rsidR="00DF4400" w:rsidRDefault="00DF4400">
      <w:pPr>
        <w:pStyle w:val="TitlePage"/>
      </w:pPr>
    </w:p>
    <w:p w14:paraId="3585D3A4" w14:textId="77777777" w:rsidR="00DF4400" w:rsidRDefault="00DF4400">
      <w:pPr>
        <w:pStyle w:val="TITLEMAJOR"/>
      </w:pPr>
      <w:r>
        <w:t>Release Notes</w:t>
      </w:r>
    </w:p>
    <w:p w14:paraId="6A150FC5" w14:textId="77777777" w:rsidR="00DF4400" w:rsidRDefault="00DF4400">
      <w:pPr>
        <w:pStyle w:val="TitlePage"/>
      </w:pPr>
    </w:p>
    <w:p w14:paraId="450AE690" w14:textId="77777777" w:rsidR="00DF4400" w:rsidRDefault="00DF4400">
      <w:pPr>
        <w:pStyle w:val="TitlePage"/>
      </w:pPr>
    </w:p>
    <w:p w14:paraId="4E3BEEAA" w14:textId="77777777" w:rsidR="00DF4400" w:rsidRDefault="00DF4400">
      <w:pPr>
        <w:pStyle w:val="TitlePage"/>
      </w:pPr>
    </w:p>
    <w:p w14:paraId="6C3FCD1E" w14:textId="77777777" w:rsidR="00DF4400" w:rsidRDefault="00DF4400">
      <w:pPr>
        <w:pStyle w:val="TitlePage"/>
      </w:pPr>
    </w:p>
    <w:p w14:paraId="66ACDE2C" w14:textId="77777777" w:rsidR="00DF4400" w:rsidRDefault="00DF4400">
      <w:pPr>
        <w:pStyle w:val="TitlePage"/>
      </w:pPr>
    </w:p>
    <w:p w14:paraId="10D43BF1" w14:textId="77777777" w:rsidR="00DF4400" w:rsidRDefault="00DF4400">
      <w:pPr>
        <w:pStyle w:val="TITLEMINOR"/>
      </w:pPr>
      <w:r>
        <w:t>IVMB*2*</w:t>
      </w:r>
      <w:r w:rsidR="00075715">
        <w:t>89</w:t>
      </w:r>
      <w:r w:rsidR="00175E6F">
        <w:t>5</w:t>
      </w:r>
    </w:p>
    <w:p w14:paraId="390C4CFD" w14:textId="77777777" w:rsidR="00DF4400" w:rsidRDefault="00DF4400">
      <w:pPr>
        <w:pStyle w:val="TitlePage"/>
      </w:pPr>
    </w:p>
    <w:p w14:paraId="27F267D8" w14:textId="77777777" w:rsidR="00DF4400" w:rsidRDefault="00DF4400">
      <w:pPr>
        <w:pStyle w:val="TitlePage"/>
      </w:pPr>
    </w:p>
    <w:p w14:paraId="19868C75" w14:textId="77777777" w:rsidR="00DF4400" w:rsidRDefault="00DF4400">
      <w:pPr>
        <w:pStyle w:val="TitlePage"/>
      </w:pPr>
    </w:p>
    <w:p w14:paraId="59C726D0" w14:textId="77777777" w:rsidR="00DF4400" w:rsidRDefault="000D4538">
      <w:pPr>
        <w:pStyle w:val="TITLEMINOR"/>
      </w:pPr>
      <w:r>
        <w:t>September</w:t>
      </w:r>
      <w:r w:rsidR="00DF4400">
        <w:t xml:space="preserve"> 200</w:t>
      </w:r>
      <w:r w:rsidR="00075715">
        <w:t>6</w:t>
      </w:r>
    </w:p>
    <w:p w14:paraId="4828F040" w14:textId="77777777" w:rsidR="00DF4400" w:rsidRDefault="00DF4400">
      <w:pPr>
        <w:pStyle w:val="TitlePage"/>
      </w:pPr>
    </w:p>
    <w:p w14:paraId="6595964C" w14:textId="77777777" w:rsidR="00DF4400" w:rsidRDefault="00DF4400">
      <w:pPr>
        <w:pStyle w:val="TitlePage"/>
      </w:pPr>
    </w:p>
    <w:p w14:paraId="36B3D3A7" w14:textId="77777777" w:rsidR="00DF4400" w:rsidRDefault="00DF4400">
      <w:pPr>
        <w:pStyle w:val="TitlePage"/>
      </w:pPr>
    </w:p>
    <w:p w14:paraId="2BCB72AE" w14:textId="77777777" w:rsidR="00DF4400" w:rsidRDefault="00DF4400">
      <w:pPr>
        <w:pStyle w:val="TitlePage"/>
      </w:pPr>
    </w:p>
    <w:p w14:paraId="36FB3BDA" w14:textId="77777777" w:rsidR="00DF4400" w:rsidRDefault="00DF4400">
      <w:pPr>
        <w:pStyle w:val="TitlePage"/>
      </w:pPr>
    </w:p>
    <w:p w14:paraId="5F33EE57" w14:textId="77777777" w:rsidR="00DF4400" w:rsidRDefault="00DF4400">
      <w:pPr>
        <w:pStyle w:val="TitlePage"/>
      </w:pPr>
    </w:p>
    <w:p w14:paraId="664B58C5" w14:textId="77777777" w:rsidR="00DF4400" w:rsidRDefault="00DF4400">
      <w:pPr>
        <w:pStyle w:val="TitlePage"/>
      </w:pPr>
    </w:p>
    <w:p w14:paraId="73995D3F" w14:textId="77777777" w:rsidR="00DF4400" w:rsidRDefault="00DF4400">
      <w:pPr>
        <w:pStyle w:val="TitlePage"/>
      </w:pPr>
    </w:p>
    <w:p w14:paraId="5D9B385D" w14:textId="77777777" w:rsidR="00DF4400" w:rsidRDefault="00DF4400">
      <w:pPr>
        <w:pStyle w:val="TitlePage"/>
      </w:pPr>
      <w:r>
        <w:t>Department of Veterans Affairs</w:t>
      </w:r>
    </w:p>
    <w:p w14:paraId="26CE3901" w14:textId="77777777" w:rsidR="002C6CFB" w:rsidRDefault="002C6CFB">
      <w:pPr>
        <w:pStyle w:val="TitlePage"/>
      </w:pPr>
      <w:r>
        <w:t>Management, Enrollment, Financial Systems</w:t>
      </w:r>
    </w:p>
    <w:p w14:paraId="506DA072" w14:textId="77777777" w:rsidR="00DF4400" w:rsidRDefault="00DF4400">
      <w:pPr>
        <w:sectPr w:rsidR="00DF44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12163" w14:textId="77777777" w:rsidR="00DF4400" w:rsidRDefault="00DF440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Table of Contents</w:t>
      </w:r>
    </w:p>
    <w:p w14:paraId="5E5AA2FD" w14:textId="77777777" w:rsidR="00DF4400" w:rsidRDefault="00DF4400"/>
    <w:p w14:paraId="562B9D73" w14:textId="63E7CACB" w:rsidR="0002463E" w:rsidRDefault="00DF4400">
      <w:pPr>
        <w:pStyle w:val="TOC1"/>
        <w:tabs>
          <w:tab w:val="right" w:leader="dot" w:pos="9350"/>
        </w:tabs>
        <w:rPr>
          <w:b w:val="0"/>
          <w:bCs w:val="0"/>
          <w:caps w:val="0"/>
          <w:noProof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146445827" w:history="1">
        <w:r w:rsidR="0002463E" w:rsidRPr="00CE346A">
          <w:rPr>
            <w:rStyle w:val="Hyperlink"/>
            <w:noProof/>
          </w:rPr>
          <w:t>Introduction</w:t>
        </w:r>
        <w:r w:rsidR="0002463E">
          <w:rPr>
            <w:noProof/>
            <w:webHidden/>
          </w:rPr>
          <w:tab/>
        </w:r>
        <w:r w:rsidR="0002463E">
          <w:rPr>
            <w:noProof/>
            <w:webHidden/>
          </w:rPr>
          <w:fldChar w:fldCharType="begin"/>
        </w:r>
        <w:r w:rsidR="0002463E">
          <w:rPr>
            <w:noProof/>
            <w:webHidden/>
          </w:rPr>
          <w:instrText xml:space="preserve"> PAGEREF _Toc146445827 \h </w:instrText>
        </w:r>
        <w:r w:rsidR="00944AB8">
          <w:rPr>
            <w:noProof/>
          </w:rPr>
        </w:r>
        <w:r w:rsidR="0002463E">
          <w:rPr>
            <w:noProof/>
            <w:webHidden/>
          </w:rPr>
          <w:fldChar w:fldCharType="separate"/>
        </w:r>
        <w:r w:rsidR="00FC4BC8">
          <w:rPr>
            <w:noProof/>
            <w:webHidden/>
          </w:rPr>
          <w:t>1</w:t>
        </w:r>
        <w:r w:rsidR="0002463E">
          <w:rPr>
            <w:noProof/>
            <w:webHidden/>
          </w:rPr>
          <w:fldChar w:fldCharType="end"/>
        </w:r>
      </w:hyperlink>
    </w:p>
    <w:p w14:paraId="624420F0" w14:textId="43701AAA" w:rsidR="0002463E" w:rsidRDefault="0002463E">
      <w:pPr>
        <w:pStyle w:val="TOC2"/>
        <w:tabs>
          <w:tab w:val="right" w:leader="dot" w:pos="9350"/>
        </w:tabs>
        <w:rPr>
          <w:smallCaps w:val="0"/>
          <w:noProof/>
        </w:rPr>
      </w:pPr>
      <w:hyperlink w:anchor="_Toc146445828" w:history="1">
        <w:r w:rsidRPr="00CE346A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_Toc146445828 \h </w:instrText>
        </w:r>
        <w:r w:rsidR="00944AB8">
          <w:rPr>
            <w:noProof/>
          </w:rPr>
        </w:r>
        <w:r>
          <w:rPr>
            <w:noProof/>
            <w:webHidden/>
          </w:rPr>
          <w:fldChar w:fldCharType="separate"/>
        </w:r>
        <w:r w:rsidR="00FC4BC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B0810F" w14:textId="4716738B" w:rsidR="0002463E" w:rsidRDefault="0002463E">
      <w:pPr>
        <w:pStyle w:val="TOC2"/>
        <w:tabs>
          <w:tab w:val="right" w:leader="dot" w:pos="9350"/>
        </w:tabs>
        <w:rPr>
          <w:smallCaps w:val="0"/>
          <w:noProof/>
        </w:rPr>
      </w:pPr>
      <w:hyperlink w:anchor="_Toc146445829" w:history="1">
        <w:r w:rsidRPr="00CE346A">
          <w:rPr>
            <w:rStyle w:val="Hyperlink"/>
            <w:noProof/>
          </w:rPr>
          <w:t>Purpose of this Manual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_Toc146445829 \h </w:instrText>
        </w:r>
        <w:r w:rsidR="00944AB8">
          <w:rPr>
            <w:noProof/>
          </w:rPr>
        </w:r>
        <w:r>
          <w:rPr>
            <w:noProof/>
            <w:webHidden/>
          </w:rPr>
          <w:fldChar w:fldCharType="separate"/>
        </w:r>
        <w:r w:rsidR="00FC4BC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540F8B" w14:textId="27802C9B" w:rsidR="0002463E" w:rsidRDefault="0002463E">
      <w:pPr>
        <w:pStyle w:val="TOC2"/>
        <w:tabs>
          <w:tab w:val="right" w:leader="dot" w:pos="9350"/>
        </w:tabs>
        <w:rPr>
          <w:smallCaps w:val="0"/>
          <w:noProof/>
        </w:rPr>
      </w:pPr>
      <w:hyperlink w:anchor="_Toc146445830" w:history="1">
        <w:r w:rsidRPr="00CE346A">
          <w:rPr>
            <w:rStyle w:val="Hyperlink"/>
            <w:noProof/>
          </w:rPr>
          <w:t>Acronyms and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_Toc146445830 \h </w:instrText>
        </w:r>
        <w:r w:rsidR="00944AB8">
          <w:rPr>
            <w:noProof/>
          </w:rPr>
        </w:r>
        <w:r>
          <w:rPr>
            <w:noProof/>
            <w:webHidden/>
          </w:rPr>
          <w:fldChar w:fldCharType="separate"/>
        </w:r>
        <w:r w:rsidR="00FC4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E4FAFA" w14:textId="45FA44E1" w:rsidR="0002463E" w:rsidRDefault="0002463E">
      <w:pPr>
        <w:pStyle w:val="TOC1"/>
        <w:tabs>
          <w:tab w:val="right" w:leader="dot" w:pos="9350"/>
        </w:tabs>
        <w:rPr>
          <w:b w:val="0"/>
          <w:bCs w:val="0"/>
          <w:caps w:val="0"/>
          <w:noProof/>
        </w:rPr>
      </w:pPr>
      <w:hyperlink w:anchor="_Toc146445831" w:history="1">
        <w:r w:rsidRPr="00CE346A">
          <w:rPr>
            <w:rStyle w:val="Hyperlink"/>
            <w:noProof/>
          </w:rPr>
          <w:t>New Features, Functions, and Enhancements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_Toc146445831 \h </w:instrText>
        </w:r>
        <w:r w:rsidR="00944AB8">
          <w:rPr>
            <w:noProof/>
          </w:rPr>
        </w:r>
        <w:r>
          <w:rPr>
            <w:noProof/>
            <w:webHidden/>
          </w:rPr>
          <w:fldChar w:fldCharType="separate"/>
        </w:r>
        <w:r w:rsidR="00FC4BC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7CF422" w14:textId="77777777" w:rsidR="00DF4400" w:rsidRDefault="00DF4400">
      <w:r>
        <w:fldChar w:fldCharType="end"/>
      </w:r>
    </w:p>
    <w:p w14:paraId="0EAE6F62" w14:textId="77777777" w:rsidR="00DF4400" w:rsidRDefault="00DF4400"/>
    <w:p w14:paraId="54F3AA77" w14:textId="77777777" w:rsidR="00DF4400" w:rsidRDefault="00DF4400">
      <w:pPr>
        <w:sectPr w:rsidR="00DF4400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2DF79FD" w14:textId="77777777" w:rsidR="00DF4400" w:rsidRDefault="00DF4400">
      <w:pPr>
        <w:pStyle w:val="Heading1"/>
      </w:pPr>
      <w:bookmarkStart w:id="0" w:name="_Toc146445827"/>
      <w:r>
        <w:lastRenderedPageBreak/>
        <w:t>Introduction</w:t>
      </w:r>
      <w:bookmarkEnd w:id="0"/>
    </w:p>
    <w:p w14:paraId="7257A1D2" w14:textId="77777777" w:rsidR="00DF4400" w:rsidRDefault="00DF4400"/>
    <w:p w14:paraId="26E7D6FF" w14:textId="77777777" w:rsidR="00DF4400" w:rsidRDefault="00DF4400" w:rsidP="002966AB">
      <w:pPr>
        <w:pStyle w:val="Heading2"/>
      </w:pPr>
      <w:bookmarkStart w:id="1" w:name="_Toc146445828"/>
      <w:r>
        <w:t>Overview</w:t>
      </w:r>
      <w:bookmarkEnd w:id="1"/>
    </w:p>
    <w:p w14:paraId="272FC915" w14:textId="77777777" w:rsidR="00DF4400" w:rsidRDefault="00DF4400"/>
    <w:p w14:paraId="6F41F94D" w14:textId="77777777" w:rsidR="002966AB" w:rsidRDefault="002966AB" w:rsidP="00BD55D4">
      <w:r>
        <w:t>First, some background.</w:t>
      </w:r>
    </w:p>
    <w:p w14:paraId="5105F489" w14:textId="77777777" w:rsidR="00C74C05" w:rsidRDefault="00C74C05" w:rsidP="00BD55D4"/>
    <w:p w14:paraId="6C830575" w14:textId="77777777" w:rsidR="00C74C05" w:rsidRPr="00C74C05" w:rsidRDefault="00C74C05" w:rsidP="00C74C05">
      <w:r w:rsidRPr="00C74C05">
        <w:t xml:space="preserve">Duplicate Integration Control Numbers (ICNs) are being identified on the HEC Legacy system as a result of the site-by-site patient enumeration process currently in progress at the VA treatment facilities which operate the </w:t>
      </w:r>
      <w:smartTag w:uri="urn:schemas-microsoft-com:office:smarttags" w:element="place">
        <w:r w:rsidRPr="00C74C05">
          <w:t>VistA</w:t>
        </w:r>
      </w:smartTag>
      <w:r w:rsidRPr="00C74C05">
        <w:t xml:space="preserve"> application.  The </w:t>
      </w:r>
      <w:bookmarkStart w:id="2" w:name="OLE_LINK1"/>
      <w:bookmarkStart w:id="3" w:name="OLE_LINK2"/>
      <w:r w:rsidRPr="00C74C05">
        <w:t>Post MPI Enumeration Support</w:t>
      </w:r>
      <w:bookmarkEnd w:id="2"/>
      <w:bookmarkEnd w:id="3"/>
      <w:r w:rsidRPr="00C74C05">
        <w:t xml:space="preserve"> is the </w:t>
      </w:r>
      <w:r w:rsidRPr="008B1F71">
        <w:rPr>
          <w:b/>
        </w:rPr>
        <w:t>second</w:t>
      </w:r>
      <w:r w:rsidRPr="00C74C05">
        <w:t xml:space="preserve"> in a series of Enrollment Maintenance projects pertaining to the MPI enumeration activities that are necessary for the data migration effort for the Enrollment Sys</w:t>
      </w:r>
      <w:r w:rsidR="008B1F71">
        <w:t>tem Re-design project (ESR 3.0).</w:t>
      </w:r>
      <w:r w:rsidR="009E00D5">
        <w:t xml:space="preserve">  ESR </w:t>
      </w:r>
      <w:r w:rsidR="009E00D5" w:rsidRPr="009E00D5">
        <w:t>will replace the HEC Legacy application and database, as the central enrollment and eligibility system of record.</w:t>
      </w:r>
    </w:p>
    <w:p w14:paraId="79754399" w14:textId="77777777" w:rsidR="00C74C05" w:rsidRDefault="00C74C05" w:rsidP="00C74C05">
      <w:pPr>
        <w:rPr>
          <w:sz w:val="22"/>
          <w:szCs w:val="2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</w:tblGrid>
      <w:tr w:rsidR="00C74C05" w:rsidRPr="00427715" w14:paraId="54489A81" w14:textId="77777777" w:rsidTr="00427715"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14:paraId="22AF4C94" w14:textId="77777777" w:rsidR="00C74C05" w:rsidRPr="00427715" w:rsidRDefault="00C74C05" w:rsidP="00427715">
            <w:pPr>
              <w:jc w:val="center"/>
              <w:rPr>
                <w:b/>
                <w:sz w:val="22"/>
                <w:szCs w:val="22"/>
              </w:rPr>
            </w:pPr>
            <w:r w:rsidRPr="00427715">
              <w:rPr>
                <w:b/>
                <w:sz w:val="22"/>
                <w:szCs w:val="22"/>
              </w:rPr>
              <w:t>Project Sequence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</w:tcPr>
          <w:p w14:paraId="3A199751" w14:textId="77777777" w:rsidR="00C74C05" w:rsidRPr="00427715" w:rsidRDefault="00C74C05" w:rsidP="00427715">
            <w:pPr>
              <w:jc w:val="center"/>
              <w:rPr>
                <w:b/>
                <w:sz w:val="22"/>
                <w:szCs w:val="22"/>
              </w:rPr>
            </w:pPr>
            <w:r w:rsidRPr="00427715">
              <w:rPr>
                <w:b/>
                <w:sz w:val="22"/>
                <w:szCs w:val="22"/>
              </w:rPr>
              <w:t xml:space="preserve">Project Name </w:t>
            </w:r>
          </w:p>
          <w:p w14:paraId="02CED832" w14:textId="77777777" w:rsidR="00C74C05" w:rsidRPr="00427715" w:rsidRDefault="00C74C05" w:rsidP="00427715">
            <w:pPr>
              <w:jc w:val="center"/>
              <w:rPr>
                <w:b/>
                <w:sz w:val="22"/>
                <w:szCs w:val="22"/>
              </w:rPr>
            </w:pPr>
            <w:r w:rsidRPr="00427715">
              <w:rPr>
                <w:b/>
                <w:sz w:val="22"/>
                <w:szCs w:val="22"/>
              </w:rPr>
              <w:t>(Patch Number)</w:t>
            </w:r>
          </w:p>
        </w:tc>
      </w:tr>
      <w:tr w:rsidR="00C74C05" w:rsidRPr="00EB2DE1" w14:paraId="15EEE3E0" w14:textId="77777777" w:rsidTr="00427715"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</w:tcPr>
          <w:p w14:paraId="005C2461" w14:textId="77777777" w:rsidR="00C74C05" w:rsidRPr="00EB2DE1" w:rsidRDefault="00C74C05" w:rsidP="00427715">
            <w:pPr>
              <w:jc w:val="center"/>
            </w:pPr>
            <w:r w:rsidRPr="00EB2DE1"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3F3F3"/>
          </w:tcPr>
          <w:p w14:paraId="69EC5BBA" w14:textId="77777777" w:rsidR="00C74C05" w:rsidRPr="00EB2DE1" w:rsidRDefault="00C74C05" w:rsidP="006817E2">
            <w:r w:rsidRPr="00EB2DE1">
              <w:t>Cleansing ICN for MPI Enumeration</w:t>
            </w:r>
          </w:p>
          <w:p w14:paraId="2B87DB25" w14:textId="77777777" w:rsidR="00C74C05" w:rsidRPr="00EB2DE1" w:rsidRDefault="00C74C05" w:rsidP="006817E2">
            <w:r w:rsidRPr="00EB2DE1">
              <w:t>(IVMB*2*876, Completed Feb 2006)</w:t>
            </w:r>
          </w:p>
        </w:tc>
      </w:tr>
      <w:tr w:rsidR="00C74C05" w:rsidRPr="00EB2DE1" w14:paraId="6E1A77AB" w14:textId="77777777" w:rsidTr="00427715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8A8BC27" w14:textId="77777777" w:rsidR="00C74C05" w:rsidRPr="00427715" w:rsidRDefault="00C74C05" w:rsidP="00427715">
            <w:pPr>
              <w:jc w:val="center"/>
              <w:rPr>
                <w:b/>
              </w:rPr>
            </w:pPr>
            <w:r w:rsidRPr="00427715">
              <w:rPr>
                <w:b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C46EB59" w14:textId="77777777" w:rsidR="00C74C05" w:rsidRPr="00427715" w:rsidRDefault="00C74C05" w:rsidP="006817E2">
            <w:pPr>
              <w:rPr>
                <w:b/>
              </w:rPr>
            </w:pPr>
            <w:r w:rsidRPr="00427715">
              <w:rPr>
                <w:b/>
              </w:rPr>
              <w:t>Post MPI Enumeration Support</w:t>
            </w:r>
          </w:p>
          <w:p w14:paraId="57BFA499" w14:textId="77777777" w:rsidR="00C74C05" w:rsidRPr="00EB2DE1" w:rsidRDefault="00C74C05" w:rsidP="006817E2">
            <w:r w:rsidRPr="00427715">
              <w:rPr>
                <w:b/>
              </w:rPr>
              <w:t>(IVMB*2*895)</w:t>
            </w:r>
          </w:p>
        </w:tc>
      </w:tr>
      <w:tr w:rsidR="00C74C05" w:rsidRPr="00EB2DE1" w14:paraId="1344FA06" w14:textId="77777777" w:rsidTr="00427715">
        <w:tc>
          <w:tcPr>
            <w:tcW w:w="1260" w:type="dxa"/>
            <w:shd w:val="clear" w:color="auto" w:fill="F3F3F3"/>
          </w:tcPr>
          <w:p w14:paraId="086DBF27" w14:textId="77777777" w:rsidR="00C74C05" w:rsidRPr="00EB2DE1" w:rsidRDefault="00C74C05" w:rsidP="00427715">
            <w:pPr>
              <w:jc w:val="center"/>
            </w:pPr>
            <w:r w:rsidRPr="00EB2DE1">
              <w:t>3</w:t>
            </w:r>
          </w:p>
        </w:tc>
        <w:tc>
          <w:tcPr>
            <w:tcW w:w="4500" w:type="dxa"/>
            <w:shd w:val="clear" w:color="auto" w:fill="F3F3F3"/>
          </w:tcPr>
          <w:p w14:paraId="754B0186" w14:textId="77777777" w:rsidR="00C74C05" w:rsidRPr="00EB2DE1" w:rsidRDefault="00C74C05" w:rsidP="006817E2">
            <w:r w:rsidRPr="00EB2DE1">
              <w:t xml:space="preserve">Examine/Correct ICN </w:t>
            </w:r>
            <w:bookmarkStart w:id="4" w:name="OLE_LINK24"/>
            <w:bookmarkStart w:id="5" w:name="OLE_LINK25"/>
            <w:r w:rsidRPr="00EB2DE1">
              <w:t>Discrepancies</w:t>
            </w:r>
            <w:bookmarkEnd w:id="4"/>
            <w:bookmarkEnd w:id="5"/>
            <w:r w:rsidRPr="00EB2DE1">
              <w:t xml:space="preserve"> </w:t>
            </w:r>
          </w:p>
          <w:p w14:paraId="59866106" w14:textId="77777777" w:rsidR="00C74C05" w:rsidRPr="00EB2DE1" w:rsidRDefault="00C74C05" w:rsidP="006817E2">
            <w:r>
              <w:t>(IVMB*2.0*898 and IVMB*2.0*899</w:t>
            </w:r>
            <w:r w:rsidRPr="00EB2DE1">
              <w:t>)</w:t>
            </w:r>
          </w:p>
        </w:tc>
      </w:tr>
      <w:tr w:rsidR="00C74C05" w:rsidRPr="00EB2DE1" w14:paraId="2F723C05" w14:textId="77777777" w:rsidTr="00427715">
        <w:tc>
          <w:tcPr>
            <w:tcW w:w="1260" w:type="dxa"/>
            <w:shd w:val="clear" w:color="auto" w:fill="F3F3F3"/>
          </w:tcPr>
          <w:p w14:paraId="58387FA9" w14:textId="77777777" w:rsidR="00C74C05" w:rsidRPr="00EB2DE1" w:rsidRDefault="00C74C05" w:rsidP="00427715">
            <w:pPr>
              <w:jc w:val="center"/>
            </w:pPr>
            <w:r w:rsidRPr="00EB2DE1">
              <w:t>4</w:t>
            </w:r>
          </w:p>
        </w:tc>
        <w:tc>
          <w:tcPr>
            <w:tcW w:w="4500" w:type="dxa"/>
            <w:shd w:val="clear" w:color="auto" w:fill="F3F3F3"/>
          </w:tcPr>
          <w:p w14:paraId="0A865B2D" w14:textId="77777777" w:rsidR="00C74C05" w:rsidRPr="00EB2DE1" w:rsidRDefault="00C44658" w:rsidP="006817E2">
            <w:r w:rsidRPr="00C44658">
              <w:t>Modify Duplicate Merge to Use ICN</w:t>
            </w:r>
            <w:r w:rsidR="00C74C05" w:rsidRPr="00EB2DE1">
              <w:t xml:space="preserve"> </w:t>
            </w:r>
          </w:p>
          <w:p w14:paraId="5F648C96" w14:textId="77777777" w:rsidR="00C74C05" w:rsidRPr="00EB2DE1" w:rsidRDefault="00C74C05" w:rsidP="006817E2">
            <w:r w:rsidRPr="00EB2DE1">
              <w:t>(IVMB*2*888)</w:t>
            </w:r>
          </w:p>
        </w:tc>
      </w:tr>
    </w:tbl>
    <w:p w14:paraId="4C756A60" w14:textId="77777777" w:rsidR="00C74C05" w:rsidRDefault="00C74C05" w:rsidP="00BD55D4"/>
    <w:p w14:paraId="4F7EC78E" w14:textId="77777777" w:rsidR="00DF4400" w:rsidRDefault="00BD55D4" w:rsidP="00BD55D4">
      <w:r w:rsidRPr="00BD55D4">
        <w:t>The Cleansing ICN for MPI Enumeration project (patch IVM*2.0*876, released</w:t>
      </w:r>
      <w:r>
        <w:t xml:space="preserve"> </w:t>
      </w:r>
      <w:r w:rsidRPr="00BD55D4">
        <w:t>in February 2006) deleted the Integration Control Number (ICN), ICN</w:t>
      </w:r>
      <w:r>
        <w:t xml:space="preserve"> </w:t>
      </w:r>
      <w:r w:rsidRPr="00BD55D4">
        <w:t>Checksum and CMOR for each patient record in the IVM Master Client file</w:t>
      </w:r>
      <w:r>
        <w:t xml:space="preserve"> </w:t>
      </w:r>
      <w:r w:rsidRPr="00BD55D4">
        <w:t>(#300.12).  This set up the environment where it would allow the IVM</w:t>
      </w:r>
      <w:r>
        <w:t xml:space="preserve"> </w:t>
      </w:r>
      <w:r w:rsidRPr="00BD55D4">
        <w:t>Master Client file (#300.12) to be refreshed, or populated anew, with more</w:t>
      </w:r>
      <w:r>
        <w:t xml:space="preserve"> </w:t>
      </w:r>
      <w:r w:rsidRPr="00BD55D4">
        <w:t>accurate ICNs which have been assigned through the MPI Enumeration project</w:t>
      </w:r>
      <w:r>
        <w:t xml:space="preserve"> </w:t>
      </w:r>
      <w:r w:rsidRPr="00BD55D4">
        <w:t>(sent from VistA to the HEC and residing in the IVM Client Income file</w:t>
      </w:r>
      <w:r>
        <w:t xml:space="preserve"> </w:t>
      </w:r>
      <w:r w:rsidRPr="00BD55D4">
        <w:t>(#300.13) ) and are in agreement between all VistA sites of record.</w:t>
      </w:r>
      <w:r w:rsidR="00003E41">
        <w:t xml:space="preserve">  </w:t>
      </w:r>
      <w:r w:rsidR="00003E41" w:rsidRPr="00BD55D4">
        <w:t>The Cleansing ICN for MPI Enumeration project</w:t>
      </w:r>
      <w:r w:rsidR="00003E41" w:rsidRPr="00003E41">
        <w:t xml:space="preserve"> </w:t>
      </w:r>
      <w:r w:rsidR="00003E41">
        <w:t>also d</w:t>
      </w:r>
      <w:r w:rsidR="00003E41" w:rsidRPr="00003E41">
        <w:t xml:space="preserve">isabled the automatic upload of the Integration Control Number (ICN), ICN Checksum and CMOR into the IVM Master Client file (#300.12) from the HL7 ORU~Z07 Full Data Transmission received from the </w:t>
      </w:r>
      <w:smartTag w:uri="urn:schemas-microsoft-com:office:smarttags" w:element="place">
        <w:r w:rsidR="00003E41" w:rsidRPr="00003E41">
          <w:t>VistA</w:t>
        </w:r>
      </w:smartTag>
      <w:r w:rsidR="00003E41" w:rsidRPr="00003E41">
        <w:t xml:space="preserve"> sites</w:t>
      </w:r>
      <w:r w:rsidR="00003E41">
        <w:t>.  This ensure</w:t>
      </w:r>
      <w:r w:rsidR="006570D2">
        <w:t>d</w:t>
      </w:r>
      <w:r w:rsidR="00003E41" w:rsidRPr="00EB2DE1">
        <w:t xml:space="preserve"> that discrepant data </w:t>
      </w:r>
      <w:r w:rsidR="006570D2">
        <w:t>was</w:t>
      </w:r>
      <w:r w:rsidR="00003E41" w:rsidRPr="00EB2DE1">
        <w:t xml:space="preserve"> resolved and not propagated.</w:t>
      </w:r>
    </w:p>
    <w:p w14:paraId="4DBA74E4" w14:textId="77777777" w:rsidR="006570D2" w:rsidRDefault="006570D2" w:rsidP="00BD55D4"/>
    <w:p w14:paraId="052334A9" w14:textId="77777777" w:rsidR="006570D2" w:rsidRDefault="006570D2" w:rsidP="006570D2">
      <w:r w:rsidRPr="006570D2">
        <w:t xml:space="preserve">This </w:t>
      </w:r>
      <w:r w:rsidR="00DE7A89" w:rsidRPr="00C74C05">
        <w:t>Post MPI Enumeration Support</w:t>
      </w:r>
      <w:r w:rsidR="00DE7A89">
        <w:t xml:space="preserve"> project</w:t>
      </w:r>
      <w:r w:rsidRPr="006570D2">
        <w:t xml:space="preserve"> (IVMB*2.0*895) is a follow-up patch (</w:t>
      </w:r>
      <w:r>
        <w:t xml:space="preserve">to </w:t>
      </w:r>
      <w:r w:rsidRPr="006570D2">
        <w:t>IVMB*2*876</w:t>
      </w:r>
      <w:r>
        <w:t xml:space="preserve">) </w:t>
      </w:r>
      <w:r w:rsidRPr="006570D2">
        <w:t>that will repopulate the</w:t>
      </w:r>
      <w:r>
        <w:t xml:space="preserve"> ICN for patients in the </w:t>
      </w:r>
      <w:r w:rsidRPr="006570D2">
        <w:t xml:space="preserve">IVM CLIENT MASTER file (#300.12) at the </w:t>
      </w:r>
      <w:r>
        <w:t>HEC</w:t>
      </w:r>
      <w:r w:rsidRPr="006570D2">
        <w:t>.</w:t>
      </w:r>
    </w:p>
    <w:p w14:paraId="32A7E51A" w14:textId="77777777" w:rsidR="00DF4400" w:rsidRDefault="00627684">
      <w:pPr>
        <w:pStyle w:val="Heading2"/>
      </w:pPr>
      <w:r>
        <w:br w:type="page"/>
      </w:r>
      <w:bookmarkStart w:id="6" w:name="_Toc146445829"/>
      <w:r w:rsidR="00DF4400">
        <w:lastRenderedPageBreak/>
        <w:t>Purpose of this Manual</w:t>
      </w:r>
      <w:bookmarkEnd w:id="6"/>
    </w:p>
    <w:p w14:paraId="6E0CE8A4" w14:textId="77777777" w:rsidR="00DF4400" w:rsidRDefault="00DF4400"/>
    <w:p w14:paraId="0045BF63" w14:textId="77777777" w:rsidR="00DF4400" w:rsidRDefault="00DF4400">
      <w:r>
        <w:t>The purpose of this Release Notes document is to provide high-level user and technical information about enhancements to enrollment-related functionality in the HEC Legacy system.</w:t>
      </w:r>
    </w:p>
    <w:p w14:paraId="0ECBEA59" w14:textId="77777777" w:rsidR="00DF4400" w:rsidRDefault="00DF4400"/>
    <w:p w14:paraId="3FEA0058" w14:textId="77777777" w:rsidR="00DF4400" w:rsidRDefault="00DF4400">
      <w:pPr>
        <w:pStyle w:val="Heading2"/>
      </w:pPr>
      <w:r>
        <w:br w:type="page"/>
      </w:r>
      <w:bookmarkStart w:id="7" w:name="_Toc146445830"/>
      <w:r>
        <w:lastRenderedPageBreak/>
        <w:t>Acronyms and Definitions</w:t>
      </w:r>
      <w:bookmarkEnd w:id="7"/>
    </w:p>
    <w:p w14:paraId="0F1C1807" w14:textId="77777777" w:rsidR="00DF4400" w:rsidRDefault="00DF4400">
      <w:pPr>
        <w:pStyle w:val="HEADING40"/>
        <w:rPr>
          <w:rFonts w:ascii="Times New Roman" w:hAnsi="Times New Roman"/>
        </w:rPr>
      </w:pPr>
    </w:p>
    <w:p w14:paraId="43D28B5A" w14:textId="77777777" w:rsidR="00DF4400" w:rsidRDefault="00DF4400">
      <w:r>
        <w:t xml:space="preserve">Acronyms </w:t>
      </w:r>
    </w:p>
    <w:p w14:paraId="7F38C81E" w14:textId="77777777" w:rsidR="00DF4400" w:rsidRDefault="00DF4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650"/>
      </w:tblGrid>
      <w:tr w:rsidR="00DF4400" w14:paraId="56AE3AD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0623197" w14:textId="77777777" w:rsidR="00DF4400" w:rsidRDefault="00DF4400">
            <w:pPr>
              <w:rPr>
                <w:rStyle w:val="TABLEHEADING"/>
              </w:rPr>
            </w:pPr>
            <w:r>
              <w:rPr>
                <w:rStyle w:val="TABLEHEADING"/>
              </w:rPr>
              <w:t>Acronym</w:t>
            </w:r>
          </w:p>
        </w:tc>
        <w:tc>
          <w:tcPr>
            <w:tcW w:w="7650" w:type="dxa"/>
          </w:tcPr>
          <w:p w14:paraId="12155017" w14:textId="77777777" w:rsidR="00DF4400" w:rsidRDefault="00DF4400">
            <w:pPr>
              <w:rPr>
                <w:rStyle w:val="TABLEHEADING"/>
              </w:rPr>
            </w:pPr>
            <w:r>
              <w:rPr>
                <w:rStyle w:val="TABLEHEADING"/>
              </w:rPr>
              <w:t>Description</w:t>
            </w:r>
          </w:p>
        </w:tc>
      </w:tr>
      <w:tr w:rsidR="00247025" w14:paraId="592AAE5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5149562" w14:textId="77777777" w:rsidR="00247025" w:rsidRDefault="00247025">
            <w:pPr>
              <w:pStyle w:val="TABLEROW"/>
            </w:pPr>
            <w:r>
              <w:t>API</w:t>
            </w:r>
          </w:p>
        </w:tc>
        <w:tc>
          <w:tcPr>
            <w:tcW w:w="7650" w:type="dxa"/>
          </w:tcPr>
          <w:p w14:paraId="31B3C8CA" w14:textId="77777777" w:rsidR="00247025" w:rsidRDefault="00247025">
            <w:pPr>
              <w:pStyle w:val="TABLEROW"/>
            </w:pPr>
            <w:r>
              <w:t>Application Program Interface</w:t>
            </w:r>
          </w:p>
        </w:tc>
      </w:tr>
      <w:tr w:rsidR="00C144FE" w14:paraId="18AAA46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56F5250" w14:textId="77777777" w:rsidR="00C144FE" w:rsidRPr="00C144FE" w:rsidRDefault="00C144FE">
            <w:pPr>
              <w:pStyle w:val="TABLEROW"/>
            </w:pPr>
            <w:r>
              <w:t>CIRN</w:t>
            </w:r>
          </w:p>
        </w:tc>
        <w:tc>
          <w:tcPr>
            <w:tcW w:w="7650" w:type="dxa"/>
          </w:tcPr>
          <w:p w14:paraId="2AB5B9EE" w14:textId="77777777" w:rsidR="00C144FE" w:rsidRDefault="00C144FE">
            <w:pPr>
              <w:pStyle w:val="TABLEROW"/>
            </w:pPr>
            <w:r w:rsidRPr="00C144FE">
              <w:t>Clinical Information Resources Network</w:t>
            </w:r>
          </w:p>
        </w:tc>
      </w:tr>
      <w:tr w:rsidR="00C144FE" w14:paraId="7092998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57194B9" w14:textId="77777777" w:rsidR="00C144FE" w:rsidRDefault="00C144FE">
            <w:pPr>
              <w:pStyle w:val="TABLEROW"/>
            </w:pPr>
            <w:r w:rsidRPr="00C144FE">
              <w:t>CMOR</w:t>
            </w:r>
          </w:p>
        </w:tc>
        <w:tc>
          <w:tcPr>
            <w:tcW w:w="7650" w:type="dxa"/>
          </w:tcPr>
          <w:p w14:paraId="51637BD6" w14:textId="77777777" w:rsidR="00C144FE" w:rsidRDefault="00CA7867">
            <w:pPr>
              <w:pStyle w:val="TABLEROW"/>
            </w:pPr>
            <w:r>
              <w:t>Coordinating</w:t>
            </w:r>
            <w:r w:rsidR="00C144FE">
              <w:t xml:space="preserve"> Master of Record</w:t>
            </w:r>
          </w:p>
        </w:tc>
      </w:tr>
      <w:tr w:rsidR="00DF4400" w14:paraId="487145A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318D99D" w14:textId="77777777" w:rsidR="00DF4400" w:rsidRDefault="00DF4400">
            <w:pPr>
              <w:pStyle w:val="TABLEROW"/>
            </w:pPr>
            <w:r>
              <w:t>HEC</w:t>
            </w:r>
          </w:p>
        </w:tc>
        <w:tc>
          <w:tcPr>
            <w:tcW w:w="7650" w:type="dxa"/>
          </w:tcPr>
          <w:p w14:paraId="2B612265" w14:textId="77777777" w:rsidR="00DF4400" w:rsidRDefault="00DF4400">
            <w:pPr>
              <w:pStyle w:val="TABLEROW"/>
            </w:pPr>
            <w:smartTag w:uri="urn:schemas-microsoft-com:office:smarttags" w:element="place">
              <w:smartTag w:uri="urn:schemas-microsoft-com:office:smarttags" w:element="PlaceName">
                <w:r>
                  <w:t>Health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Eligibility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</w:tr>
      <w:tr w:rsidR="00BD55D4" w14:paraId="1803AEA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C8AAE2D" w14:textId="77777777" w:rsidR="00BD55D4" w:rsidRDefault="00BD55D4">
            <w:pPr>
              <w:pStyle w:val="TABLEROW"/>
            </w:pPr>
            <w:r>
              <w:t>ICN</w:t>
            </w:r>
          </w:p>
        </w:tc>
        <w:tc>
          <w:tcPr>
            <w:tcW w:w="7650" w:type="dxa"/>
          </w:tcPr>
          <w:p w14:paraId="2F48D442" w14:textId="77777777" w:rsidR="00BD55D4" w:rsidRDefault="00BD55D4">
            <w:pPr>
              <w:pStyle w:val="TABLEROW"/>
            </w:pPr>
            <w:r>
              <w:t>Integration Control Number</w:t>
            </w:r>
          </w:p>
        </w:tc>
      </w:tr>
      <w:tr w:rsidR="005E4301" w14:paraId="7C9E18C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04F61B4" w14:textId="77777777" w:rsidR="005E4301" w:rsidRDefault="005E4301">
            <w:pPr>
              <w:pStyle w:val="TABLEROW"/>
            </w:pPr>
            <w:r>
              <w:t>MPI</w:t>
            </w:r>
          </w:p>
        </w:tc>
        <w:tc>
          <w:tcPr>
            <w:tcW w:w="7650" w:type="dxa"/>
          </w:tcPr>
          <w:p w14:paraId="606422F6" w14:textId="77777777" w:rsidR="005E4301" w:rsidRDefault="005E4301">
            <w:pPr>
              <w:pStyle w:val="TABLEROW"/>
            </w:pPr>
            <w:r w:rsidRPr="005E4301">
              <w:t>Master Patient Index</w:t>
            </w:r>
          </w:p>
        </w:tc>
      </w:tr>
      <w:tr w:rsidR="00DF4400" w14:paraId="3A827DF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82942DD" w14:textId="77777777" w:rsidR="00DF4400" w:rsidRDefault="00DF4400">
            <w:pPr>
              <w:pStyle w:val="TABLEROW"/>
            </w:pPr>
            <w:r>
              <w:t>VA</w:t>
            </w:r>
          </w:p>
        </w:tc>
        <w:tc>
          <w:tcPr>
            <w:tcW w:w="7650" w:type="dxa"/>
          </w:tcPr>
          <w:p w14:paraId="41F6F785" w14:textId="77777777" w:rsidR="00DF4400" w:rsidRDefault="00DF4400">
            <w:pPr>
              <w:pStyle w:val="TABLEROW"/>
            </w:pPr>
            <w:r>
              <w:t>Veterans Administration</w:t>
            </w:r>
          </w:p>
        </w:tc>
      </w:tr>
      <w:tr w:rsidR="00DF4400" w14:paraId="07976D65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B281021" w14:textId="77777777" w:rsidR="00DF4400" w:rsidRDefault="00DF4400">
            <w:pPr>
              <w:pStyle w:val="TABLEROW"/>
            </w:pPr>
            <w:r>
              <w:t>VHA</w:t>
            </w:r>
          </w:p>
        </w:tc>
        <w:tc>
          <w:tcPr>
            <w:tcW w:w="7650" w:type="dxa"/>
          </w:tcPr>
          <w:p w14:paraId="0AFF84D4" w14:textId="77777777" w:rsidR="00DF4400" w:rsidRDefault="00DF4400">
            <w:pPr>
              <w:pStyle w:val="TABLEROW"/>
            </w:pPr>
            <w:r>
              <w:t>Veterans Health Administration</w:t>
            </w:r>
          </w:p>
        </w:tc>
      </w:tr>
      <w:tr w:rsidR="00330C5F" w14:paraId="44528C7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74C6DE4" w14:textId="77777777" w:rsidR="00330C5F" w:rsidRDefault="00330C5F">
            <w:pPr>
              <w:pStyle w:val="TABLEROW"/>
            </w:pPr>
            <w:smartTag w:uri="urn:schemas-microsoft-com:office:smarttags" w:element="place">
              <w:r>
                <w:t>VistA</w:t>
              </w:r>
            </w:smartTag>
          </w:p>
        </w:tc>
        <w:tc>
          <w:tcPr>
            <w:tcW w:w="7650" w:type="dxa"/>
          </w:tcPr>
          <w:p w14:paraId="2A20B87E" w14:textId="77777777" w:rsidR="00330C5F" w:rsidRDefault="00801DF6">
            <w:pPr>
              <w:pStyle w:val="TABLEROW"/>
            </w:pPr>
            <w:r w:rsidRPr="00801DF6">
              <w:t>Veterans Health Information Systems and Technology Architecture</w:t>
            </w:r>
          </w:p>
        </w:tc>
      </w:tr>
    </w:tbl>
    <w:p w14:paraId="2DE4ABFF" w14:textId="77777777" w:rsidR="00DF4400" w:rsidRDefault="00DF4400"/>
    <w:p w14:paraId="38A71088" w14:textId="77777777" w:rsidR="00DF4400" w:rsidRDefault="00DF4400"/>
    <w:p w14:paraId="7C320266" w14:textId="77777777" w:rsidR="00DF4400" w:rsidRDefault="00DF4400">
      <w:r>
        <w:t>Definitions</w:t>
      </w:r>
    </w:p>
    <w:p w14:paraId="259310D2" w14:textId="77777777" w:rsidR="00DF4400" w:rsidRDefault="00DF4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7597"/>
      </w:tblGrid>
      <w:tr w:rsidR="00DF4400" w14:paraId="08F29098" w14:textId="7777777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14:paraId="15F9153E" w14:textId="77777777" w:rsidR="00DF4400" w:rsidRDefault="00DF4400">
            <w:pPr>
              <w:rPr>
                <w:rStyle w:val="TABLEHEADING"/>
              </w:rPr>
            </w:pPr>
            <w:r>
              <w:rPr>
                <w:rStyle w:val="TABLEHEADING"/>
              </w:rPr>
              <w:t>Term</w:t>
            </w:r>
          </w:p>
        </w:tc>
        <w:tc>
          <w:tcPr>
            <w:tcW w:w="7597" w:type="dxa"/>
          </w:tcPr>
          <w:p w14:paraId="0FB0B3E8" w14:textId="77777777" w:rsidR="00DF4400" w:rsidRDefault="00DF4400">
            <w:pPr>
              <w:rPr>
                <w:rStyle w:val="TABLEHEADING"/>
              </w:rPr>
            </w:pPr>
            <w:r>
              <w:rPr>
                <w:rStyle w:val="TABLEHEADING"/>
              </w:rPr>
              <w:t xml:space="preserve">Definition </w:t>
            </w:r>
          </w:p>
        </w:tc>
      </w:tr>
      <w:tr w:rsidR="002966AB" w14:paraId="18C9D5A6" w14:textId="7777777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14:paraId="5CA1CB5E" w14:textId="77777777" w:rsidR="002966AB" w:rsidRDefault="002966AB">
            <w:pPr>
              <w:pStyle w:val="TABLEROW"/>
            </w:pPr>
            <w:r>
              <w:t>Checksum</w:t>
            </w:r>
          </w:p>
        </w:tc>
        <w:tc>
          <w:tcPr>
            <w:tcW w:w="7597" w:type="dxa"/>
          </w:tcPr>
          <w:p w14:paraId="4603BF2C" w14:textId="77777777" w:rsidR="00003E41" w:rsidRPr="001461E1" w:rsidRDefault="00003E41">
            <w:pPr>
              <w:pStyle w:val="TABLEROW"/>
            </w:pPr>
            <w:r w:rsidRPr="002966AB">
              <w:rPr>
                <w:lang w:val="en"/>
              </w:rPr>
              <w:t xml:space="preserve">A </w:t>
            </w:r>
            <w:r w:rsidRPr="002966AB">
              <w:rPr>
                <w:bCs/>
                <w:lang w:val="en"/>
              </w:rPr>
              <w:t>checksum</w:t>
            </w:r>
            <w:r w:rsidRPr="002966AB">
              <w:rPr>
                <w:lang w:val="en"/>
              </w:rPr>
              <w:t xml:space="preserve"> is</w:t>
            </w:r>
            <w:r w:rsidRPr="00003E41">
              <w:t xml:space="preserve"> </w:t>
            </w:r>
            <w:r>
              <w:t>a</w:t>
            </w:r>
            <w:r w:rsidRPr="00003E41">
              <w:t xml:space="preserve"> simple error-detection scheme in which each transmitted message is accompanied by a numerical value based on the number of set bits in the message.</w:t>
            </w:r>
            <w:r>
              <w:t xml:space="preserve"> </w:t>
            </w:r>
            <w:r w:rsidRPr="00003E41">
              <w:t xml:space="preserve"> The receiving station then applies the same formula to the message and checks to make sure the accompanying numerical value is the same. </w:t>
            </w:r>
            <w:r>
              <w:t xml:space="preserve"> If it’s the same, the receiver can </w:t>
            </w:r>
            <w:r w:rsidRPr="002966AB">
              <w:rPr>
                <w:lang w:val="en"/>
              </w:rPr>
              <w:t>conclude that the message was probably not corrupted.</w:t>
            </w:r>
            <w:r w:rsidRPr="00003E41">
              <w:t xml:space="preserve"> </w:t>
            </w:r>
            <w:r w:rsidR="006954A9">
              <w:t xml:space="preserve"> </w:t>
            </w:r>
            <w:r w:rsidRPr="00003E41">
              <w:t>If not, the receiver can assume the message has been garbled.</w:t>
            </w:r>
          </w:p>
        </w:tc>
      </w:tr>
      <w:tr w:rsidR="00247025" w14:paraId="7293ADF3" w14:textId="7777777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14:paraId="121612E8" w14:textId="77777777" w:rsidR="00247025" w:rsidRDefault="00247025">
            <w:pPr>
              <w:pStyle w:val="TABLEROW"/>
            </w:pPr>
            <w:r>
              <w:t>Mailman</w:t>
            </w:r>
          </w:p>
        </w:tc>
        <w:tc>
          <w:tcPr>
            <w:tcW w:w="7597" w:type="dxa"/>
          </w:tcPr>
          <w:p w14:paraId="73DFFA56" w14:textId="77777777" w:rsidR="00247025" w:rsidRDefault="001461E1">
            <w:pPr>
              <w:pStyle w:val="TABLEROW"/>
            </w:pPr>
            <w:r w:rsidRPr="001461E1">
              <w:t xml:space="preserve">The Kernel module that provides a mechanism for handling electronic communication, whether it is user-oriented mail messages, automatic firing of </w:t>
            </w:r>
            <w:r w:rsidR="00AC72C9" w:rsidRPr="001461E1">
              <w:t>bulletins</w:t>
            </w:r>
            <w:r w:rsidRPr="001461E1">
              <w:t xml:space="preserve"> or initiation of server-handled data transmissions.</w:t>
            </w:r>
          </w:p>
        </w:tc>
      </w:tr>
      <w:tr w:rsidR="001D6F07" w:rsidRPr="00247025" w14:paraId="0240CC51" w14:textId="7777777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14:paraId="26853518" w14:textId="77777777" w:rsidR="001D6F07" w:rsidRPr="001D6F07" w:rsidRDefault="001D6F07">
            <w:pPr>
              <w:pStyle w:val="TABLEROW"/>
            </w:pPr>
            <w:r w:rsidRPr="001D6F07">
              <w:t>Kernel</w:t>
            </w:r>
          </w:p>
        </w:tc>
        <w:tc>
          <w:tcPr>
            <w:tcW w:w="7597" w:type="dxa"/>
          </w:tcPr>
          <w:p w14:paraId="5F52B042" w14:textId="77777777" w:rsidR="001D6F07" w:rsidRPr="001D6F07" w:rsidRDefault="001D6F07">
            <w:pPr>
              <w:pStyle w:val="TABLEROW"/>
            </w:pPr>
            <w:r w:rsidRPr="001D6F07">
              <w:t xml:space="preserve">Kernel provides shared services for </w:t>
            </w:r>
            <w:smartTag w:uri="urn:schemas-microsoft-com:office:smarttags" w:element="place">
              <w:r w:rsidRPr="001D6F07">
                <w:t>VistA</w:t>
              </w:r>
            </w:smartTag>
            <w:r w:rsidRPr="001D6F07">
              <w:t xml:space="preserve"> applications, resulting in reduced development costs and a common user interface. In addition, it provides system management tools for managing and securing </w:t>
            </w:r>
            <w:smartTag w:uri="urn:schemas-microsoft-com:office:smarttags" w:element="place">
              <w:r w:rsidRPr="001D6F07">
                <w:t>VistA</w:t>
              </w:r>
            </w:smartTag>
            <w:r w:rsidRPr="001D6F07">
              <w:t xml:space="preserve"> computer systems.</w:t>
            </w:r>
            <w:r>
              <w:t xml:space="preserve">  </w:t>
            </w:r>
            <w:r w:rsidRPr="001D6F07">
              <w:t>Kernel also provides a portability layer between the underlying operating system and application code.</w:t>
            </w:r>
          </w:p>
        </w:tc>
      </w:tr>
      <w:tr w:rsidR="00DF4400" w14:paraId="36D28234" w14:textId="7777777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14:paraId="0AEAE7F7" w14:textId="77777777" w:rsidR="00DF4400" w:rsidRDefault="00DF4400">
            <w:pPr>
              <w:pStyle w:val="TABLEROW"/>
            </w:pPr>
            <w:r>
              <w:t>HEC Legacy System</w:t>
            </w:r>
          </w:p>
        </w:tc>
        <w:tc>
          <w:tcPr>
            <w:tcW w:w="7597" w:type="dxa"/>
          </w:tcPr>
          <w:p w14:paraId="70D1AC79" w14:textId="77777777" w:rsidR="00DF4400" w:rsidRDefault="00DF4400">
            <w:pPr>
              <w:pStyle w:val="TABLEROW"/>
            </w:pPr>
            <w:r>
              <w:t>M-based database currently in use</w:t>
            </w:r>
          </w:p>
        </w:tc>
      </w:tr>
      <w:tr w:rsidR="00247025" w14:paraId="503D60D1" w14:textId="77777777">
        <w:tblPrEx>
          <w:tblCellMar>
            <w:top w:w="0" w:type="dxa"/>
            <w:bottom w:w="0" w:type="dxa"/>
          </w:tblCellMar>
        </w:tblPrEx>
        <w:tc>
          <w:tcPr>
            <w:tcW w:w="1961" w:type="dxa"/>
          </w:tcPr>
          <w:p w14:paraId="44D9D0F1" w14:textId="77777777" w:rsidR="00247025" w:rsidRDefault="00247025">
            <w:pPr>
              <w:pStyle w:val="TABLEROW"/>
            </w:pPr>
            <w:r>
              <w:t>Taskman</w:t>
            </w:r>
          </w:p>
        </w:tc>
        <w:tc>
          <w:tcPr>
            <w:tcW w:w="7597" w:type="dxa"/>
          </w:tcPr>
          <w:p w14:paraId="73319566" w14:textId="77777777" w:rsidR="00247025" w:rsidRDefault="00330C5F">
            <w:pPr>
              <w:pStyle w:val="TABLEROW"/>
            </w:pPr>
            <w:r>
              <w:t xml:space="preserve">Taskman is an API utility within the Kernel that allows scheduling background jobs to run automatically in the </w:t>
            </w:r>
            <w:smartTag w:uri="urn:schemas-microsoft-com:office:smarttags" w:element="place">
              <w:r>
                <w:t>VistA</w:t>
              </w:r>
            </w:smartTag>
            <w:r>
              <w:t xml:space="preserve"> environment (a.k.a. Task Manager).</w:t>
            </w:r>
          </w:p>
        </w:tc>
      </w:tr>
    </w:tbl>
    <w:p w14:paraId="5DB80804" w14:textId="77777777" w:rsidR="00DF4400" w:rsidRDefault="00DF4400"/>
    <w:p w14:paraId="78187657" w14:textId="77777777" w:rsidR="00DF4400" w:rsidRDefault="00DF4400">
      <w:pPr>
        <w:pStyle w:val="Heading4"/>
        <w:sectPr w:rsidR="00DF440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D80CF3B" w14:textId="77777777" w:rsidR="00DF4400" w:rsidRDefault="00DF4400" w:rsidP="000C7997">
      <w:pPr>
        <w:pStyle w:val="Heading1"/>
      </w:pPr>
      <w:bookmarkStart w:id="8" w:name="_Toc68499641"/>
      <w:bookmarkStart w:id="9" w:name="_Toc146445831"/>
      <w:r>
        <w:lastRenderedPageBreak/>
        <w:t>New Features, Functions, and Enhancements</w:t>
      </w:r>
      <w:bookmarkEnd w:id="8"/>
      <w:bookmarkEnd w:id="9"/>
    </w:p>
    <w:p w14:paraId="319AEC5E" w14:textId="77777777" w:rsidR="00247025" w:rsidRDefault="00247025" w:rsidP="00247025"/>
    <w:p w14:paraId="1F6A9523" w14:textId="77777777" w:rsidR="002C58B1" w:rsidRDefault="00AF3DB1">
      <w:r w:rsidRPr="00AF3DB1">
        <w:t>Th</w:t>
      </w:r>
      <w:r>
        <w:t>is</w:t>
      </w:r>
      <w:r w:rsidRPr="00AF3DB1">
        <w:t xml:space="preserve"> project provide</w:t>
      </w:r>
      <w:r w:rsidR="00CE75A2">
        <w:t>s</w:t>
      </w:r>
      <w:r w:rsidRPr="00AF3DB1">
        <w:t xml:space="preserve"> the functionality to address both the reconciliation of duplicate </w:t>
      </w:r>
      <w:r w:rsidR="000C7997">
        <w:t>(</w:t>
      </w:r>
      <w:r w:rsidRPr="00AF3DB1">
        <w:t>or matching</w:t>
      </w:r>
      <w:r w:rsidR="000C7997">
        <w:t>)</w:t>
      </w:r>
      <w:r w:rsidRPr="00AF3DB1">
        <w:t xml:space="preserve"> ICNs in the HEC Legacy application and the identification of discrepant, or non-matching, ICNs.  </w:t>
      </w:r>
      <w:r w:rsidR="00CE75A2" w:rsidRPr="00CE75A2">
        <w:t xml:space="preserve">This project executes functionality that allows the patient records in the IVM Master Client file (#300.12) to receive an Integration Control Number, an ICN Checksum, and a </w:t>
      </w:r>
      <w:r w:rsidR="006512FC">
        <w:t>CIRN Master of Record (</w:t>
      </w:r>
      <w:r w:rsidR="00CE75A2" w:rsidRPr="00CE75A2">
        <w:t>CMOR</w:t>
      </w:r>
      <w:r w:rsidR="006512FC">
        <w:t>)</w:t>
      </w:r>
      <w:r w:rsidR="00CE75A2" w:rsidRPr="00CE75A2">
        <w:t xml:space="preserve"> value when the IVM Client Income file (#300.13) data show duplicate or matching ICNs and other defined criteria ha</w:t>
      </w:r>
      <w:r w:rsidR="006512FC">
        <w:t>ve</w:t>
      </w:r>
      <w:r w:rsidR="00CE75A2" w:rsidRPr="00CE75A2">
        <w:t xml:space="preserve"> been met.</w:t>
      </w:r>
    </w:p>
    <w:p w14:paraId="56E82206" w14:textId="77777777" w:rsidR="0033264A" w:rsidRDefault="0033264A"/>
    <w:p w14:paraId="226E36DE" w14:textId="77777777" w:rsidR="0033264A" w:rsidRDefault="0033264A">
      <w:r w:rsidRPr="0033264A">
        <w:t xml:space="preserve">An automatic email bulletin generates the number of records </w:t>
      </w:r>
      <w:r>
        <w:t xml:space="preserve">that were </w:t>
      </w:r>
      <w:r w:rsidRPr="0033264A">
        <w:t>processed by the data clean-up activity.</w:t>
      </w:r>
    </w:p>
    <w:p w14:paraId="793BB1B2" w14:textId="77777777" w:rsidR="002C58B1" w:rsidRDefault="002C58B1"/>
    <w:p w14:paraId="021CEBB6" w14:textId="77777777" w:rsidR="009E3B63" w:rsidRDefault="00AF3DB1" w:rsidP="00B176C9">
      <w:r w:rsidRPr="00AF3DB1">
        <w:t>The project also implement</w:t>
      </w:r>
      <w:r w:rsidR="00CE75A2">
        <w:t>s</w:t>
      </w:r>
      <w:r w:rsidRPr="00AF3DB1">
        <w:t xml:space="preserve"> report-generation </w:t>
      </w:r>
      <w:bookmarkStart w:id="10" w:name="OLE_LINK3"/>
      <w:bookmarkStart w:id="11" w:name="OLE_LINK4"/>
      <w:r w:rsidRPr="00AF3DB1">
        <w:t>mechanisms</w:t>
      </w:r>
      <w:bookmarkEnd w:id="10"/>
      <w:bookmarkEnd w:id="11"/>
      <w:r w:rsidRPr="00AF3DB1">
        <w:t xml:space="preserve">.  When the patient records in </w:t>
      </w:r>
      <w:r w:rsidR="009E3B63">
        <w:t xml:space="preserve">the </w:t>
      </w:r>
      <w:r w:rsidRPr="00AF3DB1">
        <w:t xml:space="preserve">IVM Master Client file (#300.12) do not receive an Integration Control Number, an ICN Checksum, or a CMOR value because the IVM Client Income file (#300.13) data showed discrepant site information, the patient information and the discrepant information </w:t>
      </w:r>
      <w:r w:rsidR="00E41715">
        <w:t>are</w:t>
      </w:r>
      <w:r w:rsidRPr="00AF3DB1">
        <w:t xml:space="preserve"> listed for resolution activities.</w:t>
      </w:r>
      <w:r w:rsidR="00E41715">
        <w:t xml:space="preserve">  </w:t>
      </w:r>
      <w:r w:rsidR="009E3B63">
        <w:t xml:space="preserve">The new report option is labeled as </w:t>
      </w:r>
      <w:r w:rsidR="009E3B63" w:rsidRPr="00B176C9">
        <w:t>DQ ICN RECONCILIATION RPT</w:t>
      </w:r>
      <w:r w:rsidR="009E3B63">
        <w:rPr>
          <w:szCs w:val="20"/>
        </w:rPr>
        <w:t>.</w:t>
      </w:r>
    </w:p>
    <w:p w14:paraId="2A8B43EA" w14:textId="77777777" w:rsidR="00CE75A2" w:rsidRDefault="00CE75A2"/>
    <w:p w14:paraId="3BB93496" w14:textId="77777777" w:rsidR="00853164" w:rsidRDefault="00853164">
      <w:r w:rsidRPr="00853164">
        <w:t>The features of the Post MPI Enumeration Support project include the following:</w:t>
      </w:r>
    </w:p>
    <w:p w14:paraId="4B234166" w14:textId="77777777" w:rsidR="00853164" w:rsidRDefault="00853164"/>
    <w:p w14:paraId="2290B6E8" w14:textId="77777777" w:rsidR="00853164" w:rsidRDefault="00853164" w:rsidP="00853164">
      <w:pPr>
        <w:numPr>
          <w:ilvl w:val="0"/>
          <w:numId w:val="7"/>
        </w:numPr>
      </w:pPr>
      <w:r w:rsidRPr="00853164">
        <w:rPr>
          <w:u w:val="single"/>
        </w:rPr>
        <w:t>Data Clean-up</w:t>
      </w:r>
      <w:r>
        <w:t xml:space="preserve"> – </w:t>
      </w:r>
      <w:r w:rsidR="00DF43F5">
        <w:t>A</w:t>
      </w:r>
      <w:r w:rsidRPr="00853164">
        <w:t>utomatic</w:t>
      </w:r>
      <w:r w:rsidR="00DF43F5">
        <w:t>ally</w:t>
      </w:r>
      <w:r w:rsidRPr="00853164">
        <w:t xml:space="preserve"> update</w:t>
      </w:r>
      <w:r w:rsidR="00DF43F5">
        <w:t>s</w:t>
      </w:r>
      <w:r w:rsidRPr="00853164">
        <w:t xml:space="preserve"> the unique Integration Control Number (ICN), the ICN Checksum, and the CMOR in the IVM Master Client file (#300.12) when all site-transmitted ICNs </w:t>
      </w:r>
      <w:proofErr w:type="gramStart"/>
      <w:r w:rsidRPr="00853164">
        <w:t>are in agreement</w:t>
      </w:r>
      <w:proofErr w:type="gramEnd"/>
      <w:r w:rsidRPr="00853164">
        <w:t xml:space="preserve"> (i.e.: match) and other defined business rules are satisfied.</w:t>
      </w:r>
      <w:r w:rsidR="00DF43F5">
        <w:t xml:space="preserve"> </w:t>
      </w:r>
      <w:r w:rsidRPr="00853164">
        <w:t xml:space="preserve"> </w:t>
      </w:r>
      <w:r w:rsidR="00DF43F5">
        <w:t>P</w:t>
      </w:r>
      <w:r w:rsidRPr="00853164">
        <w:t>rovides the ability to re-execute the data clean-up routine(s).</w:t>
      </w:r>
    </w:p>
    <w:p w14:paraId="24C59562" w14:textId="77777777" w:rsidR="00EB1FB9" w:rsidRDefault="00EB1FB9" w:rsidP="00EB1FB9"/>
    <w:p w14:paraId="4B00A5CB" w14:textId="2D8B2C14" w:rsidR="00853164" w:rsidRDefault="00EB1FB9" w:rsidP="00853164">
      <w:pPr>
        <w:numPr>
          <w:ilvl w:val="0"/>
          <w:numId w:val="7"/>
        </w:numPr>
      </w:pPr>
      <w:r w:rsidRPr="00E3796C">
        <w:rPr>
          <w:u w:val="single"/>
        </w:rPr>
        <w:t>Automatic Bulletin Generation</w:t>
      </w:r>
      <w:r>
        <w:t xml:space="preserve"> – </w:t>
      </w:r>
      <w:r w:rsidRPr="00EB1FB9">
        <w:t>Report</w:t>
      </w:r>
      <w:r w:rsidR="00C456FB">
        <w:t>s</w:t>
      </w:r>
      <w:r w:rsidRPr="00EB1FB9">
        <w:t>/email</w:t>
      </w:r>
      <w:r w:rsidR="00C456FB">
        <w:t>s</w:t>
      </w:r>
      <w:r w:rsidRPr="00EB1FB9">
        <w:t xml:space="preserve"> the </w:t>
      </w:r>
      <w:r w:rsidR="00D9588C" w:rsidRPr="00D9588C">
        <w:t>statistics</w:t>
      </w:r>
      <w:r w:rsidR="00D9588C">
        <w:t xml:space="preserve"> from</w:t>
      </w:r>
      <w:r w:rsidRPr="00EB1FB9">
        <w:t xml:space="preserve"> the data clean-up activity.</w:t>
      </w:r>
      <w:r w:rsidR="00EB6B31">
        <w:t xml:space="preserve">  </w:t>
      </w:r>
      <w:r w:rsidR="00350AEF">
        <w:t>The</w:t>
      </w:r>
      <w:r w:rsidR="00EB6B31" w:rsidRPr="00EB6B31">
        <w:t xml:space="preserve"> bulletin </w:t>
      </w:r>
      <w:r w:rsidR="00EB6B31">
        <w:t>is sent to</w:t>
      </w:r>
      <w:r w:rsidR="00EB6B31" w:rsidRPr="00EB6B31">
        <w:t xml:space="preserve"> the user </w:t>
      </w:r>
      <w:r w:rsidR="00EB6B31">
        <w:t>initiating</w:t>
      </w:r>
      <w:r w:rsidR="00EB6B31" w:rsidRPr="00EB6B31">
        <w:t xml:space="preserve"> the data clean-up activity.</w:t>
      </w:r>
      <w:r w:rsidR="008972CB">
        <w:t xml:space="preserve">  A mockup may be viewed in the SRS (</w:t>
      </w:r>
      <w:r w:rsidR="008972CB" w:rsidRPr="008972CB">
        <w:rPr>
          <w:i/>
        </w:rPr>
        <w:t>see</w:t>
      </w:r>
      <w:r w:rsidR="008972CB">
        <w:t xml:space="preserve"> </w:t>
      </w:r>
      <w:r w:rsidR="00F81A38" w:rsidRPr="00F81A38">
        <w:rPr>
          <w:color w:val="0000FF"/>
        </w:rPr>
        <w:fldChar w:fldCharType="begin"/>
      </w:r>
      <w:r w:rsidR="00F81A38" w:rsidRPr="00F81A38">
        <w:rPr>
          <w:color w:val="0000FF"/>
        </w:rPr>
        <w:instrText xml:space="preserve"> REF _Ref143409980 \h </w:instrText>
      </w:r>
      <w:r w:rsidR="00F81A38">
        <w:rPr>
          <w:color w:val="0000FF"/>
        </w:rPr>
        <w:instrText xml:space="preserve"> \* MERGEFORMAT </w:instrText>
      </w:r>
      <w:r w:rsidR="00F81A38" w:rsidRPr="00F81A38">
        <w:rPr>
          <w:color w:val="0000FF"/>
        </w:rPr>
        <w:fldChar w:fldCharType="separate"/>
      </w:r>
      <w:r w:rsidR="00FC4BC8">
        <w:rPr>
          <w:b/>
          <w:bCs/>
          <w:color w:val="0000FF"/>
        </w:rPr>
        <w:t>Error! Reference source not found.</w:t>
      </w:r>
      <w:r w:rsidR="00F81A38" w:rsidRPr="00F81A38">
        <w:rPr>
          <w:color w:val="0000FF"/>
        </w:rPr>
        <w:fldChar w:fldCharType="end"/>
      </w:r>
      <w:r w:rsidR="008972CB">
        <w:t>).</w:t>
      </w:r>
    </w:p>
    <w:p w14:paraId="72E54ABD" w14:textId="77777777" w:rsidR="00C456FB" w:rsidRDefault="00C456FB" w:rsidP="00C456FB"/>
    <w:p w14:paraId="61712760" w14:textId="77777777" w:rsidR="00C456FB" w:rsidRDefault="00860F7D" w:rsidP="00853164">
      <w:pPr>
        <w:numPr>
          <w:ilvl w:val="0"/>
          <w:numId w:val="7"/>
        </w:numPr>
      </w:pPr>
      <w:r w:rsidRPr="00860F7D">
        <w:rPr>
          <w:u w:val="single"/>
        </w:rPr>
        <w:t>Data Storage</w:t>
      </w:r>
      <w:r>
        <w:t xml:space="preserve"> –</w:t>
      </w:r>
      <w:r w:rsidR="00D9588C">
        <w:t xml:space="preserve"> S</w:t>
      </w:r>
      <w:r>
        <w:t>tor</w:t>
      </w:r>
      <w:r w:rsidR="00D9588C">
        <w:t>es</w:t>
      </w:r>
      <w:r w:rsidRPr="00860F7D">
        <w:t xml:space="preserve"> the appropriate patient identifying information for those patient records </w:t>
      </w:r>
      <w:r>
        <w:t>where all the site-</w:t>
      </w:r>
      <w:r w:rsidRPr="00860F7D">
        <w:t xml:space="preserve">transmitted ICNs are </w:t>
      </w:r>
      <w:r w:rsidRPr="00860F7D">
        <w:rPr>
          <w:u w:val="single"/>
        </w:rPr>
        <w:t>not</w:t>
      </w:r>
      <w:r w:rsidRPr="00860F7D">
        <w:t xml:space="preserve"> in agreement (i.e.: discrepant or Null)</w:t>
      </w:r>
      <w:r>
        <w:t xml:space="preserve"> or where the site-</w:t>
      </w:r>
      <w:r w:rsidRPr="00860F7D">
        <w:t xml:space="preserve">transmitted ICNs </w:t>
      </w:r>
      <w:r w:rsidRPr="00860F7D">
        <w:rPr>
          <w:u w:val="single"/>
        </w:rPr>
        <w:t>are</w:t>
      </w:r>
      <w:r w:rsidRPr="00860F7D">
        <w:t xml:space="preserve"> in agreement, but the associated IVM Client Income (#300.13) SSNs </w:t>
      </w:r>
      <w:r>
        <w:t>are</w:t>
      </w:r>
      <w:r w:rsidRPr="00860F7D">
        <w:t xml:space="preserve"> </w:t>
      </w:r>
      <w:r w:rsidRPr="00860F7D">
        <w:rPr>
          <w:u w:val="single"/>
        </w:rPr>
        <w:t>not</w:t>
      </w:r>
      <w:r w:rsidRPr="00860F7D">
        <w:t xml:space="preserve"> in agreement with the IVM Master Client (#300.12) SSN for the patient.</w:t>
      </w:r>
    </w:p>
    <w:p w14:paraId="4D006B4F" w14:textId="77777777" w:rsidR="00E44C21" w:rsidRDefault="00E44C21" w:rsidP="00E44C21"/>
    <w:p w14:paraId="2421A2F2" w14:textId="77777777" w:rsidR="000C7997" w:rsidRPr="000C7997" w:rsidRDefault="00E44C21" w:rsidP="00853164">
      <w:pPr>
        <w:numPr>
          <w:ilvl w:val="0"/>
          <w:numId w:val="7"/>
        </w:numPr>
        <w:rPr>
          <w:u w:val="single"/>
        </w:rPr>
      </w:pPr>
      <w:r w:rsidRPr="00E44C21">
        <w:rPr>
          <w:u w:val="single"/>
        </w:rPr>
        <w:t>Report Generation and User Interface Changes</w:t>
      </w:r>
      <w:r>
        <w:t xml:space="preserve"> – </w:t>
      </w:r>
      <w:r w:rsidRPr="00E44C21">
        <w:t>Provide</w:t>
      </w:r>
      <w:r>
        <w:t>s</w:t>
      </w:r>
      <w:r w:rsidRPr="00E44C21">
        <w:t xml:space="preserve"> a </w:t>
      </w:r>
      <w:r>
        <w:t xml:space="preserve">new </w:t>
      </w:r>
      <w:r w:rsidRPr="00E44C21">
        <w:t xml:space="preserve">menu option to </w:t>
      </w:r>
      <w:r>
        <w:t>access an</w:t>
      </w:r>
      <w:r w:rsidRPr="00E44C21">
        <w:t xml:space="preserve"> on-demand report of the patient records where the site transmitted ICNs </w:t>
      </w:r>
      <w:r>
        <w:t>are</w:t>
      </w:r>
      <w:r w:rsidRPr="00E44C21">
        <w:t xml:space="preserve"> </w:t>
      </w:r>
      <w:r w:rsidRPr="00E44C21">
        <w:rPr>
          <w:u w:val="single"/>
        </w:rPr>
        <w:t>not</w:t>
      </w:r>
      <w:r w:rsidRPr="00E44C21">
        <w:t xml:space="preserve"> in agreement (i.e.: discrepant or Null) or where the site transmitted ICNs </w:t>
      </w:r>
      <w:r w:rsidRPr="00E44C21">
        <w:rPr>
          <w:u w:val="single"/>
        </w:rPr>
        <w:t>are</w:t>
      </w:r>
      <w:r w:rsidRPr="00E44C21">
        <w:t xml:space="preserve"> in agreement, but the associated IVM Client Income (#300.13) SSNs </w:t>
      </w:r>
      <w:r>
        <w:t>are</w:t>
      </w:r>
      <w:r w:rsidRPr="00E44C21">
        <w:t xml:space="preserve"> </w:t>
      </w:r>
      <w:r w:rsidRPr="00E44C21">
        <w:rPr>
          <w:u w:val="single"/>
        </w:rPr>
        <w:t>not</w:t>
      </w:r>
      <w:r w:rsidRPr="00E44C21">
        <w:t xml:space="preserve"> in agreement with the IVM Master Client (#300.12) SSN for the patient.</w:t>
      </w:r>
    </w:p>
    <w:p w14:paraId="3974F14F" w14:textId="77777777" w:rsidR="000C7997" w:rsidRDefault="000C7997" w:rsidP="000C7997"/>
    <w:p w14:paraId="565A43E8" w14:textId="77777777" w:rsidR="00E44C21" w:rsidRPr="006403C5" w:rsidRDefault="00670689" w:rsidP="000C7997">
      <w:pPr>
        <w:ind w:left="720"/>
        <w:rPr>
          <w:u w:val="single"/>
        </w:rPr>
      </w:pPr>
      <w:r>
        <w:t xml:space="preserve">This new option is </w:t>
      </w:r>
      <w:r w:rsidRPr="00EB2DE1">
        <w:rPr>
          <w:color w:val="000000"/>
          <w:szCs w:val="20"/>
        </w:rPr>
        <w:t xml:space="preserve">labeled as </w:t>
      </w:r>
      <w:r w:rsidRPr="000C7997">
        <w:t>DQ ICN RECONCILIATION RPT.</w:t>
      </w:r>
      <w:r>
        <w:rPr>
          <w:color w:val="000000"/>
          <w:szCs w:val="20"/>
        </w:rPr>
        <w:t xml:space="preserve">  The results may be viewed on the user’s screen or sent to a printer.</w:t>
      </w:r>
      <w:r w:rsidR="008B5D86">
        <w:rPr>
          <w:color w:val="000000"/>
          <w:szCs w:val="20"/>
        </w:rPr>
        <w:t xml:space="preserve">  The report may be sorted a</w:t>
      </w:r>
      <w:r w:rsidR="008B5D86" w:rsidRPr="008B5D86">
        <w:rPr>
          <w:color w:val="000000"/>
          <w:szCs w:val="20"/>
        </w:rPr>
        <w:t>lphabetically by Patient Name (Last Name, First Name, MI)</w:t>
      </w:r>
      <w:r w:rsidR="008B5D86">
        <w:rPr>
          <w:color w:val="000000"/>
          <w:szCs w:val="20"/>
        </w:rPr>
        <w:t xml:space="preserve"> or by Social security Number.</w:t>
      </w:r>
      <w:r w:rsidR="00A129D1">
        <w:rPr>
          <w:color w:val="000000"/>
          <w:szCs w:val="20"/>
        </w:rPr>
        <w:t xml:space="preserve">  </w:t>
      </w:r>
      <w:r w:rsidR="00A129D1">
        <w:rPr>
          <w:color w:val="000000"/>
          <w:szCs w:val="20"/>
        </w:rPr>
        <w:lastRenderedPageBreak/>
        <w:t xml:space="preserve">Additionally, the report may be </w:t>
      </w:r>
      <w:r w:rsidR="00677197">
        <w:rPr>
          <w:color w:val="000000"/>
          <w:szCs w:val="20"/>
        </w:rPr>
        <w:t xml:space="preserve">generated for one, some or </w:t>
      </w:r>
      <w:proofErr w:type="gramStart"/>
      <w:r w:rsidR="00677197">
        <w:rPr>
          <w:color w:val="000000"/>
          <w:szCs w:val="20"/>
        </w:rPr>
        <w:t>all</w:t>
      </w:r>
      <w:r w:rsidR="00A129D1">
        <w:rPr>
          <w:color w:val="000000"/>
          <w:szCs w:val="20"/>
        </w:rPr>
        <w:t xml:space="preserve"> of</w:t>
      </w:r>
      <w:proofErr w:type="gramEnd"/>
      <w:r w:rsidR="00A129D1">
        <w:rPr>
          <w:color w:val="000000"/>
          <w:szCs w:val="20"/>
        </w:rPr>
        <w:t xml:space="preserve"> the </w:t>
      </w:r>
      <w:r w:rsidR="006403C5">
        <w:rPr>
          <w:color w:val="000000"/>
          <w:szCs w:val="20"/>
        </w:rPr>
        <w:t xml:space="preserve">following </w:t>
      </w:r>
      <w:r w:rsidR="00A129D1">
        <w:rPr>
          <w:color w:val="000000"/>
          <w:szCs w:val="20"/>
        </w:rPr>
        <w:t>Discrepancy Types</w:t>
      </w:r>
      <w:r w:rsidR="006403C5">
        <w:rPr>
          <w:color w:val="000000"/>
          <w:szCs w:val="20"/>
        </w:rPr>
        <w:t>:</w:t>
      </w:r>
    </w:p>
    <w:p w14:paraId="5FEBFDCF" w14:textId="77777777" w:rsidR="006403C5" w:rsidRPr="006403C5" w:rsidRDefault="006403C5" w:rsidP="006403C5">
      <w:pPr>
        <w:numPr>
          <w:ilvl w:val="0"/>
          <w:numId w:val="10"/>
        </w:numPr>
        <w:tabs>
          <w:tab w:val="clear" w:pos="-720"/>
          <w:tab w:val="num" w:pos="1440"/>
        </w:tabs>
        <w:ind w:left="1440"/>
        <w:rPr>
          <w:sz w:val="22"/>
          <w:szCs w:val="22"/>
        </w:rPr>
      </w:pPr>
      <w:r w:rsidRPr="006403C5">
        <w:rPr>
          <w:sz w:val="22"/>
          <w:szCs w:val="22"/>
        </w:rPr>
        <w:t>1-Active Site(s) with Null ICN(s)</w:t>
      </w:r>
    </w:p>
    <w:p w14:paraId="7B74E8EE" w14:textId="77777777" w:rsidR="006403C5" w:rsidRPr="006403C5" w:rsidRDefault="006403C5" w:rsidP="006403C5">
      <w:pPr>
        <w:numPr>
          <w:ilvl w:val="0"/>
          <w:numId w:val="10"/>
        </w:numPr>
        <w:tabs>
          <w:tab w:val="clear" w:pos="-720"/>
          <w:tab w:val="num" w:pos="1440"/>
        </w:tabs>
        <w:ind w:left="1440"/>
        <w:rPr>
          <w:sz w:val="22"/>
          <w:szCs w:val="22"/>
        </w:rPr>
      </w:pPr>
      <w:r w:rsidRPr="006403C5">
        <w:rPr>
          <w:sz w:val="22"/>
          <w:szCs w:val="22"/>
        </w:rPr>
        <w:t>2-ICNs Do Not Match (No Null ICN(s))</w:t>
      </w:r>
    </w:p>
    <w:p w14:paraId="4F18E088" w14:textId="77777777" w:rsidR="006403C5" w:rsidRPr="006403C5" w:rsidRDefault="006403C5" w:rsidP="006403C5">
      <w:pPr>
        <w:numPr>
          <w:ilvl w:val="0"/>
          <w:numId w:val="10"/>
        </w:numPr>
        <w:tabs>
          <w:tab w:val="clear" w:pos="-720"/>
          <w:tab w:val="num" w:pos="1440"/>
        </w:tabs>
        <w:ind w:left="1440"/>
        <w:rPr>
          <w:sz w:val="22"/>
          <w:szCs w:val="22"/>
        </w:rPr>
      </w:pPr>
      <w:r w:rsidRPr="006403C5">
        <w:rPr>
          <w:sz w:val="22"/>
          <w:szCs w:val="22"/>
        </w:rPr>
        <w:t>3-SSNs Do Not Match (ICNs Match)</w:t>
      </w:r>
    </w:p>
    <w:p w14:paraId="086A94CE" w14:textId="77777777" w:rsidR="006403C5" w:rsidRPr="006403C5" w:rsidRDefault="006403C5" w:rsidP="006403C5">
      <w:pPr>
        <w:numPr>
          <w:ilvl w:val="0"/>
          <w:numId w:val="10"/>
        </w:numPr>
        <w:tabs>
          <w:tab w:val="clear" w:pos="-720"/>
          <w:tab w:val="num" w:pos="1440"/>
        </w:tabs>
        <w:ind w:left="1440"/>
        <w:rPr>
          <w:sz w:val="22"/>
          <w:szCs w:val="22"/>
        </w:rPr>
      </w:pPr>
      <w:r w:rsidRPr="006403C5">
        <w:rPr>
          <w:sz w:val="22"/>
          <w:szCs w:val="22"/>
        </w:rPr>
        <w:t>4-No Active Site(s)</w:t>
      </w:r>
    </w:p>
    <w:p w14:paraId="7BDB5CAD" w14:textId="77777777" w:rsidR="000B4DF2" w:rsidRDefault="000B4DF2" w:rsidP="000B4DF2">
      <w:pPr>
        <w:rPr>
          <w:u w:val="single"/>
        </w:rPr>
      </w:pPr>
    </w:p>
    <w:p w14:paraId="297F61BE" w14:textId="77777777" w:rsidR="000B4DF2" w:rsidRPr="001A79C5" w:rsidRDefault="000B4DF2" w:rsidP="00853164">
      <w:pPr>
        <w:numPr>
          <w:ilvl w:val="0"/>
          <w:numId w:val="7"/>
        </w:numPr>
      </w:pPr>
      <w:r w:rsidRPr="000B4DF2">
        <w:rPr>
          <w:u w:val="single"/>
        </w:rPr>
        <w:t>Disable Existing Person Merge HEC Legacy Options</w:t>
      </w:r>
      <w:r w:rsidRPr="000B4DF2">
        <w:t xml:space="preserve"> –</w:t>
      </w:r>
      <w:r>
        <w:t xml:space="preserve"> </w:t>
      </w:r>
      <w:r w:rsidR="001A79C5" w:rsidRPr="001A79C5">
        <w:t>Disable</w:t>
      </w:r>
      <w:r w:rsidR="001A79C5">
        <w:t>s</w:t>
      </w:r>
      <w:r w:rsidR="001A79C5" w:rsidRPr="001A79C5">
        <w:t xml:space="preserve"> existing person merge application options pertaining to the veteran, until the completion of the </w:t>
      </w:r>
      <w:r w:rsidR="00C44658" w:rsidRPr="00C44658">
        <w:rPr>
          <w:i/>
        </w:rPr>
        <w:t>Modify Duplicate Merge to Use ICN</w:t>
      </w:r>
      <w:r w:rsidR="00C043F7">
        <w:t xml:space="preserve"> project (IVMB*2*888</w:t>
      </w:r>
      <w:r w:rsidR="001A79C5" w:rsidRPr="001A79C5">
        <w:t xml:space="preserve">, </w:t>
      </w:r>
      <w:r w:rsidR="00CE3FF4" w:rsidRPr="00C74C05">
        <w:t xml:space="preserve">the </w:t>
      </w:r>
      <w:r w:rsidR="00CE3FF4">
        <w:rPr>
          <w:b/>
        </w:rPr>
        <w:t>fourth</w:t>
      </w:r>
      <w:r w:rsidR="00CE3FF4" w:rsidRPr="00C74C05">
        <w:t xml:space="preserve"> in </w:t>
      </w:r>
      <w:r w:rsidR="00CE3FF4">
        <w:t>the</w:t>
      </w:r>
      <w:r w:rsidR="00CE3FF4" w:rsidRPr="00C74C05">
        <w:t xml:space="preserve"> series of Enrollment Maintenance projects pertaining to the MPI enumeration activities</w:t>
      </w:r>
      <w:r w:rsidR="00C043F7">
        <w:t>)</w:t>
      </w:r>
      <w:r w:rsidR="00CE3FF4">
        <w:t>,</w:t>
      </w:r>
      <w:r w:rsidR="00CE3FF4" w:rsidRPr="001A79C5">
        <w:t xml:space="preserve"> </w:t>
      </w:r>
      <w:r w:rsidR="001A79C5" w:rsidRPr="001A79C5">
        <w:t>to prevent incorrect ICN assignments in the IVM Master Client file (#300.12).</w:t>
      </w:r>
    </w:p>
    <w:p w14:paraId="16D58A78" w14:textId="77777777" w:rsidR="00CE75A2" w:rsidRDefault="00CE75A2" w:rsidP="005F64B8">
      <w:bookmarkStart w:id="12" w:name="_GoBack"/>
      <w:bookmarkEnd w:id="12"/>
    </w:p>
    <w:sectPr w:rsidR="00CE75A2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517B" w14:textId="77777777" w:rsidR="00427715" w:rsidRDefault="00427715">
      <w:r>
        <w:separator/>
      </w:r>
    </w:p>
  </w:endnote>
  <w:endnote w:type="continuationSeparator" w:id="0">
    <w:p w14:paraId="0133B3C5" w14:textId="77777777" w:rsidR="00427715" w:rsidRDefault="0042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E9C3" w14:textId="77777777" w:rsidR="00DF4400" w:rsidRDefault="00DF4400">
    <w:pPr>
      <w:pStyle w:val="Footer"/>
      <w:rPr>
        <w:rStyle w:val="PageNumber"/>
      </w:rPr>
    </w:pPr>
    <w:r>
      <w:t>November 2002</w:t>
    </w:r>
    <w:r>
      <w:tab/>
      <w:t>GMT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5ED2B9C6" w14:textId="77777777" w:rsidR="00DF4400" w:rsidRDefault="00DF4400">
    <w:pPr>
      <w:pStyle w:val="Footer"/>
    </w:pPr>
    <w:r>
      <w:rPr>
        <w:rStyle w:val="PageNumber"/>
      </w:rPr>
      <w:tab/>
      <w:t>IVMB*2*686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CF6E" w14:textId="77777777" w:rsidR="00DF4400" w:rsidRDefault="00F03226" w:rsidP="007D689C">
    <w:pPr>
      <w:pStyle w:val="Footer"/>
      <w:tabs>
        <w:tab w:val="clear" w:pos="4320"/>
        <w:tab w:val="center" w:pos="4680"/>
      </w:tabs>
      <w:rPr>
        <w:rStyle w:val="PageNumber"/>
      </w:rPr>
    </w:pPr>
    <w:r>
      <w:t>September</w:t>
    </w:r>
    <w:r w:rsidR="00DF4400">
      <w:t xml:space="preserve"> 200</w:t>
    </w:r>
    <w:r w:rsidR="00075715">
      <w:t>6</w:t>
    </w:r>
    <w:r w:rsidR="00DF4400">
      <w:tab/>
    </w:r>
    <w:r w:rsidR="00175E6F" w:rsidRPr="009B2B40">
      <w:t>Post MPI Enumeration Support</w:t>
    </w:r>
    <w:r w:rsidR="00DF4400">
      <w:t xml:space="preserve"> Release Notes</w:t>
    </w:r>
    <w:r w:rsidR="00DF4400">
      <w:tab/>
    </w:r>
    <w:r w:rsidR="00DF4400">
      <w:rPr>
        <w:rStyle w:val="PageNumber"/>
      </w:rPr>
      <w:fldChar w:fldCharType="begin"/>
    </w:r>
    <w:r w:rsidR="00DF4400">
      <w:rPr>
        <w:rStyle w:val="PageNumber"/>
      </w:rPr>
      <w:instrText xml:space="preserve"> PAGE </w:instrText>
    </w:r>
    <w:r w:rsidR="00DF4400">
      <w:rPr>
        <w:rStyle w:val="PageNumber"/>
      </w:rPr>
      <w:fldChar w:fldCharType="separate"/>
    </w:r>
    <w:r w:rsidR="00AC72C9">
      <w:rPr>
        <w:rStyle w:val="PageNumber"/>
        <w:noProof/>
      </w:rPr>
      <w:t>i</w:t>
    </w:r>
    <w:r w:rsidR="00DF4400">
      <w:rPr>
        <w:rStyle w:val="PageNumber"/>
      </w:rPr>
      <w:fldChar w:fldCharType="end"/>
    </w:r>
  </w:p>
  <w:p w14:paraId="388D87AD" w14:textId="77777777" w:rsidR="00DF4400" w:rsidRDefault="00DF4400">
    <w:pPr>
      <w:pStyle w:val="Footer"/>
      <w:tabs>
        <w:tab w:val="clear" w:pos="4320"/>
        <w:tab w:val="center" w:pos="4680"/>
      </w:tabs>
    </w:pPr>
    <w:r>
      <w:rPr>
        <w:rStyle w:val="PageNumber"/>
      </w:rPr>
      <w:tab/>
      <w:t>IVMB*2*</w:t>
    </w:r>
    <w:r w:rsidR="00175E6F">
      <w:rPr>
        <w:rStyle w:val="PageNumber"/>
      </w:rPr>
      <w:t>895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DA87" w14:textId="77777777" w:rsidR="00DF4400" w:rsidRDefault="00F03226" w:rsidP="007D689C">
    <w:pPr>
      <w:pStyle w:val="Footer"/>
      <w:tabs>
        <w:tab w:val="clear" w:pos="4320"/>
        <w:tab w:val="center" w:pos="4680"/>
      </w:tabs>
      <w:rPr>
        <w:rStyle w:val="PageNumber"/>
      </w:rPr>
    </w:pPr>
    <w:r>
      <w:t>September</w:t>
    </w:r>
    <w:r w:rsidR="00075715">
      <w:t xml:space="preserve"> 2006</w:t>
    </w:r>
    <w:r w:rsidR="00075715">
      <w:tab/>
    </w:r>
    <w:r w:rsidR="00175E6F" w:rsidRPr="00175E6F">
      <w:t>Post MPI Enumeration Support</w:t>
    </w:r>
    <w:r w:rsidR="00075715">
      <w:t xml:space="preserve"> Release Notes</w:t>
    </w:r>
    <w:r w:rsidR="00DF4400">
      <w:tab/>
    </w:r>
    <w:r w:rsidR="00DF4400">
      <w:rPr>
        <w:rStyle w:val="PageNumber"/>
      </w:rPr>
      <w:fldChar w:fldCharType="begin"/>
    </w:r>
    <w:r w:rsidR="00DF4400">
      <w:rPr>
        <w:rStyle w:val="PageNumber"/>
      </w:rPr>
      <w:instrText xml:space="preserve"> PAGE </w:instrText>
    </w:r>
    <w:r w:rsidR="00DF4400">
      <w:rPr>
        <w:rStyle w:val="PageNumber"/>
      </w:rPr>
      <w:fldChar w:fldCharType="separate"/>
    </w:r>
    <w:r w:rsidR="00AC72C9">
      <w:rPr>
        <w:rStyle w:val="PageNumber"/>
        <w:noProof/>
      </w:rPr>
      <w:t>3</w:t>
    </w:r>
    <w:r w:rsidR="00DF4400">
      <w:rPr>
        <w:rStyle w:val="PageNumber"/>
      </w:rPr>
      <w:fldChar w:fldCharType="end"/>
    </w:r>
  </w:p>
  <w:p w14:paraId="73323B31" w14:textId="77777777" w:rsidR="00DF4400" w:rsidRDefault="00DF4400">
    <w:pPr>
      <w:pStyle w:val="Footer"/>
      <w:tabs>
        <w:tab w:val="clear" w:pos="4320"/>
        <w:tab w:val="center" w:pos="4680"/>
      </w:tabs>
    </w:pPr>
    <w:r>
      <w:rPr>
        <w:rStyle w:val="PageNumber"/>
      </w:rPr>
      <w:tab/>
      <w:t>IVMB*2*</w:t>
    </w:r>
    <w:r w:rsidR="00175E6F">
      <w:rPr>
        <w:rStyle w:val="PageNumber"/>
      </w:rPr>
      <w:t>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E3E5" w14:textId="77777777" w:rsidR="00427715" w:rsidRDefault="00427715">
      <w:r>
        <w:separator/>
      </w:r>
    </w:p>
  </w:footnote>
  <w:footnote w:type="continuationSeparator" w:id="0">
    <w:p w14:paraId="281B6B83" w14:textId="77777777" w:rsidR="00427715" w:rsidRDefault="0042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1A78" w14:textId="77777777" w:rsidR="00DF4400" w:rsidRDefault="00DF4400">
    <w:pPr>
      <w:pStyle w:val="Header"/>
    </w:pPr>
    <w:r>
      <w:tab/>
    </w:r>
    <w:r w:rsidR="00F74483"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8788" w14:textId="77777777" w:rsidR="00DF4400" w:rsidRDefault="00F74483">
    <w:pPr>
      <w:pStyle w:val="Header"/>
    </w:pPr>
    <w:r>
      <w:tab/>
      <w:t>New Features, Functions, and Enhancements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66C"/>
    <w:multiLevelType w:val="hybridMultilevel"/>
    <w:tmpl w:val="95322B8E"/>
    <w:lvl w:ilvl="0" w:tplc="4B100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F47D5"/>
    <w:multiLevelType w:val="hybridMultilevel"/>
    <w:tmpl w:val="0AA4967E"/>
    <w:lvl w:ilvl="0" w:tplc="6C8E23B4">
      <w:start w:val="1"/>
      <w:numFmt w:val="bullet"/>
      <w:lvlText w:val="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  <w:position w:val="-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BD3"/>
    <w:multiLevelType w:val="hybridMultilevel"/>
    <w:tmpl w:val="A0C075F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1F4B8E"/>
    <w:multiLevelType w:val="hybridMultilevel"/>
    <w:tmpl w:val="78D64ED0"/>
    <w:lvl w:ilvl="0" w:tplc="4B100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07F51"/>
    <w:multiLevelType w:val="hybridMultilevel"/>
    <w:tmpl w:val="301CF568"/>
    <w:lvl w:ilvl="0" w:tplc="4B100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C1434"/>
    <w:multiLevelType w:val="hybridMultilevel"/>
    <w:tmpl w:val="82EAE682"/>
    <w:lvl w:ilvl="0" w:tplc="0D303E24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  <w:position w:val="-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3552"/>
    <w:multiLevelType w:val="hybridMultilevel"/>
    <w:tmpl w:val="9AB0C1A4"/>
    <w:lvl w:ilvl="0" w:tplc="4B100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1B3E"/>
    <w:multiLevelType w:val="multilevel"/>
    <w:tmpl w:val="0AA4967E"/>
    <w:lvl w:ilvl="0">
      <w:start w:val="1"/>
      <w:numFmt w:val="bullet"/>
      <w:lvlText w:val="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  <w:position w:val="-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207A"/>
    <w:multiLevelType w:val="hybridMultilevel"/>
    <w:tmpl w:val="4BC2C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655C8"/>
    <w:multiLevelType w:val="hybridMultilevel"/>
    <w:tmpl w:val="2F288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331"/>
    <w:rsid w:val="00003E41"/>
    <w:rsid w:val="0002463E"/>
    <w:rsid w:val="0002773A"/>
    <w:rsid w:val="00037E66"/>
    <w:rsid w:val="00041E96"/>
    <w:rsid w:val="000545DA"/>
    <w:rsid w:val="00066FF6"/>
    <w:rsid w:val="00075715"/>
    <w:rsid w:val="000B4DF2"/>
    <w:rsid w:val="000C7997"/>
    <w:rsid w:val="000D1FBD"/>
    <w:rsid w:val="000D4538"/>
    <w:rsid w:val="00121EB6"/>
    <w:rsid w:val="001461E1"/>
    <w:rsid w:val="00151B0C"/>
    <w:rsid w:val="00166F88"/>
    <w:rsid w:val="00175E6F"/>
    <w:rsid w:val="00176028"/>
    <w:rsid w:val="001A79C5"/>
    <w:rsid w:val="001D6500"/>
    <w:rsid w:val="001D6F07"/>
    <w:rsid w:val="00226017"/>
    <w:rsid w:val="00231AB8"/>
    <w:rsid w:val="00247025"/>
    <w:rsid w:val="002966AB"/>
    <w:rsid w:val="002B61B5"/>
    <w:rsid w:val="002C58B1"/>
    <w:rsid w:val="002C6CFB"/>
    <w:rsid w:val="00330C5F"/>
    <w:rsid w:val="0033264A"/>
    <w:rsid w:val="00350AEF"/>
    <w:rsid w:val="00365B1C"/>
    <w:rsid w:val="003B7FB0"/>
    <w:rsid w:val="0042110E"/>
    <w:rsid w:val="00427715"/>
    <w:rsid w:val="00482BD3"/>
    <w:rsid w:val="00501087"/>
    <w:rsid w:val="005521AA"/>
    <w:rsid w:val="005706EF"/>
    <w:rsid w:val="005932FD"/>
    <w:rsid w:val="005B75D7"/>
    <w:rsid w:val="005E4301"/>
    <w:rsid w:val="005F64B8"/>
    <w:rsid w:val="00627684"/>
    <w:rsid w:val="006403C5"/>
    <w:rsid w:val="006512FC"/>
    <w:rsid w:val="006570D2"/>
    <w:rsid w:val="00670689"/>
    <w:rsid w:val="00677197"/>
    <w:rsid w:val="006817E2"/>
    <w:rsid w:val="006954A9"/>
    <w:rsid w:val="006C66F4"/>
    <w:rsid w:val="006E7318"/>
    <w:rsid w:val="007D689C"/>
    <w:rsid w:val="007E5F70"/>
    <w:rsid w:val="00801DF6"/>
    <w:rsid w:val="00834751"/>
    <w:rsid w:val="00853164"/>
    <w:rsid w:val="00860F7D"/>
    <w:rsid w:val="00871271"/>
    <w:rsid w:val="008972CB"/>
    <w:rsid w:val="008A28AB"/>
    <w:rsid w:val="008B1F71"/>
    <w:rsid w:val="008B5D86"/>
    <w:rsid w:val="008D289D"/>
    <w:rsid w:val="008D355A"/>
    <w:rsid w:val="008E61E5"/>
    <w:rsid w:val="00900956"/>
    <w:rsid w:val="00942006"/>
    <w:rsid w:val="00944AB8"/>
    <w:rsid w:val="00994985"/>
    <w:rsid w:val="009B4BCF"/>
    <w:rsid w:val="009E00D5"/>
    <w:rsid w:val="009E3B63"/>
    <w:rsid w:val="00A129D1"/>
    <w:rsid w:val="00AA6331"/>
    <w:rsid w:val="00AC3DF8"/>
    <w:rsid w:val="00AC72C9"/>
    <w:rsid w:val="00AE4945"/>
    <w:rsid w:val="00AF3DB1"/>
    <w:rsid w:val="00B176C9"/>
    <w:rsid w:val="00B224C9"/>
    <w:rsid w:val="00B761C4"/>
    <w:rsid w:val="00B95AB9"/>
    <w:rsid w:val="00BA1399"/>
    <w:rsid w:val="00BD55D4"/>
    <w:rsid w:val="00BE63B5"/>
    <w:rsid w:val="00C043F7"/>
    <w:rsid w:val="00C12E23"/>
    <w:rsid w:val="00C144FE"/>
    <w:rsid w:val="00C371B2"/>
    <w:rsid w:val="00C40532"/>
    <w:rsid w:val="00C44658"/>
    <w:rsid w:val="00C456FB"/>
    <w:rsid w:val="00C74C05"/>
    <w:rsid w:val="00C850C0"/>
    <w:rsid w:val="00CA7867"/>
    <w:rsid w:val="00CD076B"/>
    <w:rsid w:val="00CE3FF4"/>
    <w:rsid w:val="00CE75A2"/>
    <w:rsid w:val="00D776F4"/>
    <w:rsid w:val="00D9588C"/>
    <w:rsid w:val="00DD1D30"/>
    <w:rsid w:val="00DE6CA7"/>
    <w:rsid w:val="00DE7A89"/>
    <w:rsid w:val="00DF3995"/>
    <w:rsid w:val="00DF43F5"/>
    <w:rsid w:val="00DF4400"/>
    <w:rsid w:val="00DF4DBD"/>
    <w:rsid w:val="00E3796C"/>
    <w:rsid w:val="00E41715"/>
    <w:rsid w:val="00E44C21"/>
    <w:rsid w:val="00EB0527"/>
    <w:rsid w:val="00EB1FB9"/>
    <w:rsid w:val="00EB6B31"/>
    <w:rsid w:val="00F03226"/>
    <w:rsid w:val="00F13202"/>
    <w:rsid w:val="00F47B40"/>
    <w:rsid w:val="00F547A5"/>
    <w:rsid w:val="00F74483"/>
    <w:rsid w:val="00F81A38"/>
    <w:rsid w:val="00F9251E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5D3A755"/>
  <w15:chartTrackingRefBased/>
  <w15:docId w15:val="{8AB7D0B1-7E7F-4356-8CB4-267EC12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966AB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3">
    <w:name w:val="Bullet3"/>
    <w:basedOn w:val="Normal"/>
    <w:pPr>
      <w:ind w:left="1080" w:hanging="36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ITLEMAJOR">
    <w:name w:val="TITLE MAJOR"/>
    <w:basedOn w:val="Title"/>
    <w:pPr>
      <w:spacing w:before="0" w:after="0"/>
    </w:pPr>
    <w:rPr>
      <w:b w:val="0"/>
      <w:caps/>
      <w:sz w:val="4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LEMINOR">
    <w:name w:val="TITLE MINOR"/>
    <w:basedOn w:val="TITLEMAJOR"/>
    <w:rPr>
      <w:caps w:val="0"/>
    </w:rPr>
  </w:style>
  <w:style w:type="paragraph" w:customStyle="1" w:styleId="HEADING20">
    <w:name w:val="HEADING 2"/>
    <w:basedOn w:val="Heading2"/>
    <w:pPr>
      <w:spacing w:before="0" w:after="0"/>
    </w:pPr>
    <w:rPr>
      <w:sz w:val="32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240" w:hanging="240"/>
    </w:pPr>
  </w:style>
  <w:style w:type="paragraph" w:customStyle="1" w:styleId="TitlePage">
    <w:name w:val="Title Pag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semiHidden/>
    <w:pPr>
      <w:ind w:left="240"/>
    </w:pPr>
    <w:rPr>
      <w:smallCaps/>
    </w:rPr>
  </w:style>
  <w:style w:type="paragraph" w:styleId="TOC3">
    <w:name w:val="toc 3"/>
    <w:basedOn w:val="Normal"/>
    <w:next w:val="Normal"/>
    <w:semiHidden/>
    <w:pPr>
      <w:ind w:left="480"/>
    </w:pPr>
    <w:rPr>
      <w:i/>
      <w:iCs/>
    </w:rPr>
  </w:style>
  <w:style w:type="paragraph" w:customStyle="1" w:styleId="TABLEROW">
    <w:name w:val="TABLE ROW"/>
    <w:basedOn w:val="Normal"/>
    <w:rPr>
      <w:sz w:val="20"/>
    </w:rPr>
  </w:style>
  <w:style w:type="character" w:customStyle="1" w:styleId="TABLEHEADING">
    <w:name w:val="TABLE HEADING"/>
    <w:rPr>
      <w:rFonts w:ascii="Times New Roman Bold" w:hAnsi="Times New Roman Bold"/>
      <w:b/>
      <w:dstrike w:val="0"/>
      <w:sz w:val="20"/>
      <w:bdr w:val="none" w:sz="0" w:space="0" w:color="auto"/>
      <w:vertAlign w:val="baseline"/>
    </w:rPr>
  </w:style>
  <w:style w:type="paragraph" w:styleId="Header">
    <w:name w:val="header"/>
    <w:basedOn w:val="Normal"/>
    <w:pPr>
      <w:tabs>
        <w:tab w:val="right" w:pos="9360"/>
      </w:tabs>
    </w:pPr>
    <w:rPr>
      <w:sz w:val="20"/>
    </w:rPr>
  </w:style>
  <w:style w:type="paragraph" w:customStyle="1" w:styleId="Table">
    <w:name w:val="Table"/>
    <w:basedOn w:val="Normal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 w:line="180" w:lineRule="exact"/>
    </w:pPr>
    <w:rPr>
      <w:kern w:val="16"/>
      <w:sz w:val="16"/>
    </w:rPr>
  </w:style>
  <w:style w:type="character" w:customStyle="1" w:styleId="tableheading0">
    <w:name w:val="table heading"/>
    <w:rPr>
      <w:rFonts w:ascii="Times New Roman" w:hAnsi="Times New Roman"/>
      <w:dstrike w:val="0"/>
      <w:sz w:val="18"/>
      <w:vertAlign w:val="baseline"/>
    </w:rPr>
  </w:style>
  <w:style w:type="paragraph" w:customStyle="1" w:styleId="HEADING40">
    <w:name w:val="HEADING 4"/>
    <w:basedOn w:val="Normal"/>
    <w:rPr>
      <w:rFonts w:ascii="Arial" w:hAnsi="Arial"/>
    </w:rPr>
  </w:style>
  <w:style w:type="paragraph" w:customStyle="1" w:styleId="Paragraph4">
    <w:name w:val="Paragraph4"/>
    <w:basedOn w:val="Normal"/>
    <w:pPr>
      <w:spacing w:before="80"/>
      <w:ind w:left="720"/>
      <w:jc w:val="both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agraph2">
    <w:name w:val="Paragraph2"/>
    <w:basedOn w:val="Normal"/>
    <w:pPr>
      <w:spacing w:before="80"/>
      <w:jc w:val="both"/>
    </w:pPr>
    <w:rPr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Pr>
      <w:color w:val="000080"/>
      <w:sz w:val="20"/>
      <w:szCs w:val="20"/>
    </w:rPr>
  </w:style>
  <w:style w:type="paragraph" w:styleId="BodyText2">
    <w:name w:val="Body Text 2"/>
    <w:basedOn w:val="Normal"/>
    <w:rPr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semiHidden/>
    <w:rsid w:val="00C7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HVE Phase 2 release notes</vt:lpstr>
    </vt:vector>
  </TitlesOfParts>
  <Company>Department of Veterans Affairs</Company>
  <LinksUpToDate>false</LinksUpToDate>
  <CharactersWithSpaces>8053</CharactersWithSpaces>
  <SharedDoc>false</SharedDoc>
  <HLinks>
    <vt:vector size="30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_Toc146445831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_Toc146445830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_Toc146445829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_Toc146445828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_Toc146445827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 Phase 2 release notes</dc:title>
  <dc:subject/>
  <dc:creator>Tom Hamilton</dc:creator>
  <cp:keywords/>
  <dc:description/>
  <cp:lastModifiedBy>Lowery, Cindy</cp:lastModifiedBy>
  <cp:revision>3</cp:revision>
  <cp:lastPrinted>2020-12-10T15:50:00Z</cp:lastPrinted>
  <dcterms:created xsi:type="dcterms:W3CDTF">2020-12-10T15:50:00Z</dcterms:created>
  <dcterms:modified xsi:type="dcterms:W3CDTF">2020-12-10T15:50:00Z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