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C75" w:rsidRDefault="00436C75" w:rsidP="00436C75">
      <w:pPr>
        <w:pStyle w:val="CM1"/>
        <w:spacing w:after="2505"/>
        <w:jc w:val="center"/>
        <w:rPr>
          <w:color w:val="000000"/>
          <w:sz w:val="23"/>
          <w:szCs w:val="23"/>
        </w:rPr>
      </w:pPr>
      <w:bookmarkStart w:id="0" w:name="_GoBack"/>
      <w:bookmarkEnd w:id="0"/>
      <w:r>
        <w:rPr>
          <w:color w:val="000000"/>
          <w:sz w:val="23"/>
          <w:szCs w:val="23"/>
        </w:rPr>
        <w:t xml:space="preserve">Department of Veterans Affairs Decentralized Hospital Computer Program </w:t>
      </w:r>
    </w:p>
    <w:p w:rsidR="00436C75" w:rsidRDefault="00436C75" w:rsidP="00436C75">
      <w:pPr>
        <w:pStyle w:val="Default"/>
        <w:rPr>
          <w:sz w:val="23"/>
          <w:szCs w:val="23"/>
        </w:rPr>
      </w:pPr>
      <w:r>
        <w:rPr>
          <w:sz w:val="23"/>
          <w:szCs w:val="23"/>
        </w:rPr>
        <w:t xml:space="preserve"> </w:t>
      </w:r>
    </w:p>
    <w:p w:rsidR="00436C75" w:rsidRDefault="00436C75" w:rsidP="00436C75">
      <w:pPr>
        <w:pStyle w:val="CM2"/>
        <w:jc w:val="center"/>
        <w:rPr>
          <w:b/>
          <w:bCs/>
          <w:color w:val="000000"/>
          <w:sz w:val="48"/>
          <w:szCs w:val="48"/>
        </w:rPr>
      </w:pPr>
      <w:r>
        <w:rPr>
          <w:b/>
          <w:bCs/>
          <w:color w:val="000000"/>
          <w:sz w:val="48"/>
          <w:szCs w:val="48"/>
        </w:rPr>
        <w:t>INTEGRATED BILLING</w:t>
      </w:r>
    </w:p>
    <w:p w:rsidR="00436C75" w:rsidRDefault="00436C75" w:rsidP="00436C75">
      <w:pPr>
        <w:pStyle w:val="CM2"/>
        <w:spacing w:after="1425"/>
        <w:jc w:val="center"/>
        <w:rPr>
          <w:color w:val="000000"/>
          <w:sz w:val="48"/>
          <w:szCs w:val="48"/>
        </w:rPr>
      </w:pPr>
      <w:r>
        <w:rPr>
          <w:b/>
          <w:bCs/>
          <w:color w:val="000000"/>
          <w:sz w:val="48"/>
          <w:szCs w:val="48"/>
        </w:rPr>
        <w:t>PACKAGE SECURITY GUIDE</w:t>
      </w:r>
    </w:p>
    <w:p w:rsidR="00436C75" w:rsidRDefault="00436C75" w:rsidP="00436C75">
      <w:pPr>
        <w:pStyle w:val="CM2"/>
        <w:jc w:val="center"/>
        <w:rPr>
          <w:color w:val="000000"/>
          <w:sz w:val="48"/>
          <w:szCs w:val="48"/>
        </w:rPr>
      </w:pPr>
      <w:r>
        <w:rPr>
          <w:color w:val="000000"/>
          <w:sz w:val="48"/>
          <w:szCs w:val="48"/>
        </w:rPr>
        <w:t>Version 2.0</w:t>
      </w:r>
    </w:p>
    <w:p w:rsidR="00436C75" w:rsidRDefault="00436C75" w:rsidP="00436C75">
      <w:pPr>
        <w:pStyle w:val="CM2"/>
        <w:jc w:val="center"/>
        <w:rPr>
          <w:color w:val="000000"/>
          <w:sz w:val="48"/>
          <w:szCs w:val="48"/>
        </w:rPr>
      </w:pPr>
      <w:r>
        <w:rPr>
          <w:color w:val="000000"/>
          <w:sz w:val="48"/>
          <w:szCs w:val="48"/>
        </w:rPr>
        <w:t>March 1994</w:t>
      </w:r>
    </w:p>
    <w:p w:rsidR="00436C75" w:rsidRDefault="00436C75" w:rsidP="00436C75">
      <w:pPr>
        <w:pStyle w:val="Default"/>
      </w:pPr>
    </w:p>
    <w:p w:rsidR="00436C75" w:rsidRDefault="00436C75" w:rsidP="00436C75">
      <w:pPr>
        <w:pStyle w:val="Default"/>
      </w:pPr>
    </w:p>
    <w:p w:rsidR="00436C75" w:rsidRPr="00436C75" w:rsidRDefault="00436C75" w:rsidP="00436C75">
      <w:pPr>
        <w:jc w:val="center"/>
        <w:rPr>
          <w:b/>
          <w:color w:val="000000"/>
          <w:sz w:val="28"/>
          <w:szCs w:val="28"/>
        </w:rPr>
      </w:pPr>
      <w:r>
        <w:rPr>
          <w:b/>
          <w:color w:val="000000"/>
          <w:sz w:val="28"/>
          <w:szCs w:val="28"/>
        </w:rPr>
        <w:t xml:space="preserve">(Revised </w:t>
      </w:r>
      <w:r w:rsidR="00221A3A">
        <w:rPr>
          <w:b/>
          <w:color w:val="000000"/>
          <w:sz w:val="28"/>
          <w:szCs w:val="28"/>
        </w:rPr>
        <w:t>May</w:t>
      </w:r>
      <w:r w:rsidR="007216D9" w:rsidRPr="007216D9">
        <w:rPr>
          <w:b/>
          <w:color w:val="000000"/>
          <w:sz w:val="28"/>
          <w:szCs w:val="28"/>
        </w:rPr>
        <w:t xml:space="preserve"> 2011</w:t>
      </w:r>
      <w:r w:rsidRPr="00436C75">
        <w:rPr>
          <w:b/>
          <w:color w:val="000000"/>
          <w:sz w:val="28"/>
          <w:szCs w:val="28"/>
        </w:rPr>
        <w:t>)</w:t>
      </w: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Default="00436C75" w:rsidP="00436C75">
      <w:pPr>
        <w:pStyle w:val="Default"/>
      </w:pPr>
    </w:p>
    <w:p w:rsidR="00436C75" w:rsidRPr="00436C75" w:rsidRDefault="00436C75" w:rsidP="00436C75">
      <w:pPr>
        <w:pStyle w:val="Default"/>
      </w:pPr>
    </w:p>
    <w:p w:rsidR="00436C75" w:rsidRDefault="00436C75" w:rsidP="00436C75">
      <w:pPr>
        <w:jc w:val="center"/>
        <w:rPr>
          <w:color w:val="000000"/>
          <w:sz w:val="23"/>
          <w:szCs w:val="23"/>
        </w:rPr>
      </w:pPr>
      <w:r>
        <w:rPr>
          <w:color w:val="000000"/>
          <w:sz w:val="23"/>
          <w:szCs w:val="23"/>
        </w:rPr>
        <w:t>Information Systems Center Albany, New York</w:t>
      </w:r>
      <w:r>
        <w:rPr>
          <w:color w:val="000000"/>
          <w:sz w:val="23"/>
          <w:szCs w:val="23"/>
        </w:rPr>
        <w:br w:type="page"/>
      </w:r>
    </w:p>
    <w:p w:rsidR="00BF005C" w:rsidRDefault="00BF005C" w:rsidP="00436C75">
      <w:pPr>
        <w:pStyle w:val="majorheading"/>
        <w:rPr>
          <w:rFonts w:ascii="Times New Roman" w:hAnsi="Times New Roman"/>
          <w:b/>
          <w:szCs w:val="36"/>
        </w:rPr>
        <w:sectPr w:rsidR="00BF005C" w:rsidSect="006702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436C75" w:rsidRDefault="00436C75" w:rsidP="00436C75">
      <w:pPr>
        <w:pStyle w:val="majorheading"/>
        <w:rPr>
          <w:rFonts w:ascii="Times New Roman" w:hAnsi="Times New Roman"/>
          <w:b/>
          <w:szCs w:val="36"/>
        </w:rPr>
      </w:pPr>
      <w:r w:rsidRPr="000C6AF7">
        <w:rPr>
          <w:rFonts w:ascii="Times New Roman" w:hAnsi="Times New Roman"/>
          <w:b/>
          <w:szCs w:val="36"/>
        </w:rPr>
        <w:lastRenderedPageBreak/>
        <w:t>Revision History</w:t>
      </w:r>
    </w:p>
    <w:p w:rsidR="000C6AF7" w:rsidRPr="000C6AF7" w:rsidRDefault="000C6AF7" w:rsidP="00436C75">
      <w:pPr>
        <w:pStyle w:val="majorheading"/>
        <w:rPr>
          <w:rFonts w:ascii="Times New Roman" w:hAnsi="Times New Roman"/>
          <w:b/>
          <w:szCs w:val="36"/>
        </w:rPr>
      </w:pPr>
    </w:p>
    <w:p w:rsidR="00436C75" w:rsidRPr="000C6AF7" w:rsidRDefault="00436C75" w:rsidP="00436C75">
      <w:pPr>
        <w:rPr>
          <w:rFonts w:ascii="Times New Roman" w:hAnsi="Times New Roman"/>
          <w:b/>
          <w:sz w:val="24"/>
          <w:szCs w:val="24"/>
        </w:rPr>
      </w:pPr>
      <w:r w:rsidRPr="000C6AF7">
        <w:rPr>
          <w:rFonts w:ascii="Times New Roman" w:hAnsi="Times New Roman"/>
          <w:sz w:val="24"/>
          <w:szCs w:val="24"/>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50"/>
        <w:gridCol w:w="1620"/>
        <w:gridCol w:w="1620"/>
        <w:gridCol w:w="4770"/>
      </w:tblGrid>
      <w:tr w:rsidR="00436C75" w:rsidRPr="00CE602A" w:rsidTr="007216D9">
        <w:trPr>
          <w:cantSplit/>
          <w:tblHeader/>
        </w:trPr>
        <w:tc>
          <w:tcPr>
            <w:tcW w:w="1350" w:type="dxa"/>
            <w:shd w:val="clear" w:color="auto" w:fill="CCCCCC"/>
          </w:tcPr>
          <w:p w:rsidR="00436C75" w:rsidRPr="00CE602A" w:rsidRDefault="00436C75" w:rsidP="00D328D8">
            <w:pPr>
              <w:rPr>
                <w:rFonts w:ascii="Times New Roman" w:hAnsi="Times New Roman"/>
                <w:sz w:val="24"/>
                <w:szCs w:val="24"/>
              </w:rPr>
            </w:pPr>
            <w:r w:rsidRPr="00CE602A">
              <w:rPr>
                <w:rFonts w:ascii="Times New Roman" w:hAnsi="Times New Roman"/>
                <w:sz w:val="24"/>
                <w:szCs w:val="24"/>
              </w:rPr>
              <w:t>Date</w:t>
            </w:r>
          </w:p>
        </w:tc>
        <w:tc>
          <w:tcPr>
            <w:tcW w:w="1620" w:type="dxa"/>
            <w:shd w:val="clear" w:color="auto" w:fill="CCCCCC"/>
          </w:tcPr>
          <w:p w:rsidR="00436C75" w:rsidRPr="00CE602A" w:rsidRDefault="00436C75" w:rsidP="00D328D8">
            <w:pPr>
              <w:rPr>
                <w:rFonts w:ascii="Times New Roman" w:hAnsi="Times New Roman"/>
                <w:sz w:val="24"/>
                <w:szCs w:val="24"/>
              </w:rPr>
            </w:pPr>
            <w:r w:rsidRPr="00CE602A">
              <w:rPr>
                <w:rFonts w:ascii="Times New Roman" w:hAnsi="Times New Roman"/>
                <w:sz w:val="24"/>
                <w:szCs w:val="24"/>
              </w:rPr>
              <w:t>Revised Pages</w:t>
            </w:r>
          </w:p>
        </w:tc>
        <w:tc>
          <w:tcPr>
            <w:tcW w:w="1620" w:type="dxa"/>
            <w:shd w:val="clear" w:color="auto" w:fill="CCCCCC"/>
          </w:tcPr>
          <w:p w:rsidR="00436C75" w:rsidRPr="00CE602A" w:rsidRDefault="00436C75" w:rsidP="00D328D8">
            <w:pPr>
              <w:rPr>
                <w:rFonts w:ascii="Times New Roman" w:hAnsi="Times New Roman"/>
                <w:sz w:val="24"/>
                <w:szCs w:val="24"/>
              </w:rPr>
            </w:pPr>
            <w:r w:rsidRPr="00CE602A">
              <w:rPr>
                <w:rFonts w:ascii="Times New Roman" w:hAnsi="Times New Roman"/>
                <w:sz w:val="24"/>
                <w:szCs w:val="24"/>
              </w:rPr>
              <w:t>Patch Number</w:t>
            </w:r>
          </w:p>
        </w:tc>
        <w:tc>
          <w:tcPr>
            <w:tcW w:w="4770" w:type="dxa"/>
            <w:shd w:val="clear" w:color="auto" w:fill="CCCCCC"/>
          </w:tcPr>
          <w:p w:rsidR="00436C75" w:rsidRPr="00CE602A" w:rsidRDefault="00436C75" w:rsidP="00D328D8">
            <w:pPr>
              <w:rPr>
                <w:rFonts w:ascii="Times New Roman" w:hAnsi="Times New Roman"/>
                <w:sz w:val="24"/>
                <w:szCs w:val="24"/>
              </w:rPr>
            </w:pPr>
            <w:r w:rsidRPr="00CE602A">
              <w:rPr>
                <w:rFonts w:ascii="Times New Roman" w:hAnsi="Times New Roman"/>
                <w:sz w:val="24"/>
                <w:szCs w:val="24"/>
              </w:rPr>
              <w:t>Description</w:t>
            </w:r>
          </w:p>
        </w:tc>
      </w:tr>
      <w:tr w:rsidR="00436C75" w:rsidRPr="00CE602A" w:rsidTr="007216D9">
        <w:trPr>
          <w:cantSplit/>
          <w:tblHeader/>
        </w:trPr>
        <w:tc>
          <w:tcPr>
            <w:tcW w:w="1350" w:type="dxa"/>
          </w:tcPr>
          <w:p w:rsidR="00436C75" w:rsidRPr="00CE602A" w:rsidRDefault="00B67AC1" w:rsidP="00BF005C">
            <w:pPr>
              <w:rPr>
                <w:rFonts w:ascii="Times New Roman" w:hAnsi="Times New Roman"/>
                <w:sz w:val="24"/>
                <w:szCs w:val="24"/>
              </w:rPr>
            </w:pPr>
            <w:r>
              <w:rPr>
                <w:rFonts w:ascii="Times New Roman" w:hAnsi="Times New Roman"/>
                <w:sz w:val="24"/>
                <w:szCs w:val="24"/>
              </w:rPr>
              <w:t>05/04</w:t>
            </w:r>
            <w:r w:rsidR="007216D9">
              <w:rPr>
                <w:rFonts w:ascii="Times New Roman" w:hAnsi="Times New Roman"/>
                <w:sz w:val="24"/>
                <w:szCs w:val="24"/>
              </w:rPr>
              <w:t>/2011</w:t>
            </w:r>
          </w:p>
        </w:tc>
        <w:tc>
          <w:tcPr>
            <w:tcW w:w="1620" w:type="dxa"/>
          </w:tcPr>
          <w:p w:rsidR="00436C75" w:rsidRPr="00CE602A" w:rsidRDefault="00BF005C" w:rsidP="00D328D8">
            <w:pPr>
              <w:rPr>
                <w:rFonts w:ascii="Times New Roman" w:hAnsi="Times New Roman"/>
                <w:sz w:val="24"/>
                <w:szCs w:val="24"/>
              </w:rPr>
            </w:pPr>
            <w:r w:rsidRPr="00CE602A">
              <w:rPr>
                <w:rFonts w:ascii="Times New Roman" w:hAnsi="Times New Roman"/>
                <w:sz w:val="24"/>
                <w:szCs w:val="24"/>
              </w:rPr>
              <w:t>1</w:t>
            </w:r>
            <w:r w:rsidR="00436C75" w:rsidRPr="00CE602A">
              <w:rPr>
                <w:rFonts w:ascii="Times New Roman" w:hAnsi="Times New Roman"/>
                <w:sz w:val="24"/>
                <w:szCs w:val="24"/>
              </w:rPr>
              <w:t xml:space="preserve">, </w:t>
            </w:r>
            <w:r w:rsidRPr="00CE602A">
              <w:rPr>
                <w:rFonts w:ascii="Times New Roman" w:hAnsi="Times New Roman"/>
                <w:sz w:val="24"/>
                <w:szCs w:val="24"/>
              </w:rPr>
              <w:t>2</w:t>
            </w:r>
          </w:p>
        </w:tc>
        <w:tc>
          <w:tcPr>
            <w:tcW w:w="1620" w:type="dxa"/>
          </w:tcPr>
          <w:p w:rsidR="00436C75" w:rsidRPr="00CE602A" w:rsidRDefault="00436C75" w:rsidP="00D328D8">
            <w:pPr>
              <w:rPr>
                <w:rFonts w:ascii="Times New Roman" w:hAnsi="Times New Roman"/>
                <w:sz w:val="24"/>
                <w:szCs w:val="24"/>
              </w:rPr>
            </w:pPr>
            <w:r w:rsidRPr="00CE602A">
              <w:rPr>
                <w:rFonts w:ascii="Times New Roman" w:hAnsi="Times New Roman"/>
                <w:sz w:val="24"/>
                <w:szCs w:val="24"/>
              </w:rPr>
              <w:t>IB*2*433</w:t>
            </w:r>
          </w:p>
        </w:tc>
        <w:tc>
          <w:tcPr>
            <w:tcW w:w="4770" w:type="dxa"/>
          </w:tcPr>
          <w:p w:rsidR="00436C75" w:rsidRPr="00CE602A" w:rsidRDefault="00436C75" w:rsidP="00D328D8">
            <w:pPr>
              <w:rPr>
                <w:rFonts w:ascii="Times New Roman" w:hAnsi="Times New Roman"/>
                <w:sz w:val="24"/>
                <w:szCs w:val="24"/>
              </w:rPr>
            </w:pPr>
            <w:r w:rsidRPr="00CE602A">
              <w:rPr>
                <w:rFonts w:ascii="Times New Roman" w:hAnsi="Times New Roman"/>
                <w:sz w:val="24"/>
                <w:szCs w:val="24"/>
              </w:rPr>
              <w:t xml:space="preserve">A new menu option was added to the </w:t>
            </w:r>
            <w:proofErr w:type="gramStart"/>
            <w:r w:rsidRPr="00CE602A">
              <w:rPr>
                <w:rFonts w:ascii="Times New Roman" w:hAnsi="Times New Roman"/>
                <w:sz w:val="24"/>
                <w:szCs w:val="24"/>
              </w:rPr>
              <w:t>Third Party</w:t>
            </w:r>
            <w:proofErr w:type="gramEnd"/>
            <w:r w:rsidRPr="00CE602A">
              <w:rPr>
                <w:rFonts w:ascii="Times New Roman" w:hAnsi="Times New Roman"/>
                <w:sz w:val="24"/>
                <w:szCs w:val="24"/>
              </w:rPr>
              <w:t xml:space="preserve"> Billing menu to allow claims to be copied and retain the original claim number.  This option should now be used for all claims that do not have payments posted to them.  The security key for the original option Copy and Cancel was changed and should only be used for claims that already have payments posted to them.</w:t>
            </w:r>
          </w:p>
        </w:tc>
      </w:tr>
      <w:tr w:rsidR="00436C75" w:rsidRPr="00CE602A" w:rsidTr="007216D9">
        <w:trPr>
          <w:cantSplit/>
          <w:tblHeader/>
        </w:trPr>
        <w:tc>
          <w:tcPr>
            <w:tcW w:w="1350" w:type="dxa"/>
          </w:tcPr>
          <w:p w:rsidR="00436C75" w:rsidRPr="00CE602A" w:rsidRDefault="00436C75" w:rsidP="00D328D8">
            <w:pPr>
              <w:rPr>
                <w:rFonts w:ascii="Times New Roman" w:hAnsi="Times New Roman"/>
                <w:sz w:val="24"/>
                <w:szCs w:val="24"/>
              </w:rPr>
            </w:pPr>
          </w:p>
        </w:tc>
        <w:tc>
          <w:tcPr>
            <w:tcW w:w="1620" w:type="dxa"/>
          </w:tcPr>
          <w:p w:rsidR="00436C75" w:rsidRPr="00CE602A" w:rsidRDefault="00436C75" w:rsidP="00D328D8">
            <w:pPr>
              <w:rPr>
                <w:rFonts w:ascii="Times New Roman" w:hAnsi="Times New Roman"/>
                <w:sz w:val="24"/>
                <w:szCs w:val="24"/>
              </w:rPr>
            </w:pPr>
          </w:p>
        </w:tc>
        <w:tc>
          <w:tcPr>
            <w:tcW w:w="1620" w:type="dxa"/>
          </w:tcPr>
          <w:p w:rsidR="00436C75" w:rsidRPr="00CE602A" w:rsidRDefault="00436C75" w:rsidP="00D328D8">
            <w:pPr>
              <w:rPr>
                <w:rFonts w:ascii="Times New Roman" w:hAnsi="Times New Roman"/>
                <w:sz w:val="24"/>
                <w:szCs w:val="24"/>
              </w:rPr>
            </w:pPr>
          </w:p>
        </w:tc>
        <w:tc>
          <w:tcPr>
            <w:tcW w:w="4770" w:type="dxa"/>
          </w:tcPr>
          <w:p w:rsidR="00436C75" w:rsidRPr="00CE602A" w:rsidRDefault="00436C75" w:rsidP="00D328D8">
            <w:pPr>
              <w:rPr>
                <w:rFonts w:ascii="Times New Roman" w:hAnsi="Times New Roman"/>
                <w:sz w:val="24"/>
                <w:szCs w:val="24"/>
              </w:rPr>
            </w:pPr>
          </w:p>
        </w:tc>
      </w:tr>
    </w:tbl>
    <w:p w:rsidR="00B156D7" w:rsidRDefault="00B156D7" w:rsidP="00436C75">
      <w:pPr>
        <w:pStyle w:val="titlepage"/>
        <w:rPr>
          <w:sz w:val="23"/>
        </w:rPr>
      </w:pPr>
    </w:p>
    <w:p w:rsidR="00B156D7" w:rsidRDefault="00B156D7">
      <w:pPr>
        <w:rPr>
          <w:sz w:val="23"/>
        </w:rPr>
        <w:sectPr w:rsidR="00B156D7" w:rsidSect="00BF005C">
          <w:footerReference w:type="default" r:id="rId14"/>
          <w:type w:val="continuous"/>
          <w:pgSz w:w="12240" w:h="15840"/>
          <w:pgMar w:top="1440" w:right="1440" w:bottom="1440" w:left="1440" w:header="720" w:footer="720" w:gutter="0"/>
          <w:pgNumType w:fmt="lowerRoman" w:start="1"/>
          <w:cols w:space="720"/>
          <w:docGrid w:linePitch="360"/>
        </w:sectPr>
      </w:pPr>
      <w:r>
        <w:rPr>
          <w:sz w:val="23"/>
        </w:rPr>
        <w:br w:type="page"/>
      </w:r>
    </w:p>
    <w:p w:rsidR="00B156D7" w:rsidRDefault="00B156D7">
      <w:pPr>
        <w:rPr>
          <w:rFonts w:ascii="Arial" w:eastAsia="Times New Roman" w:hAnsi="Arial"/>
          <w:sz w:val="23"/>
          <w:szCs w:val="20"/>
        </w:rPr>
      </w:pPr>
    </w:p>
    <w:p w:rsidR="00436C75" w:rsidRDefault="00436C75" w:rsidP="00436C75">
      <w:pPr>
        <w:pStyle w:val="titlepage"/>
        <w:rPr>
          <w:sz w:val="23"/>
        </w:rPr>
      </w:pPr>
    </w:p>
    <w:p w:rsidR="00436C75" w:rsidRDefault="00436C75">
      <w:r>
        <w:br w:type="page"/>
      </w:r>
    </w:p>
    <w:p w:rsidR="00BF005C" w:rsidRDefault="00BF005C" w:rsidP="00AC66E8">
      <w:pPr>
        <w:autoSpaceDE w:val="0"/>
        <w:autoSpaceDN w:val="0"/>
        <w:adjustRightInd w:val="0"/>
        <w:spacing w:after="272" w:line="240" w:lineRule="auto"/>
        <w:rPr>
          <w:rFonts w:ascii="Times New Roman" w:hAnsi="Times New Roman"/>
          <w:b/>
          <w:bCs/>
          <w:color w:val="000000"/>
          <w:sz w:val="28"/>
          <w:szCs w:val="28"/>
        </w:rPr>
        <w:sectPr w:rsidR="00BF005C" w:rsidSect="00DD0625">
          <w:footerReference w:type="default" r:id="rId15"/>
          <w:type w:val="continuous"/>
          <w:pgSz w:w="12240" w:h="15840"/>
          <w:pgMar w:top="1440" w:right="1440" w:bottom="1440" w:left="1440" w:header="720" w:footer="720" w:gutter="0"/>
          <w:pgNumType w:start="1"/>
          <w:cols w:space="720"/>
          <w:docGrid w:linePitch="360"/>
        </w:sectPr>
      </w:pPr>
    </w:p>
    <w:p w:rsidR="00AC66E8" w:rsidRPr="00AC66E8" w:rsidRDefault="00AC66E8" w:rsidP="00AC66E8">
      <w:pPr>
        <w:autoSpaceDE w:val="0"/>
        <w:autoSpaceDN w:val="0"/>
        <w:adjustRightInd w:val="0"/>
        <w:spacing w:after="272" w:line="240" w:lineRule="auto"/>
        <w:rPr>
          <w:rFonts w:ascii="Times New Roman" w:hAnsi="Times New Roman"/>
          <w:color w:val="000000"/>
          <w:sz w:val="28"/>
          <w:szCs w:val="28"/>
        </w:rPr>
      </w:pPr>
      <w:r w:rsidRPr="00AC66E8">
        <w:rPr>
          <w:rFonts w:ascii="Times New Roman" w:hAnsi="Times New Roman"/>
          <w:b/>
          <w:bCs/>
          <w:color w:val="000000"/>
          <w:sz w:val="28"/>
          <w:szCs w:val="28"/>
        </w:rPr>
        <w:lastRenderedPageBreak/>
        <w:t xml:space="preserve">General Security </w:t>
      </w:r>
    </w:p>
    <w:p w:rsidR="00AC66E8" w:rsidRPr="00AC66E8" w:rsidRDefault="00AC66E8" w:rsidP="00AC66E8">
      <w:pPr>
        <w:numPr>
          <w:ilvl w:val="0"/>
          <w:numId w:val="1"/>
        </w:numPr>
        <w:autoSpaceDE w:val="0"/>
        <w:autoSpaceDN w:val="0"/>
        <w:adjustRightInd w:val="0"/>
        <w:spacing w:after="278" w:line="240" w:lineRule="auto"/>
        <w:ind w:left="360" w:hanging="360"/>
        <w:rPr>
          <w:rFonts w:ascii="Times New Roman" w:hAnsi="Times New Roman"/>
          <w:color w:val="000000"/>
          <w:sz w:val="24"/>
          <w:szCs w:val="24"/>
        </w:rPr>
      </w:pPr>
      <w:r w:rsidRPr="00AC66E8">
        <w:rPr>
          <w:rFonts w:ascii="Times New Roman" w:hAnsi="Times New Roman"/>
          <w:color w:val="000000"/>
          <w:sz w:val="24"/>
          <w:szCs w:val="24"/>
        </w:rPr>
        <w:t xml:space="preserve">Integrated Billing files may only be updated through distributed options. </w:t>
      </w:r>
    </w:p>
    <w:p w:rsidR="00AC66E8" w:rsidRPr="00AC66E8" w:rsidRDefault="00AC66E8" w:rsidP="00AC66E8">
      <w:pPr>
        <w:numPr>
          <w:ilvl w:val="0"/>
          <w:numId w:val="1"/>
        </w:numPr>
        <w:autoSpaceDE w:val="0"/>
        <w:autoSpaceDN w:val="0"/>
        <w:adjustRightInd w:val="0"/>
        <w:spacing w:after="0" w:line="240" w:lineRule="auto"/>
        <w:ind w:left="360" w:hanging="360"/>
        <w:rPr>
          <w:rFonts w:ascii="Times New Roman" w:hAnsi="Times New Roman"/>
          <w:color w:val="000000"/>
          <w:sz w:val="24"/>
          <w:szCs w:val="24"/>
        </w:rPr>
      </w:pPr>
      <w:r w:rsidRPr="00AC66E8">
        <w:rPr>
          <w:rFonts w:ascii="Times New Roman" w:hAnsi="Times New Roman"/>
          <w:color w:val="000000"/>
          <w:sz w:val="24"/>
          <w:szCs w:val="24"/>
        </w:rPr>
        <w:t xml:space="preserve">Per VHA Directive 10-93-142 regarding security of software that affects financial systems, most of the IB routines may not be modified. The third line of routines that may not be modified will be so noted. The following routines are exempt from this requirement. </w:t>
      </w:r>
    </w:p>
    <w:p w:rsidR="00AC66E8" w:rsidRPr="00AC66E8" w:rsidRDefault="00AC66E8" w:rsidP="00AC66E8">
      <w:pPr>
        <w:autoSpaceDE w:val="0"/>
        <w:autoSpaceDN w:val="0"/>
        <w:adjustRightInd w:val="0"/>
        <w:spacing w:after="0" w:line="240" w:lineRule="auto"/>
        <w:rPr>
          <w:rFonts w:ascii="Times New Roman" w:hAnsi="Times New Roman"/>
          <w:color w:val="000000"/>
          <w:sz w:val="24"/>
          <w:szCs w:val="24"/>
        </w:rPr>
      </w:pPr>
    </w:p>
    <w:p w:rsidR="0036181D" w:rsidRDefault="00AC66E8" w:rsidP="0036181D">
      <w:pPr>
        <w:autoSpaceDE w:val="0"/>
        <w:autoSpaceDN w:val="0"/>
        <w:adjustRightInd w:val="0"/>
        <w:spacing w:after="0" w:line="300" w:lineRule="atLeast"/>
        <w:rPr>
          <w:rFonts w:ascii="Times New Roman" w:hAnsi="Times New Roman"/>
          <w:color w:val="000000"/>
          <w:sz w:val="24"/>
          <w:szCs w:val="24"/>
        </w:rPr>
      </w:pPr>
      <w:r w:rsidRPr="00AC66E8">
        <w:rPr>
          <w:rFonts w:ascii="Times New Roman" w:hAnsi="Times New Roman"/>
          <w:color w:val="000000"/>
          <w:sz w:val="24"/>
          <w:szCs w:val="24"/>
        </w:rPr>
        <w:t xml:space="preserve">IBD* - Encounter Form Utilities </w:t>
      </w:r>
    </w:p>
    <w:p w:rsidR="00AC66E8" w:rsidRPr="003349CD" w:rsidRDefault="00AC66E8" w:rsidP="0036181D">
      <w:pPr>
        <w:autoSpaceDE w:val="0"/>
        <w:autoSpaceDN w:val="0"/>
        <w:adjustRightInd w:val="0"/>
        <w:spacing w:line="300" w:lineRule="atLeast"/>
        <w:rPr>
          <w:rFonts w:ascii="Times New Roman" w:hAnsi="Times New Roman"/>
          <w:color w:val="000000"/>
          <w:sz w:val="24"/>
          <w:szCs w:val="24"/>
        </w:rPr>
      </w:pPr>
      <w:r w:rsidRPr="00AC66E8">
        <w:rPr>
          <w:rFonts w:ascii="Times New Roman" w:hAnsi="Times New Roman"/>
          <w:color w:val="000000"/>
          <w:sz w:val="24"/>
          <w:szCs w:val="24"/>
        </w:rPr>
        <w:t xml:space="preserve">IBO*, IBCO*, IBTO* - Non-critical Reports </w:t>
      </w:r>
    </w:p>
    <w:p w:rsidR="00AC66E8" w:rsidRDefault="00AC66E8" w:rsidP="00AC66E8">
      <w:pPr>
        <w:autoSpaceDE w:val="0"/>
        <w:autoSpaceDN w:val="0"/>
        <w:adjustRightInd w:val="0"/>
        <w:spacing w:line="300" w:lineRule="atLeast"/>
        <w:rPr>
          <w:rFonts w:ascii="Times New Roman" w:hAnsi="Times New Roman"/>
          <w:color w:val="000000"/>
          <w:sz w:val="24"/>
          <w:szCs w:val="24"/>
        </w:rPr>
      </w:pPr>
      <w:r w:rsidRPr="00AC66E8">
        <w:rPr>
          <w:rFonts w:ascii="Times New Roman" w:hAnsi="Times New Roman"/>
          <w:color w:val="000000"/>
          <w:sz w:val="24"/>
          <w:szCs w:val="24"/>
        </w:rPr>
        <w:t xml:space="preserve">According to the same directive, most of the IB Data Dictionaries may not be modified. The file descriptions of these files will be so noted. The files which </w:t>
      </w:r>
      <w:r w:rsidRPr="00AC66E8">
        <w:rPr>
          <w:rFonts w:ascii="Times New Roman" w:hAnsi="Times New Roman"/>
          <w:b/>
          <w:bCs/>
          <w:color w:val="000000"/>
          <w:sz w:val="24"/>
          <w:szCs w:val="24"/>
        </w:rPr>
        <w:t xml:space="preserve">may </w:t>
      </w:r>
      <w:r w:rsidRPr="00AC66E8">
        <w:rPr>
          <w:rFonts w:ascii="Times New Roman" w:hAnsi="Times New Roman"/>
          <w:color w:val="000000"/>
          <w:sz w:val="24"/>
          <w:szCs w:val="24"/>
        </w:rPr>
        <w:t xml:space="preserve">be modified are Encounter Form files #357 through #358.91. </w:t>
      </w:r>
    </w:p>
    <w:p w:rsidR="000C6AF7" w:rsidRPr="003349CD" w:rsidRDefault="000C6AF7" w:rsidP="00AC66E8">
      <w:pPr>
        <w:autoSpaceDE w:val="0"/>
        <w:autoSpaceDN w:val="0"/>
        <w:adjustRightInd w:val="0"/>
        <w:spacing w:after="272" w:line="300" w:lineRule="atLeast"/>
        <w:rPr>
          <w:rFonts w:ascii="Times New Roman" w:hAnsi="Times New Roman"/>
          <w:color w:val="000000"/>
          <w:sz w:val="24"/>
          <w:szCs w:val="24"/>
        </w:rPr>
      </w:pPr>
    </w:p>
    <w:p w:rsidR="00AC66E8" w:rsidRPr="00AC66E8" w:rsidRDefault="00AC66E8" w:rsidP="00AC66E8">
      <w:pPr>
        <w:autoSpaceDE w:val="0"/>
        <w:autoSpaceDN w:val="0"/>
        <w:adjustRightInd w:val="0"/>
        <w:spacing w:after="272" w:line="300" w:lineRule="atLeast"/>
        <w:rPr>
          <w:rFonts w:ascii="Times New Roman" w:hAnsi="Times New Roman"/>
          <w:color w:val="000000"/>
          <w:sz w:val="28"/>
          <w:szCs w:val="28"/>
        </w:rPr>
      </w:pPr>
      <w:r w:rsidRPr="00AC66E8">
        <w:rPr>
          <w:rFonts w:ascii="Times New Roman" w:hAnsi="Times New Roman"/>
          <w:b/>
          <w:bCs/>
          <w:color w:val="000000"/>
          <w:sz w:val="28"/>
          <w:szCs w:val="28"/>
        </w:rPr>
        <w:t>Security Keys</w:t>
      </w:r>
    </w:p>
    <w:tbl>
      <w:tblPr>
        <w:tblW w:w="0" w:type="auto"/>
        <w:tblLayout w:type="fixed"/>
        <w:tblLook w:val="0000" w:firstRow="0" w:lastRow="0" w:firstColumn="0" w:lastColumn="0" w:noHBand="0" w:noVBand="0"/>
      </w:tblPr>
      <w:tblGrid>
        <w:gridCol w:w="4428"/>
        <w:gridCol w:w="5040"/>
      </w:tblGrid>
      <w:tr w:rsidR="00AC66E8" w:rsidRPr="00CE602A" w:rsidTr="0036181D">
        <w:trPr>
          <w:cantSplit/>
          <w:trHeight w:val="222"/>
          <w:tblHeader/>
        </w:trPr>
        <w:tc>
          <w:tcPr>
            <w:tcW w:w="4428" w:type="dxa"/>
          </w:tcPr>
          <w:p w:rsidR="00296DE6"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lastRenderedPageBreak/>
              <w:t xml:space="preserve">IB AUTHORIZE </w:t>
            </w:r>
          </w:p>
          <w:p w:rsidR="00AC66E8" w:rsidRPr="00CE602A" w:rsidRDefault="00AC66E8" w:rsidP="00296DE6">
            <w:pPr>
              <w:rPr>
                <w:rFonts w:ascii="Times New Roman" w:hAnsi="Times New Roman"/>
                <w:sz w:val="24"/>
                <w:szCs w:val="24"/>
              </w:rPr>
            </w:pPr>
          </w:p>
        </w:tc>
        <w:tc>
          <w:tcPr>
            <w:tcW w:w="5040"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Holding this key allows the user to authorize charges prior to sending to Accounts Receivable.</w:t>
            </w:r>
          </w:p>
          <w:p w:rsidR="003349CD" w:rsidRPr="00CE602A" w:rsidRDefault="003349CD" w:rsidP="00AC66E8">
            <w:pPr>
              <w:autoSpaceDE w:val="0"/>
              <w:autoSpaceDN w:val="0"/>
              <w:adjustRightInd w:val="0"/>
              <w:spacing w:after="0" w:line="240" w:lineRule="auto"/>
              <w:rPr>
                <w:rFonts w:ascii="Times New Roman" w:hAnsi="Times New Roman"/>
                <w:color w:val="000000"/>
                <w:sz w:val="24"/>
                <w:szCs w:val="24"/>
              </w:rPr>
            </w:pPr>
          </w:p>
        </w:tc>
      </w:tr>
      <w:tr w:rsidR="00AC66E8" w:rsidRPr="00CE602A" w:rsidTr="0036181D">
        <w:trPr>
          <w:cantSplit/>
          <w:trHeight w:val="225"/>
          <w:tblHeader/>
        </w:trPr>
        <w:tc>
          <w:tcPr>
            <w:tcW w:w="4428"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 xml:space="preserve">IB CLAIMS SUPERVISOR </w:t>
            </w:r>
          </w:p>
        </w:tc>
        <w:tc>
          <w:tcPr>
            <w:tcW w:w="5040"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This key should only be given to those individuals</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who may perform supervisory Claims Tracking</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functions, such as deleting reviews and Claims</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Tracking entries.</w:t>
            </w:r>
          </w:p>
          <w:p w:rsidR="003349CD" w:rsidRPr="00CE602A" w:rsidRDefault="003349CD" w:rsidP="00AC66E8">
            <w:pPr>
              <w:autoSpaceDE w:val="0"/>
              <w:autoSpaceDN w:val="0"/>
              <w:adjustRightInd w:val="0"/>
              <w:spacing w:after="0" w:line="240" w:lineRule="auto"/>
              <w:rPr>
                <w:rFonts w:ascii="Times New Roman" w:hAnsi="Times New Roman"/>
                <w:color w:val="000000"/>
                <w:sz w:val="24"/>
                <w:szCs w:val="24"/>
              </w:rPr>
            </w:pPr>
          </w:p>
        </w:tc>
      </w:tr>
      <w:tr w:rsidR="003349CD" w:rsidRPr="00CE602A" w:rsidTr="0036181D">
        <w:trPr>
          <w:cantSplit/>
          <w:trHeight w:val="692"/>
          <w:tblHeader/>
        </w:trPr>
        <w:tc>
          <w:tcPr>
            <w:tcW w:w="4428" w:type="dxa"/>
          </w:tcPr>
          <w:p w:rsidR="003349CD" w:rsidRPr="00CE602A" w:rsidRDefault="003349CD"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IB CLON</w:t>
            </w:r>
          </w:p>
        </w:tc>
        <w:tc>
          <w:tcPr>
            <w:tcW w:w="5040" w:type="dxa"/>
          </w:tcPr>
          <w:p w:rsidR="003349CD" w:rsidRPr="00CE602A" w:rsidRDefault="003349CD" w:rsidP="003349CD">
            <w:pPr>
              <w:autoSpaceDE w:val="0"/>
              <w:autoSpaceDN w:val="0"/>
              <w:adjustRightInd w:val="0"/>
              <w:spacing w:after="0" w:line="240" w:lineRule="auto"/>
              <w:rPr>
                <w:rFonts w:ascii="Times New Roman" w:hAnsi="Times New Roman"/>
                <w:b/>
                <w:color w:val="000000"/>
                <w:sz w:val="24"/>
                <w:szCs w:val="24"/>
              </w:rPr>
            </w:pPr>
            <w:r w:rsidRPr="00CE602A">
              <w:rPr>
                <w:rFonts w:ascii="Times New Roman" w:hAnsi="Times New Roman"/>
                <w:color w:val="000000"/>
                <w:sz w:val="24"/>
                <w:szCs w:val="24"/>
              </w:rPr>
              <w:t>Holding this key allows user to access the Copy and Cancel Option.  This option is used to correct DENIED claims which have payments posted against them.</w:t>
            </w:r>
            <w:r w:rsidRPr="00CE602A">
              <w:rPr>
                <w:rFonts w:ascii="Times New Roman" w:hAnsi="Times New Roman"/>
                <w:b/>
                <w:color w:val="000000"/>
                <w:sz w:val="24"/>
                <w:szCs w:val="24"/>
              </w:rPr>
              <w:t xml:space="preserve">  </w:t>
            </w:r>
          </w:p>
          <w:p w:rsidR="003349CD" w:rsidRPr="00CE602A" w:rsidRDefault="003349CD" w:rsidP="003349CD">
            <w:pPr>
              <w:autoSpaceDE w:val="0"/>
              <w:autoSpaceDN w:val="0"/>
              <w:adjustRightInd w:val="0"/>
              <w:spacing w:after="0" w:line="240" w:lineRule="auto"/>
              <w:rPr>
                <w:rFonts w:ascii="Times New Roman" w:hAnsi="Times New Roman"/>
                <w:color w:val="000000"/>
                <w:sz w:val="24"/>
                <w:szCs w:val="24"/>
              </w:rPr>
            </w:pPr>
          </w:p>
        </w:tc>
      </w:tr>
      <w:tr w:rsidR="00AC66E8" w:rsidRPr="00CE602A" w:rsidTr="0036181D">
        <w:trPr>
          <w:cantSplit/>
          <w:trHeight w:val="225"/>
          <w:tblHeader/>
        </w:trPr>
        <w:tc>
          <w:tcPr>
            <w:tcW w:w="4428"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 xml:space="preserve">IB EDIT </w:t>
            </w:r>
          </w:p>
        </w:tc>
        <w:tc>
          <w:tcPr>
            <w:tcW w:w="5040"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Holding this key allows a user to create and edit claims for reimbursement.</w:t>
            </w:r>
          </w:p>
          <w:p w:rsidR="003349CD" w:rsidRPr="00CE602A" w:rsidRDefault="003349CD" w:rsidP="00AC66E8">
            <w:pPr>
              <w:autoSpaceDE w:val="0"/>
              <w:autoSpaceDN w:val="0"/>
              <w:adjustRightInd w:val="0"/>
              <w:spacing w:after="0" w:line="240" w:lineRule="auto"/>
              <w:rPr>
                <w:rFonts w:ascii="Times New Roman" w:hAnsi="Times New Roman"/>
                <w:color w:val="000000"/>
                <w:sz w:val="24"/>
                <w:szCs w:val="24"/>
              </w:rPr>
            </w:pPr>
          </w:p>
        </w:tc>
      </w:tr>
      <w:tr w:rsidR="00AC66E8" w:rsidRPr="00CE602A" w:rsidTr="0036181D">
        <w:trPr>
          <w:cantSplit/>
          <w:trHeight w:val="237"/>
          <w:tblHeader/>
        </w:trPr>
        <w:tc>
          <w:tcPr>
            <w:tcW w:w="4428"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IB INSURANCE SUPERVISOR</w:t>
            </w:r>
          </w:p>
        </w:tc>
        <w:tc>
          <w:tcPr>
            <w:tcW w:w="5040"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 xml:space="preserve">This key should only be given to those </w:t>
            </w:r>
            <w:r w:rsidR="000C6AF7" w:rsidRPr="00CE602A">
              <w:rPr>
                <w:rFonts w:ascii="Times New Roman" w:hAnsi="Times New Roman"/>
                <w:color w:val="000000"/>
                <w:sz w:val="24"/>
                <w:szCs w:val="24"/>
              </w:rPr>
              <w:t>i</w:t>
            </w:r>
            <w:r w:rsidRPr="00CE602A">
              <w:rPr>
                <w:rFonts w:ascii="Times New Roman" w:hAnsi="Times New Roman"/>
                <w:color w:val="000000"/>
                <w:sz w:val="24"/>
                <w:szCs w:val="24"/>
              </w:rPr>
              <w:t>ndividuals</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SUPERVISOR</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who may perform supervisory insurance functions,</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such as deleting insurance companies, deleting</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policies, and inactivating and merging</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insurance</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information.</w:t>
            </w:r>
          </w:p>
          <w:p w:rsidR="003349CD" w:rsidRPr="00CE602A" w:rsidRDefault="003349CD" w:rsidP="00AC66E8">
            <w:pPr>
              <w:autoSpaceDE w:val="0"/>
              <w:autoSpaceDN w:val="0"/>
              <w:adjustRightInd w:val="0"/>
              <w:spacing w:after="0" w:line="240" w:lineRule="auto"/>
              <w:rPr>
                <w:rFonts w:ascii="Times New Roman" w:hAnsi="Times New Roman"/>
                <w:color w:val="000000"/>
                <w:sz w:val="24"/>
                <w:szCs w:val="24"/>
              </w:rPr>
            </w:pPr>
          </w:p>
        </w:tc>
      </w:tr>
      <w:tr w:rsidR="00AC66E8" w:rsidRPr="00CE602A" w:rsidTr="0036181D">
        <w:trPr>
          <w:cantSplit/>
          <w:trHeight w:val="237"/>
          <w:tblHeader/>
        </w:trPr>
        <w:tc>
          <w:tcPr>
            <w:tcW w:w="4428"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 xml:space="preserve">IB SUPERVISOR </w:t>
            </w:r>
          </w:p>
        </w:tc>
        <w:tc>
          <w:tcPr>
            <w:tcW w:w="5040"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Holding this key allows a user to access management</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reports and options that control billing.</w:t>
            </w:r>
          </w:p>
          <w:p w:rsidR="003349CD" w:rsidRPr="00CE602A" w:rsidRDefault="003349CD" w:rsidP="00AC66E8">
            <w:pPr>
              <w:autoSpaceDE w:val="0"/>
              <w:autoSpaceDN w:val="0"/>
              <w:adjustRightInd w:val="0"/>
              <w:spacing w:after="0" w:line="240" w:lineRule="auto"/>
              <w:rPr>
                <w:rFonts w:ascii="Times New Roman" w:hAnsi="Times New Roman"/>
                <w:color w:val="000000"/>
                <w:sz w:val="24"/>
                <w:szCs w:val="24"/>
              </w:rPr>
            </w:pPr>
          </w:p>
        </w:tc>
      </w:tr>
      <w:tr w:rsidR="00AC66E8" w:rsidRPr="00CE602A" w:rsidTr="0036181D">
        <w:trPr>
          <w:cantSplit/>
          <w:trHeight w:val="225"/>
          <w:tblHeader/>
        </w:trPr>
        <w:tc>
          <w:tcPr>
            <w:tcW w:w="4428"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 xml:space="preserve">IBDF IRM </w:t>
            </w:r>
          </w:p>
        </w:tc>
        <w:tc>
          <w:tcPr>
            <w:tcW w:w="5040"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This key is used to prevent access to Encounter</w:t>
            </w:r>
            <w:r w:rsidR="000C6AF7" w:rsidRPr="00CE602A">
              <w:rPr>
                <w:rFonts w:ascii="Times New Roman" w:hAnsi="Times New Roman"/>
                <w:color w:val="000000"/>
                <w:sz w:val="24"/>
                <w:szCs w:val="24"/>
              </w:rPr>
              <w:t xml:space="preserve"> </w:t>
            </w:r>
            <w:r w:rsidRPr="00CE602A">
              <w:rPr>
                <w:rFonts w:ascii="Times New Roman" w:hAnsi="Times New Roman"/>
                <w:color w:val="000000"/>
                <w:sz w:val="24"/>
                <w:szCs w:val="24"/>
              </w:rPr>
              <w:t>Fo</w:t>
            </w:r>
            <w:r w:rsidR="000C6AF7" w:rsidRPr="00CE602A">
              <w:rPr>
                <w:rFonts w:ascii="Times New Roman" w:hAnsi="Times New Roman"/>
                <w:color w:val="000000"/>
                <w:sz w:val="24"/>
                <w:szCs w:val="24"/>
              </w:rPr>
              <w:t xml:space="preserve">rm Utility options that are for </w:t>
            </w:r>
            <w:r w:rsidRPr="00CE602A">
              <w:rPr>
                <w:rFonts w:ascii="Times New Roman" w:hAnsi="Times New Roman"/>
                <w:color w:val="000000"/>
                <w:sz w:val="24"/>
                <w:szCs w:val="24"/>
              </w:rPr>
              <w:t>IRM staff only.</w:t>
            </w:r>
          </w:p>
          <w:p w:rsidR="003349CD" w:rsidRPr="00CE602A" w:rsidRDefault="003349CD" w:rsidP="00AC66E8">
            <w:pPr>
              <w:autoSpaceDE w:val="0"/>
              <w:autoSpaceDN w:val="0"/>
              <w:adjustRightInd w:val="0"/>
              <w:spacing w:after="0" w:line="240" w:lineRule="auto"/>
              <w:rPr>
                <w:rFonts w:ascii="Times New Roman" w:hAnsi="Times New Roman"/>
                <w:color w:val="000000"/>
                <w:sz w:val="24"/>
                <w:szCs w:val="24"/>
              </w:rPr>
            </w:pPr>
          </w:p>
        </w:tc>
      </w:tr>
      <w:tr w:rsidR="00AC66E8" w:rsidRPr="00CE602A" w:rsidTr="0036181D">
        <w:trPr>
          <w:cantSplit/>
          <w:trHeight w:val="225"/>
          <w:tblHeader/>
        </w:trPr>
        <w:tc>
          <w:tcPr>
            <w:tcW w:w="4428"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 xml:space="preserve">XUMGR </w:t>
            </w:r>
          </w:p>
        </w:tc>
        <w:tc>
          <w:tcPr>
            <w:tcW w:w="5040" w:type="dxa"/>
          </w:tcPr>
          <w:p w:rsidR="00AC66E8" w:rsidRPr="00CE602A" w:rsidRDefault="00AC66E8" w:rsidP="00AC66E8">
            <w:pPr>
              <w:autoSpaceDE w:val="0"/>
              <w:autoSpaceDN w:val="0"/>
              <w:adjustRightInd w:val="0"/>
              <w:spacing w:after="0" w:line="240" w:lineRule="auto"/>
              <w:rPr>
                <w:rFonts w:ascii="Times New Roman" w:hAnsi="Times New Roman"/>
                <w:color w:val="000000"/>
                <w:sz w:val="24"/>
                <w:szCs w:val="24"/>
              </w:rPr>
            </w:pPr>
            <w:r w:rsidRPr="00CE602A">
              <w:rPr>
                <w:rFonts w:ascii="Times New Roman" w:hAnsi="Times New Roman"/>
                <w:color w:val="000000"/>
                <w:sz w:val="24"/>
                <w:szCs w:val="24"/>
              </w:rPr>
              <w:t>This key should be assigned to Kernel site management staff in IRM. It is required in IB to execute archive/purge</w:t>
            </w:r>
          </w:p>
          <w:p w:rsidR="003349CD" w:rsidRPr="00CE602A" w:rsidRDefault="003349CD" w:rsidP="00AC66E8">
            <w:pPr>
              <w:autoSpaceDE w:val="0"/>
              <w:autoSpaceDN w:val="0"/>
              <w:adjustRightInd w:val="0"/>
              <w:spacing w:after="0" w:line="240" w:lineRule="auto"/>
              <w:rPr>
                <w:rFonts w:ascii="Times New Roman" w:hAnsi="Times New Roman"/>
                <w:color w:val="000000"/>
                <w:sz w:val="24"/>
                <w:szCs w:val="24"/>
              </w:rPr>
            </w:pPr>
          </w:p>
        </w:tc>
      </w:tr>
    </w:tbl>
    <w:p w:rsidR="00436C75" w:rsidRDefault="00436C75" w:rsidP="00436C75">
      <w:pPr>
        <w:jc w:val="center"/>
      </w:pPr>
    </w:p>
    <w:sectPr w:rsidR="00436C75" w:rsidSect="00BF005C">
      <w:headerReference w:type="default" r:id="rId16"/>
      <w:footerReference w:type="default" r:id="rId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8A" w:rsidRDefault="00B12B8A" w:rsidP="00BF005C">
      <w:pPr>
        <w:spacing w:after="0" w:line="240" w:lineRule="auto"/>
      </w:pPr>
      <w:r>
        <w:separator/>
      </w:r>
    </w:p>
  </w:endnote>
  <w:endnote w:type="continuationSeparator" w:id="0">
    <w:p w:rsidR="00B12B8A" w:rsidRDefault="00B12B8A" w:rsidP="00BF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9" w:rsidRDefault="00721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9" w:rsidRDefault="00721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9" w:rsidRDefault="007216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5C" w:rsidRDefault="00BF005C" w:rsidP="00BF005C">
    <w:pPr>
      <w:pStyle w:val="Footer"/>
      <w:rPr>
        <w:rFonts w:ascii="Times New Roman" w:hAnsi="Times New Roman"/>
        <w:sz w:val="24"/>
        <w:szCs w:val="24"/>
      </w:rPr>
    </w:pPr>
  </w:p>
  <w:p w:rsidR="00BF005C" w:rsidRPr="003E250A" w:rsidRDefault="00221A3A" w:rsidP="00BF005C">
    <w:pPr>
      <w:pStyle w:val="Footer"/>
      <w:rPr>
        <w:rFonts w:ascii="Times New Roman" w:hAnsi="Times New Roman"/>
        <w:sz w:val="20"/>
        <w:szCs w:val="20"/>
      </w:rPr>
    </w:pPr>
    <w:r>
      <w:rPr>
        <w:rFonts w:ascii="Times New Roman" w:hAnsi="Times New Roman"/>
        <w:sz w:val="20"/>
        <w:szCs w:val="20"/>
      </w:rPr>
      <w:t>May</w:t>
    </w:r>
    <w:r w:rsidR="007216D9" w:rsidRPr="003E250A">
      <w:rPr>
        <w:rFonts w:ascii="Times New Roman" w:hAnsi="Times New Roman"/>
        <w:sz w:val="20"/>
        <w:szCs w:val="20"/>
      </w:rPr>
      <w:t xml:space="preserve"> 2011</w:t>
    </w:r>
    <w:r w:rsidR="00BF005C" w:rsidRPr="003E250A">
      <w:rPr>
        <w:rFonts w:ascii="Times New Roman" w:hAnsi="Times New Roman"/>
        <w:sz w:val="20"/>
        <w:szCs w:val="20"/>
      </w:rPr>
      <w:tab/>
      <w:t xml:space="preserve">IB V. 2.0 Package Security Guide </w:t>
    </w:r>
    <w:r w:rsidR="00BF005C" w:rsidRPr="003E250A">
      <w:rPr>
        <w:rFonts w:ascii="Times New Roman" w:hAnsi="Times New Roman"/>
        <w:sz w:val="20"/>
        <w:szCs w:val="20"/>
      </w:rPr>
      <w:tab/>
    </w:r>
    <w:r w:rsidR="00791CC9" w:rsidRPr="003E250A">
      <w:rPr>
        <w:rFonts w:ascii="Times New Roman" w:hAnsi="Times New Roman"/>
        <w:sz w:val="20"/>
        <w:szCs w:val="20"/>
      </w:rPr>
      <w:fldChar w:fldCharType="begin"/>
    </w:r>
    <w:r w:rsidR="00BF005C" w:rsidRPr="003E250A">
      <w:rPr>
        <w:rFonts w:ascii="Times New Roman" w:hAnsi="Times New Roman"/>
        <w:sz w:val="20"/>
        <w:szCs w:val="20"/>
      </w:rPr>
      <w:instrText xml:space="preserve"> PAGE   \* MERGEFORMAT </w:instrText>
    </w:r>
    <w:r w:rsidR="00791CC9" w:rsidRPr="003E250A">
      <w:rPr>
        <w:rFonts w:ascii="Times New Roman" w:hAnsi="Times New Roman"/>
        <w:sz w:val="20"/>
        <w:szCs w:val="20"/>
      </w:rPr>
      <w:fldChar w:fldCharType="separate"/>
    </w:r>
    <w:r>
      <w:rPr>
        <w:rFonts w:ascii="Times New Roman" w:hAnsi="Times New Roman"/>
        <w:noProof/>
        <w:sz w:val="20"/>
        <w:szCs w:val="20"/>
      </w:rPr>
      <w:t>ii</w:t>
    </w:r>
    <w:r w:rsidR="00791CC9" w:rsidRPr="003E250A">
      <w:rPr>
        <w:rFonts w:ascii="Times New Roman" w:hAnsi="Times New Roman"/>
        <w:sz w:val="20"/>
        <w:szCs w:val="20"/>
      </w:rPr>
      <w:fldChar w:fldCharType="end"/>
    </w:r>
  </w:p>
  <w:p w:rsidR="00BF005C" w:rsidRPr="003E250A" w:rsidRDefault="00BF005C" w:rsidP="00BF005C">
    <w:pPr>
      <w:pStyle w:val="Footer"/>
      <w:rPr>
        <w:rFonts w:ascii="Times New Roman" w:hAnsi="Times New Roman"/>
        <w:sz w:val="20"/>
        <w:szCs w:val="20"/>
      </w:rPr>
    </w:pPr>
    <w:r w:rsidRPr="003E250A">
      <w:rPr>
        <w:rFonts w:ascii="Times New Roman" w:hAnsi="Times New Roman"/>
        <w:sz w:val="20"/>
        <w:szCs w:val="20"/>
      </w:rPr>
      <w:tab/>
      <w:t>IB*2*433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625" w:rsidRPr="003E250A" w:rsidRDefault="00221A3A" w:rsidP="00DD0625">
    <w:pPr>
      <w:pStyle w:val="Footer"/>
      <w:rPr>
        <w:rFonts w:ascii="Times New Roman" w:hAnsi="Times New Roman"/>
        <w:sz w:val="20"/>
        <w:szCs w:val="20"/>
      </w:rPr>
    </w:pPr>
    <w:r>
      <w:rPr>
        <w:rFonts w:ascii="Times New Roman" w:hAnsi="Times New Roman"/>
        <w:sz w:val="20"/>
        <w:szCs w:val="20"/>
      </w:rPr>
      <w:t>May</w:t>
    </w:r>
    <w:r w:rsidR="003E250A" w:rsidRPr="003E250A">
      <w:rPr>
        <w:rFonts w:ascii="Times New Roman" w:hAnsi="Times New Roman"/>
        <w:sz w:val="20"/>
        <w:szCs w:val="20"/>
      </w:rPr>
      <w:t xml:space="preserve"> 2011</w:t>
    </w:r>
    <w:r w:rsidR="00DD0625" w:rsidRPr="003E250A">
      <w:rPr>
        <w:rFonts w:ascii="Times New Roman" w:hAnsi="Times New Roman"/>
        <w:sz w:val="20"/>
        <w:szCs w:val="20"/>
      </w:rPr>
      <w:tab/>
      <w:t xml:space="preserve">IB V. 2.0 Package Security Guide </w:t>
    </w:r>
    <w:r w:rsidR="00DD0625" w:rsidRPr="003E250A">
      <w:rPr>
        <w:rFonts w:ascii="Times New Roman" w:hAnsi="Times New Roman"/>
        <w:sz w:val="20"/>
        <w:szCs w:val="20"/>
      </w:rPr>
      <w:tab/>
      <w:t>1</w:t>
    </w:r>
  </w:p>
  <w:p w:rsidR="00DD0625" w:rsidRPr="003E250A" w:rsidRDefault="00DD0625" w:rsidP="00DD0625">
    <w:pPr>
      <w:pStyle w:val="Footer"/>
      <w:rPr>
        <w:rFonts w:ascii="Times New Roman" w:hAnsi="Times New Roman"/>
        <w:sz w:val="20"/>
        <w:szCs w:val="20"/>
      </w:rPr>
    </w:pPr>
    <w:r w:rsidRPr="003E250A">
      <w:rPr>
        <w:rFonts w:ascii="Times New Roman" w:hAnsi="Times New Roman"/>
        <w:sz w:val="20"/>
        <w:szCs w:val="20"/>
      </w:rPr>
      <w:tab/>
      <w:t>IB*2*433</w:t>
    </w:r>
  </w:p>
  <w:p w:rsidR="00B156D7" w:rsidRPr="00B156D7" w:rsidRDefault="00B156D7" w:rsidP="00B156D7">
    <w:pPr>
      <w:pStyle w:val="Foote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5C" w:rsidRDefault="00BF005C" w:rsidP="00BF005C">
    <w:pPr>
      <w:pStyle w:val="Footer"/>
      <w:rPr>
        <w:rFonts w:ascii="Times New Roman" w:hAnsi="Times New Roman"/>
        <w:sz w:val="24"/>
        <w:szCs w:val="24"/>
      </w:rPr>
    </w:pPr>
  </w:p>
  <w:p w:rsidR="00BF005C" w:rsidRPr="003E250A" w:rsidRDefault="00221A3A" w:rsidP="00BF005C">
    <w:pPr>
      <w:pStyle w:val="Footer"/>
      <w:rPr>
        <w:rFonts w:ascii="Times New Roman" w:hAnsi="Times New Roman"/>
        <w:sz w:val="20"/>
        <w:szCs w:val="20"/>
      </w:rPr>
    </w:pPr>
    <w:r>
      <w:rPr>
        <w:rFonts w:ascii="Times New Roman" w:hAnsi="Times New Roman"/>
        <w:sz w:val="20"/>
        <w:szCs w:val="20"/>
      </w:rPr>
      <w:t>May</w:t>
    </w:r>
    <w:r w:rsidR="003E250A" w:rsidRPr="003E250A">
      <w:rPr>
        <w:rFonts w:ascii="Times New Roman" w:hAnsi="Times New Roman"/>
        <w:sz w:val="20"/>
        <w:szCs w:val="20"/>
      </w:rPr>
      <w:t xml:space="preserve"> 2011</w:t>
    </w:r>
    <w:r w:rsidR="00BF005C" w:rsidRPr="003E250A">
      <w:rPr>
        <w:rFonts w:ascii="Times New Roman" w:hAnsi="Times New Roman"/>
        <w:sz w:val="20"/>
        <w:szCs w:val="20"/>
      </w:rPr>
      <w:tab/>
      <w:t xml:space="preserve">IB V. 2.0 Package Security Guide </w:t>
    </w:r>
    <w:r w:rsidR="00BF005C" w:rsidRPr="003E250A">
      <w:rPr>
        <w:rFonts w:ascii="Times New Roman" w:hAnsi="Times New Roman"/>
        <w:sz w:val="20"/>
        <w:szCs w:val="20"/>
      </w:rPr>
      <w:tab/>
    </w:r>
    <w:r w:rsidR="00791CC9" w:rsidRPr="003E250A">
      <w:rPr>
        <w:rFonts w:ascii="Times New Roman" w:hAnsi="Times New Roman"/>
        <w:sz w:val="20"/>
        <w:szCs w:val="20"/>
      </w:rPr>
      <w:fldChar w:fldCharType="begin"/>
    </w:r>
    <w:r w:rsidR="00BF005C" w:rsidRPr="003E250A">
      <w:rPr>
        <w:rFonts w:ascii="Times New Roman" w:hAnsi="Times New Roman"/>
        <w:sz w:val="20"/>
        <w:szCs w:val="20"/>
      </w:rPr>
      <w:instrText xml:space="preserve"> PAGE   \* MERGEFORMAT </w:instrText>
    </w:r>
    <w:r w:rsidR="00791CC9" w:rsidRPr="003E250A">
      <w:rPr>
        <w:rFonts w:ascii="Times New Roman" w:hAnsi="Times New Roman"/>
        <w:sz w:val="20"/>
        <w:szCs w:val="20"/>
      </w:rPr>
      <w:fldChar w:fldCharType="separate"/>
    </w:r>
    <w:r>
      <w:rPr>
        <w:rFonts w:ascii="Times New Roman" w:hAnsi="Times New Roman"/>
        <w:noProof/>
        <w:sz w:val="20"/>
        <w:szCs w:val="20"/>
      </w:rPr>
      <w:t>2</w:t>
    </w:r>
    <w:r w:rsidR="00791CC9" w:rsidRPr="003E250A">
      <w:rPr>
        <w:rFonts w:ascii="Times New Roman" w:hAnsi="Times New Roman"/>
        <w:sz w:val="20"/>
        <w:szCs w:val="20"/>
      </w:rPr>
      <w:fldChar w:fldCharType="end"/>
    </w:r>
  </w:p>
  <w:p w:rsidR="00BF005C" w:rsidRPr="003E250A" w:rsidRDefault="00BF005C" w:rsidP="00BF005C">
    <w:pPr>
      <w:pStyle w:val="Footer"/>
      <w:rPr>
        <w:rFonts w:ascii="Times New Roman" w:hAnsi="Times New Roman"/>
        <w:sz w:val="20"/>
        <w:szCs w:val="20"/>
      </w:rPr>
    </w:pPr>
    <w:r w:rsidRPr="003E250A">
      <w:rPr>
        <w:rFonts w:ascii="Times New Roman" w:hAnsi="Times New Roman"/>
        <w:sz w:val="20"/>
        <w:szCs w:val="20"/>
      </w:rPr>
      <w:tab/>
      <w:t>IB*2*433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8A" w:rsidRDefault="00B12B8A" w:rsidP="00BF005C">
      <w:pPr>
        <w:spacing w:after="0" w:line="240" w:lineRule="auto"/>
      </w:pPr>
      <w:r>
        <w:separator/>
      </w:r>
    </w:p>
  </w:footnote>
  <w:footnote w:type="continuationSeparator" w:id="0">
    <w:p w:rsidR="00B12B8A" w:rsidRDefault="00B12B8A" w:rsidP="00BF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9" w:rsidRDefault="00721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9" w:rsidRDefault="00721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D9" w:rsidRDefault="00721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DE6" w:rsidRPr="00296DE6" w:rsidRDefault="00296DE6" w:rsidP="00296DE6">
    <w:pPr>
      <w:pStyle w:val="Header"/>
      <w:jc w:val="right"/>
      <w:rPr>
        <w:rFonts w:ascii="Times New Roman" w:hAnsi="Times New Roman"/>
        <w:sz w:val="24"/>
        <w:szCs w:val="24"/>
      </w:rPr>
    </w:pPr>
    <w:r w:rsidRPr="00296DE6">
      <w:rPr>
        <w:rFonts w:ascii="Times New Roman" w:hAnsi="Times New Roman"/>
        <w:sz w:val="24"/>
        <w:szCs w:val="24"/>
      </w:rPr>
      <w:t>National Package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BAFA34"/>
    <w:multiLevelType w:val="hybridMultilevel"/>
    <w:tmpl w:val="8F0B72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75"/>
    <w:rsid w:val="000C6AF7"/>
    <w:rsid w:val="00221A3A"/>
    <w:rsid w:val="00233B6F"/>
    <w:rsid w:val="00296DE6"/>
    <w:rsid w:val="003236A2"/>
    <w:rsid w:val="003349CD"/>
    <w:rsid w:val="00347FD1"/>
    <w:rsid w:val="0036181D"/>
    <w:rsid w:val="00386FC1"/>
    <w:rsid w:val="003B02D9"/>
    <w:rsid w:val="003C32DC"/>
    <w:rsid w:val="003E250A"/>
    <w:rsid w:val="003E4BD4"/>
    <w:rsid w:val="004041B4"/>
    <w:rsid w:val="00436C75"/>
    <w:rsid w:val="004531B7"/>
    <w:rsid w:val="00470C23"/>
    <w:rsid w:val="004940B4"/>
    <w:rsid w:val="00533054"/>
    <w:rsid w:val="005E0ACE"/>
    <w:rsid w:val="005E763D"/>
    <w:rsid w:val="0063460C"/>
    <w:rsid w:val="006702C2"/>
    <w:rsid w:val="00701836"/>
    <w:rsid w:val="007216D9"/>
    <w:rsid w:val="007478A6"/>
    <w:rsid w:val="00791CC9"/>
    <w:rsid w:val="00806AAD"/>
    <w:rsid w:val="00833A9D"/>
    <w:rsid w:val="00847E00"/>
    <w:rsid w:val="00894CCB"/>
    <w:rsid w:val="00954CBD"/>
    <w:rsid w:val="00A543EE"/>
    <w:rsid w:val="00A87688"/>
    <w:rsid w:val="00AC66E8"/>
    <w:rsid w:val="00AD74EA"/>
    <w:rsid w:val="00B12B8A"/>
    <w:rsid w:val="00B156D7"/>
    <w:rsid w:val="00B20232"/>
    <w:rsid w:val="00B213D6"/>
    <w:rsid w:val="00B61416"/>
    <w:rsid w:val="00B67AC1"/>
    <w:rsid w:val="00B861AE"/>
    <w:rsid w:val="00BF005C"/>
    <w:rsid w:val="00C133DE"/>
    <w:rsid w:val="00C226EF"/>
    <w:rsid w:val="00C76CD3"/>
    <w:rsid w:val="00C94875"/>
    <w:rsid w:val="00C9737B"/>
    <w:rsid w:val="00CE602A"/>
    <w:rsid w:val="00D328D8"/>
    <w:rsid w:val="00DD0625"/>
    <w:rsid w:val="00E75B82"/>
    <w:rsid w:val="00E9575B"/>
    <w:rsid w:val="00E958B2"/>
    <w:rsid w:val="00EE3473"/>
    <w:rsid w:val="00F3179B"/>
    <w:rsid w:val="00FC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D5080-E3C5-4F27-89E9-011729A7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C75"/>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436C75"/>
    <w:pPr>
      <w:spacing w:line="286" w:lineRule="atLeast"/>
    </w:pPr>
    <w:rPr>
      <w:color w:val="auto"/>
    </w:rPr>
  </w:style>
  <w:style w:type="paragraph" w:customStyle="1" w:styleId="CM2">
    <w:name w:val="CM2"/>
    <w:basedOn w:val="Default"/>
    <w:next w:val="Default"/>
    <w:uiPriority w:val="99"/>
    <w:rsid w:val="00436C75"/>
    <w:pPr>
      <w:spacing w:line="848" w:lineRule="atLeast"/>
    </w:pPr>
    <w:rPr>
      <w:color w:val="auto"/>
    </w:rPr>
  </w:style>
  <w:style w:type="paragraph" w:customStyle="1" w:styleId="titlepage">
    <w:name w:val="title page"/>
    <w:basedOn w:val="Normal"/>
    <w:rsid w:val="00436C75"/>
    <w:pPr>
      <w:overflowPunct w:val="0"/>
      <w:autoSpaceDE w:val="0"/>
      <w:autoSpaceDN w:val="0"/>
      <w:adjustRightInd w:val="0"/>
      <w:spacing w:after="0" w:line="240" w:lineRule="auto"/>
      <w:jc w:val="center"/>
      <w:textAlignment w:val="baseline"/>
    </w:pPr>
    <w:rPr>
      <w:rFonts w:ascii="Arial" w:eastAsia="Times New Roman" w:hAnsi="Arial"/>
      <w:sz w:val="24"/>
      <w:szCs w:val="20"/>
    </w:rPr>
  </w:style>
  <w:style w:type="paragraph" w:customStyle="1" w:styleId="majorheading">
    <w:name w:val="major heading"/>
    <w:basedOn w:val="Normal"/>
    <w:rsid w:val="00436C75"/>
    <w:pPr>
      <w:spacing w:after="0" w:line="240" w:lineRule="auto"/>
    </w:pPr>
    <w:rPr>
      <w:rFonts w:ascii="Arial" w:eastAsia="Times New Roman" w:hAnsi="Arial"/>
      <w:sz w:val="36"/>
      <w:szCs w:val="20"/>
    </w:rPr>
  </w:style>
  <w:style w:type="paragraph" w:customStyle="1" w:styleId="CM5">
    <w:name w:val="CM5"/>
    <w:basedOn w:val="Default"/>
    <w:next w:val="Default"/>
    <w:uiPriority w:val="99"/>
    <w:rsid w:val="00AC66E8"/>
    <w:rPr>
      <w:rFonts w:ascii="Century Schoolbook" w:hAnsi="Century Schoolbook" w:cs="Times New Roman"/>
      <w:color w:val="auto"/>
    </w:rPr>
  </w:style>
  <w:style w:type="paragraph" w:styleId="BalloonText">
    <w:name w:val="Balloon Text"/>
    <w:basedOn w:val="Normal"/>
    <w:link w:val="BalloonTextChar"/>
    <w:uiPriority w:val="99"/>
    <w:semiHidden/>
    <w:unhideWhenUsed/>
    <w:rsid w:val="003349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49CD"/>
    <w:rPr>
      <w:rFonts w:ascii="Tahoma" w:hAnsi="Tahoma" w:cs="Tahoma"/>
      <w:sz w:val="16"/>
      <w:szCs w:val="16"/>
    </w:rPr>
  </w:style>
  <w:style w:type="paragraph" w:styleId="Header">
    <w:name w:val="header"/>
    <w:basedOn w:val="Normal"/>
    <w:link w:val="HeaderChar"/>
    <w:uiPriority w:val="99"/>
    <w:semiHidden/>
    <w:unhideWhenUsed/>
    <w:rsid w:val="00BF00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05C"/>
  </w:style>
  <w:style w:type="paragraph" w:styleId="Footer">
    <w:name w:val="footer"/>
    <w:basedOn w:val="Normal"/>
    <w:link w:val="FooterChar"/>
    <w:uiPriority w:val="99"/>
    <w:unhideWhenUsed/>
    <w:rsid w:val="00BF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5C"/>
  </w:style>
  <w:style w:type="character" w:styleId="LineNumber">
    <w:name w:val="line number"/>
    <w:basedOn w:val="DefaultParagraphFont"/>
    <w:uiPriority w:val="99"/>
    <w:semiHidden/>
    <w:unhideWhenUsed/>
    <w:rsid w:val="00B156D7"/>
  </w:style>
  <w:style w:type="character" w:styleId="PageNumber">
    <w:name w:val="page number"/>
    <w:basedOn w:val="DefaultParagraphFont"/>
    <w:semiHidden/>
    <w:unhideWhenUsed/>
    <w:rsid w:val="0072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DFFE-F188-41B3-8C75-3F081F7E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7delta</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Veterans Affairs</dc:creator>
  <cp:keywords/>
  <dc:description/>
  <cp:lastModifiedBy>Dept of Veterans Affairs</cp:lastModifiedBy>
  <cp:revision>2</cp:revision>
  <dcterms:created xsi:type="dcterms:W3CDTF">2021-02-23T22:35:00Z</dcterms:created>
  <dcterms:modified xsi:type="dcterms:W3CDTF">2021-02-23T22:35:00Z</dcterms:modified>
</cp:coreProperties>
</file>