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23D" w14:textId="0B33785F" w:rsidR="00971ECA" w:rsidRPr="00147A36" w:rsidRDefault="00971ECA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147A36">
        <w:rPr>
          <w:color w:val="000000" w:themeColor="text1"/>
          <w:sz w:val="36"/>
          <w:szCs w:val="36"/>
        </w:rPr>
        <w:t xml:space="preserve">Community Care (CC) </w:t>
      </w:r>
      <w:r w:rsidR="00655D84">
        <w:rPr>
          <w:color w:val="000000" w:themeColor="text1"/>
          <w:sz w:val="36"/>
          <w:szCs w:val="36"/>
        </w:rPr>
        <w:t>Integrated Billing</w:t>
      </w:r>
      <w:r w:rsidRPr="00147A36">
        <w:rPr>
          <w:color w:val="000000" w:themeColor="text1"/>
          <w:sz w:val="36"/>
          <w:szCs w:val="36"/>
        </w:rPr>
        <w:t xml:space="preserve"> (</w:t>
      </w:r>
      <w:r w:rsidR="00655D84">
        <w:rPr>
          <w:color w:val="000000" w:themeColor="text1"/>
          <w:sz w:val="36"/>
          <w:szCs w:val="36"/>
        </w:rPr>
        <w:t>IB</w:t>
      </w:r>
      <w:r w:rsidR="006C3B8A">
        <w:rPr>
          <w:color w:val="000000" w:themeColor="text1"/>
          <w:sz w:val="36"/>
          <w:szCs w:val="36"/>
        </w:rPr>
        <w:t>)</w:t>
      </w:r>
      <w:r w:rsidR="00902566">
        <w:rPr>
          <w:color w:val="000000" w:themeColor="text1"/>
          <w:sz w:val="36"/>
          <w:szCs w:val="36"/>
        </w:rPr>
        <w:t xml:space="preserve"> and Accounts Receivable (AR)</w:t>
      </w:r>
    </w:p>
    <w:p w14:paraId="2D85F2CC" w14:textId="4E27FE6B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>
        <w:rPr>
          <w:color w:val="000000" w:themeColor="text1"/>
          <w:sz w:val="36"/>
          <w:szCs w:val="36"/>
        </w:rPr>
        <w:t>IB*2.0</w:t>
      </w:r>
      <w:r w:rsidR="00431CDB" w:rsidRPr="00147A36">
        <w:rPr>
          <w:color w:val="000000" w:themeColor="text1"/>
          <w:sz w:val="36"/>
          <w:szCs w:val="36"/>
        </w:rPr>
        <w:t>*</w:t>
      </w:r>
      <w:r w:rsidR="00414CDF">
        <w:rPr>
          <w:color w:val="000000" w:themeColor="text1"/>
          <w:sz w:val="36"/>
          <w:szCs w:val="36"/>
        </w:rPr>
        <w:t>705</w:t>
      </w:r>
    </w:p>
    <w:bookmarkEnd w:id="1"/>
    <w:bookmarkEnd w:id="3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125A563A" w:rsidR="005B5C9D" w:rsidRPr="00147A36" w:rsidRDefault="00414CDF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>
        <w:rPr>
          <w:color w:val="000000" w:themeColor="text1"/>
        </w:rPr>
        <w:t>March 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3701870F" w:rsidR="00532E46" w:rsidRPr="00EF6DA8" w:rsidRDefault="00414CDF" w:rsidP="00EF6DA8">
            <w:pPr>
              <w:pStyle w:val="TableText"/>
            </w:pPr>
            <w:r>
              <w:t>03/09/2022</w:t>
            </w:r>
          </w:p>
        </w:tc>
        <w:tc>
          <w:tcPr>
            <w:tcW w:w="677" w:type="pct"/>
          </w:tcPr>
          <w:p w14:paraId="4B3AA50C" w14:textId="5ADC38EF" w:rsidR="00532E46" w:rsidRPr="00EF6DA8" w:rsidRDefault="00414CDF" w:rsidP="00EF6DA8">
            <w:pPr>
              <w:pStyle w:val="TableText"/>
            </w:pPr>
            <w:r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18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66C1320F" w14:textId="177792FF" w:rsidR="00C27827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96621220" w:history="1">
        <w:r w:rsidR="00C27827" w:rsidRPr="00505C7A">
          <w:rPr>
            <w:rStyle w:val="Hyperlink"/>
            <w:noProof/>
          </w:rPr>
          <w:t>1.</w:t>
        </w:r>
        <w:r w:rsidR="00C27827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7827" w:rsidRPr="00505C7A">
          <w:rPr>
            <w:rStyle w:val="Hyperlink"/>
            <w:noProof/>
          </w:rPr>
          <w:t>Introduction</w:t>
        </w:r>
        <w:r w:rsidR="00C27827">
          <w:rPr>
            <w:noProof/>
            <w:webHidden/>
          </w:rPr>
          <w:tab/>
        </w:r>
        <w:r w:rsidR="00C27827">
          <w:rPr>
            <w:noProof/>
            <w:webHidden/>
          </w:rPr>
          <w:fldChar w:fldCharType="begin"/>
        </w:r>
        <w:r w:rsidR="00C27827">
          <w:rPr>
            <w:noProof/>
            <w:webHidden/>
          </w:rPr>
          <w:instrText xml:space="preserve"> PAGEREF _Toc96621220 \h </w:instrText>
        </w:r>
        <w:r w:rsidR="00C27827">
          <w:rPr>
            <w:noProof/>
            <w:webHidden/>
          </w:rPr>
        </w:r>
        <w:r w:rsidR="00C27827">
          <w:rPr>
            <w:noProof/>
            <w:webHidden/>
          </w:rPr>
          <w:fldChar w:fldCharType="separate"/>
        </w:r>
        <w:r w:rsidR="00C27827">
          <w:rPr>
            <w:noProof/>
            <w:webHidden/>
          </w:rPr>
          <w:t>1</w:t>
        </w:r>
        <w:r w:rsidR="00C27827">
          <w:rPr>
            <w:noProof/>
            <w:webHidden/>
          </w:rPr>
          <w:fldChar w:fldCharType="end"/>
        </w:r>
      </w:hyperlink>
    </w:p>
    <w:p w14:paraId="1CAA4816" w14:textId="025F76BA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1" w:history="1">
        <w:r w:rsidRPr="00505C7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9C3747" w14:textId="5BD68A94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2" w:history="1">
        <w:r w:rsidRPr="00505C7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3017CFA" w14:textId="277B9485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3" w:history="1">
        <w:r w:rsidRPr="00505C7A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246906" w14:textId="4A5ADB1E" w:rsidR="00C27827" w:rsidRDefault="00C278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4" w:history="1">
        <w:r w:rsidRPr="00505C7A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EDDDBBB" w14:textId="40CE8209" w:rsidR="00C27827" w:rsidRDefault="00C278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5" w:history="1">
        <w:r w:rsidRPr="00505C7A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435287" w14:textId="708DC638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6" w:history="1">
        <w:r w:rsidRPr="00505C7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C1C45D" w14:textId="4566D156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7" w:history="1">
        <w:r w:rsidRPr="00505C7A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96C38F" w14:textId="4F40955B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8" w:history="1">
        <w:r w:rsidRPr="00505C7A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D8F908" w14:textId="5D4220A8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29" w:history="1">
        <w:r w:rsidRPr="00505C7A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1D6553C" w14:textId="15A3759A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0" w:history="1">
        <w:r w:rsidRPr="00505C7A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90A163" w14:textId="51B18225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1" w:history="1">
        <w:r w:rsidRPr="00505C7A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8C4702" w14:textId="758499C3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2" w:history="1">
        <w:r w:rsidRPr="00505C7A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8D074D" w14:textId="5DA52D68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3" w:history="1">
        <w:r w:rsidRPr="00505C7A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5DB3D9" w14:textId="20B5B186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4" w:history="1">
        <w:r w:rsidRPr="00505C7A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C93905" w14:textId="0ACC6CEF" w:rsidR="00C27827" w:rsidRDefault="00C27827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6621235" w:history="1">
        <w:r w:rsidRPr="00505C7A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505C7A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9D21BD" w14:textId="5B2E9A25" w:rsidR="00C27827" w:rsidRDefault="00C278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6" w:history="1">
        <w:r w:rsidRPr="00505C7A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24123C" w14:textId="3D8DEE2E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7" w:history="1">
        <w:r w:rsidRPr="00505C7A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DC5D53" w14:textId="4C85DC9E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8" w:history="1">
        <w:r w:rsidRPr="00505C7A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F53354" w14:textId="68F2FBF9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39" w:history="1">
        <w:r w:rsidRPr="00505C7A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BEC440" w14:textId="7EA0F6E9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0" w:history="1">
        <w:r w:rsidRPr="00505C7A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7BC7EE" w14:textId="623F82D4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1" w:history="1">
        <w:r w:rsidRPr="00505C7A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B1D8E5" w14:textId="7791B4CB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2" w:history="1">
        <w:r w:rsidRPr="00505C7A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DA7E17" w14:textId="46D81FD4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3" w:history="1">
        <w:r w:rsidRPr="00505C7A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241B55" w14:textId="7CB84E44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4" w:history="1">
        <w:r w:rsidRPr="00505C7A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398A10" w14:textId="22331664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5" w:history="1">
        <w:r w:rsidRPr="00505C7A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7236CC" w14:textId="1C50403D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6" w:history="1">
        <w:r w:rsidRPr="00505C7A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ACDF51" w14:textId="5EA0AAAE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7" w:history="1">
        <w:r w:rsidRPr="00505C7A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FFEA88" w14:textId="57314A90" w:rsidR="00C27827" w:rsidRDefault="00C278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8" w:history="1">
        <w:r w:rsidRPr="00505C7A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D567E1" w14:textId="5C7DD5CE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49" w:history="1">
        <w:r w:rsidRPr="00505C7A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FF01F8" w14:textId="6232B050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0" w:history="1">
        <w:r w:rsidRPr="00505C7A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FB821F" w14:textId="79F4E45C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1" w:history="1">
        <w:r w:rsidRPr="00505C7A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6BBE935" w14:textId="42A5A69F" w:rsidR="00C27827" w:rsidRDefault="00C2782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2" w:history="1">
        <w:r w:rsidRPr="00505C7A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EE592A" w14:textId="67ABA5F0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3" w:history="1">
        <w:r w:rsidRPr="00505C7A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FDF81F6" w14:textId="448A9CD7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4" w:history="1">
        <w:r w:rsidRPr="00505C7A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C89B52D" w14:textId="4F9E44A2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5" w:history="1">
        <w:r w:rsidRPr="00505C7A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F84E05" w14:textId="13E9337E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6" w:history="1">
        <w:r w:rsidRPr="00505C7A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D60B60" w14:textId="15FD1376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7" w:history="1">
        <w:r w:rsidRPr="00505C7A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7F61DB" w14:textId="4C2352FD" w:rsidR="00C27827" w:rsidRDefault="00C2782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8" w:history="1">
        <w:r w:rsidRPr="00505C7A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D9CB53" w14:textId="587588C9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59" w:history="1">
        <w:r w:rsidRPr="00505C7A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5A14E7" w14:textId="7108FA40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60" w:history="1">
        <w:r w:rsidRPr="00505C7A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4E0D563" w14:textId="1711EB53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61" w:history="1">
        <w:r w:rsidRPr="00505C7A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66E6FF" w14:textId="02DF8F83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62" w:history="1">
        <w:r w:rsidRPr="00505C7A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B888AC" w14:textId="489BF309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63" w:history="1">
        <w:r w:rsidRPr="00505C7A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6005A1" w14:textId="7AF807BF" w:rsidR="00C27827" w:rsidRDefault="00C2782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6621264" w:history="1">
        <w:r w:rsidRPr="00505C7A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05C7A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_Toc96621264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6EC4AE7A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96621220"/>
      <w:bookmarkEnd w:id="2"/>
      <w:r w:rsidRPr="00270788">
        <w:lastRenderedPageBreak/>
        <w:t>Introduction</w:t>
      </w:r>
      <w:bookmarkEnd w:id="5"/>
      <w:bookmarkEnd w:id="6"/>
    </w:p>
    <w:p w14:paraId="4ED43E62" w14:textId="1F09DD38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151B64">
        <w:t xml:space="preserve">Integrated Billing (IB) and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655D84">
        <w:t>IB*2.0*</w:t>
      </w:r>
      <w:r w:rsidR="00414CDF">
        <w:t>705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96621221"/>
      <w:bookmarkEnd w:id="7"/>
      <w:r w:rsidRPr="00270788">
        <w:t>Purpose</w:t>
      </w:r>
      <w:bookmarkEnd w:id="8"/>
      <w:bookmarkEnd w:id="9"/>
      <w:bookmarkEnd w:id="10"/>
    </w:p>
    <w:p w14:paraId="04AF6570" w14:textId="62949B8F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151B64" w:rsidRPr="00532E46">
        <w:t xml:space="preserve">Community Care </w:t>
      </w:r>
      <w:r w:rsidR="00034C43">
        <w:t>IB/AR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655D84">
        <w:t>IB*2.0*</w:t>
      </w:r>
      <w:r w:rsidR="00414CDF">
        <w:t>705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1" w:name="_Toc411336918"/>
      <w:bookmarkStart w:id="12" w:name="_Toc421540857"/>
      <w:bookmarkStart w:id="13" w:name="_Toc96621222"/>
      <w:r w:rsidRPr="00F07689">
        <w:t>Dependencies</w:t>
      </w:r>
      <w:bookmarkEnd w:id="11"/>
      <w:bookmarkEnd w:id="12"/>
      <w:bookmarkEnd w:id="13"/>
    </w:p>
    <w:p w14:paraId="1416543A" w14:textId="00686C85" w:rsidR="008D55F7" w:rsidRDefault="009567B3" w:rsidP="008D55F7">
      <w:pPr>
        <w:pStyle w:val="BodyText"/>
      </w:pPr>
      <w:bookmarkStart w:id="14" w:name="_Toc411336919"/>
      <w:bookmarkStart w:id="15" w:name="_Toc421540858"/>
      <w:r>
        <w:t>Following patches must</w:t>
      </w:r>
      <w:r w:rsidR="008C2827" w:rsidRPr="6B933F70">
        <w:t xml:space="preserve"> be installed prior to installing </w:t>
      </w:r>
      <w:r w:rsidR="00655D84">
        <w:t>IB*2.0*</w:t>
      </w:r>
      <w:r w:rsidR="00414CDF">
        <w:t>705</w:t>
      </w:r>
      <w:r>
        <w:t>:</w:t>
      </w:r>
    </w:p>
    <w:p w14:paraId="7E64A01E" w14:textId="7EE75979" w:rsidR="00C21879" w:rsidRPr="0057404A" w:rsidRDefault="00C21879" w:rsidP="00C21879">
      <w:pPr>
        <w:pStyle w:val="BodyText"/>
        <w:numPr>
          <w:ilvl w:val="0"/>
          <w:numId w:val="35"/>
        </w:numPr>
      </w:pPr>
      <w:bookmarkStart w:id="16" w:name="_Toc60655696"/>
      <w:bookmarkStart w:id="17" w:name="_Toc60655697"/>
      <w:bookmarkEnd w:id="16"/>
      <w:bookmarkEnd w:id="17"/>
      <w:r w:rsidRPr="00C21879">
        <w:t>PRCA*4.5*391</w:t>
      </w:r>
    </w:p>
    <w:p w14:paraId="755FA0F9" w14:textId="616D82A5" w:rsidR="00C21879" w:rsidRPr="0057404A" w:rsidRDefault="00C21879" w:rsidP="00C21879">
      <w:pPr>
        <w:pStyle w:val="BodyText"/>
        <w:numPr>
          <w:ilvl w:val="0"/>
          <w:numId w:val="35"/>
        </w:numPr>
      </w:pPr>
      <w:r w:rsidRPr="0057404A">
        <w:t>IB*2.0*6</w:t>
      </w:r>
      <w:r>
        <w:t>94</w:t>
      </w:r>
    </w:p>
    <w:p w14:paraId="1F99E8F4" w14:textId="0F8B5355" w:rsidR="00F07689" w:rsidRPr="00F07689" w:rsidRDefault="00F07689" w:rsidP="00CA3C82">
      <w:pPr>
        <w:pStyle w:val="Heading2"/>
      </w:pPr>
      <w:bookmarkStart w:id="18" w:name="_Toc96621223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96621224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1D981FA1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C27827" w:rsidRPr="00CA3C82">
        <w:t xml:space="preserve">Table </w:t>
      </w:r>
      <w:r w:rsidR="00C27827">
        <w:rPr>
          <w:noProof/>
        </w:rPr>
        <w:t>1</w:t>
      </w:r>
      <w:r>
        <w:fldChar w:fldCharType="end"/>
      </w:r>
      <w:r>
        <w:t>.</w:t>
      </w:r>
    </w:p>
    <w:p w14:paraId="6059EA23" w14:textId="310ECD35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C27827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7" w:name="_Toc421540860"/>
      <w:bookmarkStart w:id="28" w:name="_Toc96621225"/>
      <w:r>
        <w:t>Deployment</w:t>
      </w:r>
      <w:bookmarkEnd w:id="28"/>
      <w:r>
        <w:t xml:space="preserve"> </w:t>
      </w:r>
      <w:bookmarkEnd w:id="27"/>
    </w:p>
    <w:p w14:paraId="4ADBF70A" w14:textId="29923469" w:rsidR="005B5C9D" w:rsidRPr="00CA3C82" w:rsidRDefault="005B5C9D" w:rsidP="00CA3C82">
      <w:pPr>
        <w:pStyle w:val="BodyText"/>
      </w:pPr>
      <w:bookmarkStart w:id="29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30" w:name="_Toc96621226"/>
      <w:r w:rsidRPr="00F07689">
        <w:t>Timeline</w:t>
      </w:r>
      <w:bookmarkEnd w:id="29"/>
      <w:bookmarkEnd w:id="30"/>
      <w:r w:rsidRPr="00F07689">
        <w:t xml:space="preserve"> </w:t>
      </w:r>
    </w:p>
    <w:p w14:paraId="085A3A70" w14:textId="10D12E47" w:rsidR="005B5C9D" w:rsidRPr="00F07689" w:rsidRDefault="005B5C9D" w:rsidP="00CA3C82">
      <w:pPr>
        <w:pStyle w:val="BodyText"/>
      </w:pPr>
      <w:bookmarkStart w:id="31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9A5A5C">
        <w:t>30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2" w:name="_Toc96621227"/>
      <w:r w:rsidRPr="00F07689">
        <w:t>Site Readiness Assessment</w:t>
      </w:r>
      <w:bookmarkEnd w:id="31"/>
      <w:bookmarkEnd w:id="32"/>
      <w:r w:rsidRPr="00F07689">
        <w:t xml:space="preserve"> </w:t>
      </w:r>
    </w:p>
    <w:p w14:paraId="7204493A" w14:textId="4534C202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034C43">
        <w:rPr>
          <w:color w:val="000000" w:themeColor="text1"/>
        </w:rPr>
        <w:t xml:space="preserve">IB/AR </w:t>
      </w:r>
      <w:r w:rsidR="00034C43" w:rsidRPr="00532E46">
        <w:t xml:space="preserve">Enhancements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IB*2.0*</w:t>
      </w:r>
      <w:r w:rsidR="009A5A5C">
        <w:t>705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96621228"/>
      <w:r w:rsidRPr="00F07689">
        <w:t>Deployment Topology (Targeted Architecture)</w:t>
      </w:r>
      <w:bookmarkEnd w:id="33"/>
      <w:bookmarkEnd w:id="34"/>
    </w:p>
    <w:p w14:paraId="6133D957" w14:textId="2EA2A798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6" w:name="_Toc96621229"/>
      <w:r w:rsidRPr="00F07689">
        <w:t>Site Information (Locations, Deployment Recipients)</w:t>
      </w:r>
      <w:bookmarkEnd w:id="35"/>
      <w:bookmarkEnd w:id="36"/>
      <w:r w:rsidRPr="00F07689">
        <w:t xml:space="preserve"> </w:t>
      </w:r>
    </w:p>
    <w:p w14:paraId="53334290" w14:textId="2396320D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  <w:r w:rsidR="002F4269">
        <w:t xml:space="preserve"> </w:t>
      </w:r>
    </w:p>
    <w:p w14:paraId="3E959FE2" w14:textId="77777777" w:rsidR="00F07689" w:rsidRPr="00F07689" w:rsidRDefault="00F07689" w:rsidP="00CA3C82">
      <w:pPr>
        <w:pStyle w:val="Heading3"/>
      </w:pPr>
      <w:bookmarkStart w:id="37" w:name="_Toc421540865"/>
      <w:bookmarkStart w:id="38" w:name="_Toc96621230"/>
      <w:r w:rsidRPr="00F07689">
        <w:lastRenderedPageBreak/>
        <w:t>Site Preparation</w:t>
      </w:r>
      <w:bookmarkEnd w:id="37"/>
      <w:bookmarkEnd w:id="38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96621231"/>
      <w:bookmarkEnd w:id="39"/>
      <w:r w:rsidRPr="00F07689">
        <w:t>Resources</w:t>
      </w:r>
      <w:bookmarkEnd w:id="40"/>
      <w:bookmarkEnd w:id="41"/>
    </w:p>
    <w:p w14:paraId="554102A7" w14:textId="19339300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034C43">
        <w:t>IB/AR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IB*2.0*</w:t>
      </w:r>
      <w:r w:rsidR="00F7424B">
        <w:t>705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2" w:name="_Toc421540868"/>
      <w:bookmarkStart w:id="43" w:name="_Toc96621232"/>
      <w:r w:rsidRPr="00F07689">
        <w:t>Hardware</w:t>
      </w:r>
      <w:bookmarkEnd w:id="42"/>
      <w:bookmarkEnd w:id="43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96621233"/>
      <w:bookmarkEnd w:id="44"/>
      <w:r w:rsidRPr="00F07689">
        <w:t>Software</w:t>
      </w:r>
      <w:bookmarkEnd w:id="45"/>
      <w:bookmarkEnd w:id="46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96621234"/>
      <w:bookmarkEnd w:id="47"/>
      <w:r w:rsidRPr="0005370A">
        <w:t>Communications</w:t>
      </w:r>
      <w:bookmarkEnd w:id="48"/>
      <w:bookmarkEnd w:id="49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96621235"/>
      <w:r>
        <w:t>Deployment/Installation/Back-Out Checklist</w:t>
      </w:r>
      <w:bookmarkEnd w:id="50"/>
    </w:p>
    <w:p w14:paraId="1ACF3F30" w14:textId="6D5F109D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3A1E9F">
        <w:t>IB*2.0*</w:t>
      </w:r>
      <w:r w:rsidR="00575756">
        <w:t>705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319C7663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C27827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2" w:name="_Toc96621236"/>
      <w:r>
        <w:lastRenderedPageBreak/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96621237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4" w:name="_Toc96621238"/>
      <w:r>
        <w:t>Platform Installation and Preparation</w:t>
      </w:r>
      <w:bookmarkEnd w:id="54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96621239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96621240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96621241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96621242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96621243"/>
      <w:r>
        <w:t xml:space="preserve">Access Requirements and </w:t>
      </w:r>
      <w:r w:rsidR="005C5ED2">
        <w:t>Skills Needed for the Installation</w:t>
      </w:r>
      <w:bookmarkEnd w:id="60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1" w:name="_Toc416250739"/>
      <w:bookmarkStart w:id="62" w:name="_Toc430174019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3" w:name="_Toc96621244"/>
      <w:r w:rsidRPr="00FD6DC0">
        <w:lastRenderedPageBreak/>
        <w:t>Installation Procedure</w:t>
      </w:r>
      <w:bookmarkEnd w:id="61"/>
      <w:bookmarkEnd w:id="62"/>
      <w:bookmarkEnd w:id="63"/>
    </w:p>
    <w:p w14:paraId="35F589A3" w14:textId="2DB2B30B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164157A8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IB*2.0*</w:t>
      </w:r>
      <w:r w:rsidR="00575756">
        <w:rPr>
          <w:b/>
          <w:bCs/>
        </w:rPr>
        <w:t>705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59E175BD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575756">
        <w:rPr>
          <w:b/>
          <w:bCs/>
        </w:rPr>
        <w:t>Build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r>
        <w:t>R         Routines</w:t>
      </w:r>
    </w:p>
    <w:p w14:paraId="56CBFC91" w14:textId="17BCEA33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575756" w:rsidRPr="00575756">
        <w:rPr>
          <w:b/>
          <w:bCs/>
        </w:rPr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4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196691BE" w:rsidR="000B506D" w:rsidRDefault="00F97080" w:rsidP="000B506D">
      <w:pPr>
        <w:pStyle w:val="BodyText"/>
        <w:numPr>
          <w:ilvl w:val="2"/>
          <w:numId w:val="32"/>
        </w:numPr>
      </w:pPr>
      <w:r>
        <w:t xml:space="preserve">If prompted 'Want KIDS to Rebuild Menu Trees Upon Completion of Install? YES//', answer </w:t>
      </w:r>
      <w:r w:rsidR="00575756">
        <w:rPr>
          <w:b/>
          <w:bCs/>
        </w:rPr>
        <w:t>No</w:t>
      </w:r>
      <w:r w:rsidR="00E201B5">
        <w:t>.</w:t>
      </w:r>
    </w:p>
    <w:p w14:paraId="46540342" w14:textId="0D0CC6B9" w:rsidR="000B506D" w:rsidRDefault="00F97080" w:rsidP="000B506D">
      <w:pPr>
        <w:pStyle w:val="BodyText"/>
        <w:numPr>
          <w:ilvl w:val="2"/>
          <w:numId w:val="32"/>
        </w:numPr>
      </w:pPr>
      <w:r>
        <w:t xml:space="preserve">When prompted 'Want KIDS to INHIBIT LOGONs during the install? NO//', answer </w:t>
      </w:r>
      <w:r w:rsidR="00575756">
        <w:rPr>
          <w:b/>
          <w:bCs/>
        </w:rPr>
        <w:t>No</w:t>
      </w:r>
      <w:r w:rsidR="00E201B5">
        <w:t>.</w:t>
      </w:r>
    </w:p>
    <w:p w14:paraId="0FEF55B6" w14:textId="5E3905D8" w:rsidR="00F97080" w:rsidRPr="000B506D" w:rsidRDefault="00F97080" w:rsidP="000B506D">
      <w:pPr>
        <w:pStyle w:val="BodyText"/>
        <w:numPr>
          <w:ilvl w:val="2"/>
          <w:numId w:val="32"/>
        </w:numPr>
      </w:pPr>
      <w:r>
        <w:t xml:space="preserve">When prompted 'Want to DISABLE Scheduled Options, Menu Options, and Protocols? NO//', answer </w:t>
      </w:r>
      <w:r w:rsidR="00575756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5" w:name="_Toc96621245"/>
      <w:r>
        <w:lastRenderedPageBreak/>
        <w:t>Installation Verification Procedure</w:t>
      </w:r>
      <w:bookmarkEnd w:id="65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96621246"/>
      <w:r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96621247"/>
      <w:r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96621248"/>
      <w:r>
        <w:t>Back-Out</w:t>
      </w:r>
      <w:r w:rsidR="00AE5904">
        <w:t xml:space="preserve"> Procedure</w:t>
      </w:r>
      <w:bookmarkEnd w:id="68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96621249"/>
      <w:r>
        <w:t>Back-Out</w:t>
      </w:r>
      <w:r w:rsidR="00455CB4">
        <w:t xml:space="preserve"> Strategy</w:t>
      </w:r>
      <w:bookmarkEnd w:id="69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96621250"/>
      <w:r>
        <w:t>Back-Out</w:t>
      </w:r>
      <w:r w:rsidR="006C6DBA">
        <w:t xml:space="preserve"> Considerations</w:t>
      </w:r>
      <w:bookmarkEnd w:id="70"/>
    </w:p>
    <w:p w14:paraId="0655A490" w14:textId="4E114AAD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IB*2.0*</w:t>
      </w:r>
      <w:r w:rsidR="00575756">
        <w:t>705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 xml:space="preserve">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575756">
        <w:t>705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1" w:name="_Toc96621251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96621252"/>
      <w:r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96621253"/>
      <w:r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96621254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96621255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77777777" w:rsidR="00A31737" w:rsidRDefault="00A31737" w:rsidP="00A31737">
      <w:pPr>
        <w:pStyle w:val="BodyTextBullet1"/>
      </w:pPr>
      <w:r>
        <w:t xml:space="preserve">Health Product Support Management – </w:t>
      </w:r>
    </w:p>
    <w:p w14:paraId="0AF862CB" w14:textId="40CE8E4F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John P Elliott; email - </w:t>
      </w:r>
      <w:hyperlink r:id="rId19" w:history="1">
        <w:r w:rsidRPr="004C115D">
          <w:rPr>
            <w:rStyle w:val="Hyperlink"/>
          </w:rPr>
          <w:t>John.Elliott@va.gov</w:t>
        </w:r>
      </w:hyperlink>
    </w:p>
    <w:p w14:paraId="633519B8" w14:textId="4F36378D" w:rsidR="0085637A" w:rsidRPr="007E335C" w:rsidRDefault="00BA1490" w:rsidP="0073743C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EC078A" w:rsidRPr="00EC078A">
        <w:t xml:space="preserve">Angela Murray; email – </w:t>
      </w:r>
      <w:hyperlink r:id="rId20" w:history="1">
        <w:r w:rsidR="00151B64" w:rsidRPr="0058238D">
          <w:rPr>
            <w:rStyle w:val="Hyperlink"/>
          </w:rPr>
          <w:t>angela.harris@va.gov</w:t>
        </w:r>
      </w:hyperlink>
      <w:r w:rsidR="00151B64">
        <w:t xml:space="preserve"> </w:t>
      </w:r>
    </w:p>
    <w:p w14:paraId="10F72F77" w14:textId="6DFE07AB" w:rsidR="00BA1490" w:rsidRPr="007E335C" w:rsidRDefault="00BA1490" w:rsidP="00355554">
      <w:pPr>
        <w:pStyle w:val="BodyTextBullet2"/>
        <w:numPr>
          <w:ilvl w:val="1"/>
          <w:numId w:val="27"/>
        </w:numPr>
      </w:pPr>
      <w:r w:rsidRPr="007E335C">
        <w:t>Secondary</w:t>
      </w:r>
      <w:r w:rsidRPr="007E335C">
        <w:rPr>
          <w:szCs w:val="24"/>
        </w:rPr>
        <w:t xml:space="preserve">: </w:t>
      </w:r>
      <w:r w:rsidR="00EC078A" w:rsidRPr="00EC078A">
        <w:t xml:space="preserve">Luree Burgin; email – </w:t>
      </w:r>
      <w:hyperlink r:id="rId21" w:history="1">
        <w:r w:rsidR="00151B64" w:rsidRPr="0058238D">
          <w:rPr>
            <w:rStyle w:val="Hyperlink"/>
          </w:rPr>
          <w:t>luree.burgin@va.gov</w:t>
        </w:r>
      </w:hyperlink>
      <w:r w:rsidR="00151B64">
        <w:t xml:space="preserve"> </w:t>
      </w:r>
    </w:p>
    <w:p w14:paraId="2F726ABB" w14:textId="77777777" w:rsidR="00A31737" w:rsidRDefault="00A31737" w:rsidP="00A31737">
      <w:pPr>
        <w:pStyle w:val="BodyTextBullet1"/>
      </w:pPr>
      <w:r>
        <w:t xml:space="preserve">CPAC Revenue System Managers – </w:t>
      </w:r>
    </w:p>
    <w:p w14:paraId="53755E53" w14:textId="45791718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Brandon </w:t>
      </w:r>
      <w:r w:rsidRPr="004A46A1">
        <w:rPr>
          <w:szCs w:val="22"/>
        </w:rPr>
        <w:t>Bergeron</w:t>
      </w:r>
      <w:r>
        <w:rPr>
          <w:szCs w:val="22"/>
        </w:rPr>
        <w:t xml:space="preserve">; email - </w:t>
      </w:r>
      <w:hyperlink r:id="rId22" w:history="1">
        <w:r w:rsidRPr="004C115D">
          <w:rPr>
            <w:rStyle w:val="Hyperlink"/>
            <w:szCs w:val="22"/>
          </w:rPr>
          <w:t>Brandon.Bergeron@va.gov</w:t>
        </w:r>
      </w:hyperlink>
    </w:p>
    <w:p w14:paraId="287CB10C" w14:textId="5177C3D1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9C1BC9">
        <w:t>Jerry Battles</w:t>
      </w:r>
      <w:r>
        <w:t xml:space="preserve">; email - </w:t>
      </w:r>
      <w:hyperlink r:id="rId23" w:history="1">
        <w:r w:rsidR="009C1BC9" w:rsidRPr="008F11CF">
          <w:rPr>
            <w:rStyle w:val="Hyperlink"/>
          </w:rPr>
          <w:t>Jerry.Battles@va.gov</w:t>
        </w:r>
      </w:hyperlink>
    </w:p>
    <w:p w14:paraId="0640785E" w14:textId="77777777" w:rsidR="00A31737" w:rsidRDefault="00A31737" w:rsidP="00A31737">
      <w:pPr>
        <w:pStyle w:val="BodyTextBullet1"/>
      </w:pPr>
      <w:r>
        <w:t xml:space="preserve">Development Team – </w:t>
      </w:r>
    </w:p>
    <w:p w14:paraId="72566B23" w14:textId="7AA0096E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Rajeev Vadgama; email - </w:t>
      </w:r>
      <w:hyperlink r:id="rId24" w:history="1">
        <w:r w:rsidRPr="004C115D">
          <w:rPr>
            <w:rStyle w:val="Hyperlink"/>
          </w:rPr>
          <w:t>Rajeev.Vadgama@va.gov</w:t>
        </w:r>
      </w:hyperlink>
    </w:p>
    <w:p w14:paraId="7859185F" w14:textId="6896BF5D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Scott Bush; email - </w:t>
      </w:r>
      <w:hyperlink r:id="rId25" w:history="1">
        <w:r w:rsidRPr="004C115D">
          <w:rPr>
            <w:rStyle w:val="Hyperlink"/>
          </w:rPr>
          <w:t>Scott.Bush@va.gov</w:t>
        </w:r>
      </w:hyperlink>
    </w:p>
    <w:p w14:paraId="36A15A36" w14:textId="77777777" w:rsidR="00AE5904" w:rsidRDefault="00685E4D" w:rsidP="00CA3C82">
      <w:pPr>
        <w:pStyle w:val="Heading2"/>
      </w:pPr>
      <w:bookmarkStart w:id="76" w:name="_Toc96621256"/>
      <w:r>
        <w:t>Back-Out</w:t>
      </w:r>
      <w:r w:rsidR="00AE5904">
        <w:t xml:space="preserve"> Procedure</w:t>
      </w:r>
      <w:bookmarkEnd w:id="76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2380F5A4" w:rsidR="00E467E5" w:rsidRDefault="00E467E5" w:rsidP="005E5A33">
      <w:pPr>
        <w:pStyle w:val="BodyText"/>
      </w:pPr>
      <w:r>
        <w:t xml:space="preserve">The </w:t>
      </w:r>
      <w:r w:rsidR="003A1E9F">
        <w:t>IB*2.0*</w:t>
      </w:r>
      <w:r w:rsidR="00EC078A">
        <w:t>705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A10F331" w14:textId="1DCB49E4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7" w:name="_Toc96621257"/>
      <w:r>
        <w:t>Back-out Verification Procedure</w:t>
      </w:r>
      <w:bookmarkEnd w:id="77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8" w:name="_Toc96621258"/>
      <w:r>
        <w:t>Rollback Procedure</w:t>
      </w:r>
      <w:bookmarkEnd w:id="78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9" w:name="_Toc2267860"/>
      <w:bookmarkStart w:id="80" w:name="_Toc96621259"/>
      <w:r>
        <w:t>Rollback Considerations</w:t>
      </w:r>
      <w:bookmarkEnd w:id="79"/>
      <w:bookmarkEnd w:id="80"/>
    </w:p>
    <w:p w14:paraId="18471A4C" w14:textId="678F0BFC" w:rsidR="000517E6" w:rsidRDefault="000517E6" w:rsidP="000517E6">
      <w:pPr>
        <w:pStyle w:val="BodyText"/>
      </w:pPr>
      <w:bookmarkStart w:id="81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2" w:name="_Toc96621260"/>
      <w:r>
        <w:t>Rollback Criteria</w:t>
      </w:r>
      <w:bookmarkEnd w:id="81"/>
      <w:bookmarkEnd w:id="82"/>
    </w:p>
    <w:p w14:paraId="69AFF36B" w14:textId="75CBBB2E" w:rsidR="000517E6" w:rsidRDefault="000517E6" w:rsidP="000517E6">
      <w:pPr>
        <w:pStyle w:val="BodyText"/>
      </w:pPr>
      <w:bookmarkStart w:id="83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4" w:name="_Toc96621261"/>
      <w:r>
        <w:t>Rollback Risks</w:t>
      </w:r>
      <w:bookmarkEnd w:id="83"/>
      <w:bookmarkEnd w:id="84"/>
    </w:p>
    <w:p w14:paraId="6C81083F" w14:textId="23D8BE7C" w:rsidR="000517E6" w:rsidRDefault="000517E6" w:rsidP="000517E6">
      <w:pPr>
        <w:pStyle w:val="BodyText"/>
      </w:pPr>
      <w:bookmarkStart w:id="85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6" w:name="_Toc96621262"/>
      <w:r>
        <w:t>Authority for Rollback</w:t>
      </w:r>
      <w:bookmarkEnd w:id="85"/>
      <w:bookmarkEnd w:id="86"/>
    </w:p>
    <w:p w14:paraId="7CB2C32A" w14:textId="4D106EBE" w:rsidR="000517E6" w:rsidRDefault="000517E6" w:rsidP="000517E6">
      <w:pPr>
        <w:pStyle w:val="BodyText"/>
      </w:pPr>
      <w:bookmarkStart w:id="87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8" w:name="_Toc96621263"/>
      <w:r>
        <w:t>Rollback Procedure</w:t>
      </w:r>
      <w:bookmarkEnd w:id="87"/>
      <w:bookmarkEnd w:id="88"/>
    </w:p>
    <w:p w14:paraId="64396F61" w14:textId="0A7544BF" w:rsidR="000517E6" w:rsidRDefault="000517E6" w:rsidP="000517E6">
      <w:pPr>
        <w:pStyle w:val="BodyText"/>
      </w:pPr>
      <w:bookmarkStart w:id="89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90" w:name="_Toc96621264"/>
      <w:r>
        <w:t xml:space="preserve">Rollback Verification </w:t>
      </w:r>
      <w:r w:rsidRPr="00B0430A">
        <w:t>Procedure</w:t>
      </w:r>
      <w:bookmarkEnd w:id="89"/>
      <w:bookmarkEnd w:id="90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E059" w14:textId="77777777" w:rsidR="00012FDB" w:rsidRDefault="00012FDB">
      <w:r>
        <w:separator/>
      </w:r>
    </w:p>
    <w:p w14:paraId="122E950B" w14:textId="77777777" w:rsidR="00012FDB" w:rsidRDefault="00012FDB"/>
  </w:endnote>
  <w:endnote w:type="continuationSeparator" w:id="0">
    <w:p w14:paraId="69891E50" w14:textId="77777777" w:rsidR="00012FDB" w:rsidRDefault="00012FDB">
      <w:r>
        <w:continuationSeparator/>
      </w:r>
    </w:p>
    <w:p w14:paraId="4C5CC9A4" w14:textId="77777777" w:rsidR="00012FDB" w:rsidRDefault="0001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9DCD" w14:textId="77777777" w:rsidR="00C679DF" w:rsidRDefault="00C67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E298" w14:textId="77777777" w:rsidR="00C679DF" w:rsidRDefault="00C67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01BC" w14:textId="77777777" w:rsidR="00C679DF" w:rsidRDefault="00C679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808B" w14:textId="3E6F41CA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655D84">
      <w:t>IB</w:t>
    </w:r>
    <w:r w:rsidR="00C679DF">
      <w:t>/</w:t>
    </w:r>
    <w:r w:rsidR="00902566">
      <w:t>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414CDF">
      <w:rPr>
        <w:rStyle w:val="FooterChar"/>
      </w:rPr>
      <w:t>March 2022</w:t>
    </w:r>
  </w:p>
  <w:p w14:paraId="3C9B1F02" w14:textId="11E392D3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IB</w:t>
    </w:r>
    <w:r w:rsidR="009D4F83">
      <w:t>*</w:t>
    </w:r>
    <w:r>
      <w:t>2.0</w:t>
    </w:r>
    <w:r w:rsidR="009D4F83">
      <w:t>*</w:t>
    </w:r>
    <w:r w:rsidR="00414CDF">
      <w:t>705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F47A0" w14:textId="77777777" w:rsidR="00012FDB" w:rsidRDefault="00012FDB">
      <w:r>
        <w:separator/>
      </w:r>
    </w:p>
    <w:p w14:paraId="5F4B9A3E" w14:textId="77777777" w:rsidR="00012FDB" w:rsidRDefault="00012FDB"/>
  </w:footnote>
  <w:footnote w:type="continuationSeparator" w:id="0">
    <w:p w14:paraId="4685A8B2" w14:textId="77777777" w:rsidR="00012FDB" w:rsidRDefault="00012FDB">
      <w:r>
        <w:continuationSeparator/>
      </w:r>
    </w:p>
    <w:p w14:paraId="10A591CE" w14:textId="77777777" w:rsidR="00012FDB" w:rsidRDefault="00012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87C2" w14:textId="77777777" w:rsidR="00C679DF" w:rsidRDefault="00C67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C41B" w14:textId="77777777" w:rsidR="00C679DF" w:rsidRDefault="00C67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7A60" w14:textId="77777777" w:rsidR="00C679DF" w:rsidRDefault="00C67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2FDB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4C43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1B64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4CDF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36E5F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1663"/>
    <w:rsid w:val="00575756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0F3B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691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5D84"/>
    <w:rsid w:val="0065756A"/>
    <w:rsid w:val="0066022A"/>
    <w:rsid w:val="00660C75"/>
    <w:rsid w:val="00663B92"/>
    <w:rsid w:val="00665BF6"/>
    <w:rsid w:val="00666A2A"/>
    <w:rsid w:val="006670D2"/>
    <w:rsid w:val="00667E47"/>
    <w:rsid w:val="00674B44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2566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A5C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C58B7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6639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1879"/>
    <w:rsid w:val="00C24579"/>
    <w:rsid w:val="00C2503A"/>
    <w:rsid w:val="00C27658"/>
    <w:rsid w:val="00C27827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679DF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078A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424B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luree.burgin@va.gov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Scott.Bush@va.gov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angela.harris@v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mailto:Rajeev.Vadgama@v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Jerry.Battles@v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ohn.Elliott@v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Brandon.Bergeron@v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4" ma:contentTypeDescription="Create a new document." ma:contentTypeScope="" ma:versionID="a3d08b673bb49b86ec24c3b0fc0171b3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20824ec172b227608aab9e87751e1862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6842-34DF-4526-B739-BE78C24C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7E99-67CE-4082-AB85-4622470F0822}">
  <ds:schemaRefs>
    <ds:schemaRef ds:uri="http://purl.org/dc/dcmitype/"/>
    <ds:schemaRef ds:uri="80c3bdd1-817c-4458-9d64-0fe279b345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2620</Words>
  <Characters>17714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2021-12-17T21:51:00Z</dcterms:created>
  <dcterms:modified xsi:type="dcterms:W3CDTF">2022-02-24T23:53:00Z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