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70404FE9" w:rsidR="00DF41CE" w:rsidRPr="005D7D1B" w:rsidRDefault="001F419B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IB*2.0*6</w:t>
      </w:r>
      <w:r w:rsidR="00DF51B7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53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789D1E05" w:rsidR="00DF41CE" w:rsidRPr="005D7D1B" w:rsidRDefault="00C06C26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May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77777777" w:rsidR="00DF41CE" w:rsidRDefault="00DF41CE" w:rsidP="000315D0">
      <w:pPr>
        <w:pStyle w:val="Title2"/>
        <w:spacing w:before="120" w:after="120"/>
      </w:pPr>
      <w:r>
        <w:t>Office of Information and Technology (OI&amp;T)</w:t>
      </w:r>
    </w:p>
    <w:p w14:paraId="2ED06B91" w14:textId="535BC5AC" w:rsidR="006F03F0" w:rsidRDefault="006F03F0">
      <w:pPr>
        <w:spacing w:before="0" w:after="0"/>
        <w:rPr>
          <w:b/>
          <w:i/>
          <w:iCs/>
          <w:color w:val="0000FF"/>
          <w:szCs w:val="20"/>
        </w:rPr>
      </w:pPr>
      <w:r>
        <w:rPr>
          <w:b/>
        </w:rPr>
        <w:br w:type="page"/>
      </w:r>
    </w:p>
    <w:p w14:paraId="5D0C9CDB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6E86CB40" w14:textId="2A3FF6D4" w:rsidR="00097552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40694389" w:history="1">
        <w:r w:rsidR="00097552" w:rsidRPr="00E161BE">
          <w:rPr>
            <w:rStyle w:val="Hyperlink"/>
            <w:noProof/>
          </w:rPr>
          <w:t>1.</w:t>
        </w:r>
        <w:r w:rsidR="000975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97552" w:rsidRPr="00E161BE">
          <w:rPr>
            <w:rStyle w:val="Hyperlink"/>
            <w:noProof/>
          </w:rPr>
          <w:t>Introduction</w:t>
        </w:r>
        <w:r w:rsidR="00097552">
          <w:rPr>
            <w:noProof/>
            <w:webHidden/>
          </w:rPr>
          <w:tab/>
        </w:r>
        <w:r w:rsidR="00097552">
          <w:rPr>
            <w:noProof/>
            <w:webHidden/>
          </w:rPr>
          <w:fldChar w:fldCharType="begin"/>
        </w:r>
        <w:r w:rsidR="00097552">
          <w:rPr>
            <w:noProof/>
            <w:webHidden/>
          </w:rPr>
          <w:instrText xml:space="preserve"> PAGEREF _Toc40694389 \h </w:instrText>
        </w:r>
        <w:r w:rsidR="00097552">
          <w:rPr>
            <w:noProof/>
            <w:webHidden/>
          </w:rPr>
        </w:r>
        <w:r w:rsidR="00097552">
          <w:rPr>
            <w:noProof/>
            <w:webHidden/>
          </w:rPr>
          <w:fldChar w:fldCharType="separate"/>
        </w:r>
        <w:r w:rsidR="006D32A6">
          <w:rPr>
            <w:noProof/>
            <w:webHidden/>
          </w:rPr>
          <w:t>1</w:t>
        </w:r>
        <w:r w:rsidR="00097552">
          <w:rPr>
            <w:noProof/>
            <w:webHidden/>
          </w:rPr>
          <w:fldChar w:fldCharType="end"/>
        </w:r>
      </w:hyperlink>
    </w:p>
    <w:p w14:paraId="443039E8" w14:textId="2A004328" w:rsidR="00097552" w:rsidRDefault="00677CE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694390" w:history="1">
        <w:r w:rsidR="00097552" w:rsidRPr="00E161BE">
          <w:rPr>
            <w:rStyle w:val="Hyperlink"/>
            <w:noProof/>
          </w:rPr>
          <w:t>2.</w:t>
        </w:r>
        <w:r w:rsidR="000975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97552" w:rsidRPr="00E161BE">
          <w:rPr>
            <w:rStyle w:val="Hyperlink"/>
            <w:noProof/>
          </w:rPr>
          <w:t>Purpose</w:t>
        </w:r>
        <w:r w:rsidR="00097552">
          <w:rPr>
            <w:noProof/>
            <w:webHidden/>
          </w:rPr>
          <w:tab/>
        </w:r>
        <w:r w:rsidR="00097552">
          <w:rPr>
            <w:noProof/>
            <w:webHidden/>
          </w:rPr>
          <w:fldChar w:fldCharType="begin"/>
        </w:r>
        <w:r w:rsidR="00097552">
          <w:rPr>
            <w:noProof/>
            <w:webHidden/>
          </w:rPr>
          <w:instrText xml:space="preserve"> PAGEREF _Toc40694390 \h </w:instrText>
        </w:r>
        <w:r w:rsidR="00097552">
          <w:rPr>
            <w:noProof/>
            <w:webHidden/>
          </w:rPr>
        </w:r>
        <w:r w:rsidR="00097552">
          <w:rPr>
            <w:noProof/>
            <w:webHidden/>
          </w:rPr>
          <w:fldChar w:fldCharType="separate"/>
        </w:r>
        <w:r w:rsidR="006D32A6">
          <w:rPr>
            <w:noProof/>
            <w:webHidden/>
          </w:rPr>
          <w:t>1</w:t>
        </w:r>
        <w:r w:rsidR="00097552">
          <w:rPr>
            <w:noProof/>
            <w:webHidden/>
          </w:rPr>
          <w:fldChar w:fldCharType="end"/>
        </w:r>
      </w:hyperlink>
    </w:p>
    <w:p w14:paraId="092A433D" w14:textId="623E18D2" w:rsidR="00097552" w:rsidRDefault="00677CE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694391" w:history="1">
        <w:r w:rsidR="00097552" w:rsidRPr="00E161BE">
          <w:rPr>
            <w:rStyle w:val="Hyperlink"/>
            <w:noProof/>
          </w:rPr>
          <w:t>3.</w:t>
        </w:r>
        <w:r w:rsidR="000975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97552" w:rsidRPr="00E161BE">
          <w:rPr>
            <w:rStyle w:val="Hyperlink"/>
            <w:noProof/>
          </w:rPr>
          <w:t>Audience</w:t>
        </w:r>
        <w:r w:rsidR="00097552">
          <w:rPr>
            <w:noProof/>
            <w:webHidden/>
          </w:rPr>
          <w:tab/>
        </w:r>
        <w:r w:rsidR="00097552">
          <w:rPr>
            <w:noProof/>
            <w:webHidden/>
          </w:rPr>
          <w:fldChar w:fldCharType="begin"/>
        </w:r>
        <w:r w:rsidR="00097552">
          <w:rPr>
            <w:noProof/>
            <w:webHidden/>
          </w:rPr>
          <w:instrText xml:space="preserve"> PAGEREF _Toc40694391 \h </w:instrText>
        </w:r>
        <w:r w:rsidR="00097552">
          <w:rPr>
            <w:noProof/>
            <w:webHidden/>
          </w:rPr>
        </w:r>
        <w:r w:rsidR="00097552">
          <w:rPr>
            <w:noProof/>
            <w:webHidden/>
          </w:rPr>
          <w:fldChar w:fldCharType="separate"/>
        </w:r>
        <w:r w:rsidR="006D32A6">
          <w:rPr>
            <w:noProof/>
            <w:webHidden/>
          </w:rPr>
          <w:t>1</w:t>
        </w:r>
        <w:r w:rsidR="00097552">
          <w:rPr>
            <w:noProof/>
            <w:webHidden/>
          </w:rPr>
          <w:fldChar w:fldCharType="end"/>
        </w:r>
      </w:hyperlink>
    </w:p>
    <w:p w14:paraId="3562395A" w14:textId="732EEA5F" w:rsidR="00097552" w:rsidRDefault="00677CE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694392" w:history="1">
        <w:r w:rsidR="00097552" w:rsidRPr="00E161BE">
          <w:rPr>
            <w:rStyle w:val="Hyperlink"/>
            <w:noProof/>
          </w:rPr>
          <w:t>4.</w:t>
        </w:r>
        <w:r w:rsidR="000975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97552" w:rsidRPr="00E161BE">
          <w:rPr>
            <w:rStyle w:val="Hyperlink"/>
            <w:noProof/>
          </w:rPr>
          <w:t>This Release</w:t>
        </w:r>
        <w:r w:rsidR="00097552">
          <w:rPr>
            <w:noProof/>
            <w:webHidden/>
          </w:rPr>
          <w:tab/>
        </w:r>
        <w:r w:rsidR="00097552">
          <w:rPr>
            <w:noProof/>
            <w:webHidden/>
          </w:rPr>
          <w:fldChar w:fldCharType="begin"/>
        </w:r>
        <w:r w:rsidR="00097552">
          <w:rPr>
            <w:noProof/>
            <w:webHidden/>
          </w:rPr>
          <w:instrText xml:space="preserve"> PAGEREF _Toc40694392 \h </w:instrText>
        </w:r>
        <w:r w:rsidR="00097552">
          <w:rPr>
            <w:noProof/>
            <w:webHidden/>
          </w:rPr>
        </w:r>
        <w:r w:rsidR="00097552">
          <w:rPr>
            <w:noProof/>
            <w:webHidden/>
          </w:rPr>
          <w:fldChar w:fldCharType="separate"/>
        </w:r>
        <w:r w:rsidR="006D32A6">
          <w:rPr>
            <w:noProof/>
            <w:webHidden/>
          </w:rPr>
          <w:t>1</w:t>
        </w:r>
        <w:r w:rsidR="00097552">
          <w:rPr>
            <w:noProof/>
            <w:webHidden/>
          </w:rPr>
          <w:fldChar w:fldCharType="end"/>
        </w:r>
      </w:hyperlink>
    </w:p>
    <w:p w14:paraId="143F0265" w14:textId="23A7681C" w:rsidR="00097552" w:rsidRDefault="00677CE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694393" w:history="1">
        <w:r w:rsidR="00097552" w:rsidRPr="00E161BE">
          <w:rPr>
            <w:rStyle w:val="Hyperlink"/>
            <w:noProof/>
          </w:rPr>
          <w:t>4.1.</w:t>
        </w:r>
        <w:r w:rsidR="000975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97552" w:rsidRPr="00E161BE">
          <w:rPr>
            <w:rStyle w:val="Hyperlink"/>
            <w:noProof/>
          </w:rPr>
          <w:t>New Features and Functions Added</w:t>
        </w:r>
        <w:r w:rsidR="00097552">
          <w:rPr>
            <w:noProof/>
            <w:webHidden/>
          </w:rPr>
          <w:tab/>
        </w:r>
        <w:r w:rsidR="00097552">
          <w:rPr>
            <w:noProof/>
            <w:webHidden/>
          </w:rPr>
          <w:fldChar w:fldCharType="begin"/>
        </w:r>
        <w:r w:rsidR="00097552">
          <w:rPr>
            <w:noProof/>
            <w:webHidden/>
          </w:rPr>
          <w:instrText xml:space="preserve"> PAGEREF _Toc40694393 \h </w:instrText>
        </w:r>
        <w:r w:rsidR="00097552">
          <w:rPr>
            <w:noProof/>
            <w:webHidden/>
          </w:rPr>
        </w:r>
        <w:r w:rsidR="00097552">
          <w:rPr>
            <w:noProof/>
            <w:webHidden/>
          </w:rPr>
          <w:fldChar w:fldCharType="separate"/>
        </w:r>
        <w:r w:rsidR="006D32A6">
          <w:rPr>
            <w:noProof/>
            <w:webHidden/>
          </w:rPr>
          <w:t>1</w:t>
        </w:r>
        <w:r w:rsidR="00097552">
          <w:rPr>
            <w:noProof/>
            <w:webHidden/>
          </w:rPr>
          <w:fldChar w:fldCharType="end"/>
        </w:r>
      </w:hyperlink>
    </w:p>
    <w:p w14:paraId="504BA838" w14:textId="21B31D24" w:rsidR="00097552" w:rsidRDefault="00677CE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694394" w:history="1">
        <w:r w:rsidR="00097552" w:rsidRPr="00E161BE">
          <w:rPr>
            <w:rStyle w:val="Hyperlink"/>
            <w:noProof/>
          </w:rPr>
          <w:t>4.2.</w:t>
        </w:r>
        <w:r w:rsidR="000975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97552" w:rsidRPr="00E161BE">
          <w:rPr>
            <w:rStyle w:val="Hyperlink"/>
            <w:noProof/>
          </w:rPr>
          <w:t>Enhancements and Modifications to Existing</w:t>
        </w:r>
        <w:r w:rsidR="00097552">
          <w:rPr>
            <w:noProof/>
            <w:webHidden/>
          </w:rPr>
          <w:tab/>
        </w:r>
        <w:r w:rsidR="00097552">
          <w:rPr>
            <w:noProof/>
            <w:webHidden/>
          </w:rPr>
          <w:fldChar w:fldCharType="begin"/>
        </w:r>
        <w:r w:rsidR="00097552">
          <w:rPr>
            <w:noProof/>
            <w:webHidden/>
          </w:rPr>
          <w:instrText xml:space="preserve"> PAGEREF _Toc40694394 \h </w:instrText>
        </w:r>
        <w:r w:rsidR="00097552">
          <w:rPr>
            <w:noProof/>
            <w:webHidden/>
          </w:rPr>
        </w:r>
        <w:r w:rsidR="00097552">
          <w:rPr>
            <w:noProof/>
            <w:webHidden/>
          </w:rPr>
          <w:fldChar w:fldCharType="separate"/>
        </w:r>
        <w:r w:rsidR="006D32A6">
          <w:rPr>
            <w:noProof/>
            <w:webHidden/>
          </w:rPr>
          <w:t>2</w:t>
        </w:r>
        <w:r w:rsidR="00097552">
          <w:rPr>
            <w:noProof/>
            <w:webHidden/>
          </w:rPr>
          <w:fldChar w:fldCharType="end"/>
        </w:r>
      </w:hyperlink>
    </w:p>
    <w:p w14:paraId="018149C9" w14:textId="7826D589" w:rsidR="00097552" w:rsidRDefault="00677CE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694395" w:history="1">
        <w:r w:rsidR="00097552" w:rsidRPr="00E161BE">
          <w:rPr>
            <w:rStyle w:val="Hyperlink"/>
            <w:noProof/>
          </w:rPr>
          <w:t>4.3.</w:t>
        </w:r>
        <w:r w:rsidR="000975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97552" w:rsidRPr="00E161BE">
          <w:rPr>
            <w:rStyle w:val="Hyperlink"/>
            <w:noProof/>
          </w:rPr>
          <w:t>Known Issues</w:t>
        </w:r>
        <w:r w:rsidR="00097552">
          <w:rPr>
            <w:noProof/>
            <w:webHidden/>
          </w:rPr>
          <w:tab/>
        </w:r>
        <w:r w:rsidR="00097552">
          <w:rPr>
            <w:noProof/>
            <w:webHidden/>
          </w:rPr>
          <w:fldChar w:fldCharType="begin"/>
        </w:r>
        <w:r w:rsidR="00097552">
          <w:rPr>
            <w:noProof/>
            <w:webHidden/>
          </w:rPr>
          <w:instrText xml:space="preserve"> PAGEREF _Toc40694395 \h </w:instrText>
        </w:r>
        <w:r w:rsidR="00097552">
          <w:rPr>
            <w:noProof/>
            <w:webHidden/>
          </w:rPr>
        </w:r>
        <w:r w:rsidR="00097552">
          <w:rPr>
            <w:noProof/>
            <w:webHidden/>
          </w:rPr>
          <w:fldChar w:fldCharType="separate"/>
        </w:r>
        <w:r w:rsidR="006D32A6">
          <w:rPr>
            <w:noProof/>
            <w:webHidden/>
          </w:rPr>
          <w:t>2</w:t>
        </w:r>
        <w:r w:rsidR="00097552">
          <w:rPr>
            <w:noProof/>
            <w:webHidden/>
          </w:rPr>
          <w:fldChar w:fldCharType="end"/>
        </w:r>
      </w:hyperlink>
    </w:p>
    <w:p w14:paraId="57F8448A" w14:textId="5C14769E" w:rsidR="00097552" w:rsidRDefault="00677CE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694396" w:history="1">
        <w:r w:rsidR="00097552" w:rsidRPr="00E161BE">
          <w:rPr>
            <w:rStyle w:val="Hyperlink"/>
            <w:noProof/>
          </w:rPr>
          <w:t>5.</w:t>
        </w:r>
        <w:r w:rsidR="000975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97552" w:rsidRPr="00E161BE">
          <w:rPr>
            <w:rStyle w:val="Hyperlink"/>
            <w:noProof/>
          </w:rPr>
          <w:t>Product Documentation</w:t>
        </w:r>
        <w:r w:rsidR="00097552">
          <w:rPr>
            <w:noProof/>
            <w:webHidden/>
          </w:rPr>
          <w:tab/>
        </w:r>
        <w:r w:rsidR="00097552">
          <w:rPr>
            <w:noProof/>
            <w:webHidden/>
          </w:rPr>
          <w:fldChar w:fldCharType="begin"/>
        </w:r>
        <w:r w:rsidR="00097552">
          <w:rPr>
            <w:noProof/>
            <w:webHidden/>
          </w:rPr>
          <w:instrText xml:space="preserve"> PAGEREF _Toc40694396 \h </w:instrText>
        </w:r>
        <w:r w:rsidR="00097552">
          <w:rPr>
            <w:noProof/>
            <w:webHidden/>
          </w:rPr>
        </w:r>
        <w:r w:rsidR="00097552">
          <w:rPr>
            <w:noProof/>
            <w:webHidden/>
          </w:rPr>
          <w:fldChar w:fldCharType="separate"/>
        </w:r>
        <w:r w:rsidR="006D32A6">
          <w:rPr>
            <w:noProof/>
            <w:webHidden/>
          </w:rPr>
          <w:t>2</w:t>
        </w:r>
        <w:r w:rsidR="00097552">
          <w:rPr>
            <w:noProof/>
            <w:webHidden/>
          </w:rPr>
          <w:fldChar w:fldCharType="end"/>
        </w:r>
      </w:hyperlink>
    </w:p>
    <w:p w14:paraId="0B042FE7" w14:textId="58B68E88" w:rsidR="006F6970" w:rsidRDefault="00824E4A" w:rsidP="000315D0">
      <w:pPr>
        <w:pStyle w:val="BodyText"/>
      </w:pPr>
      <w:r>
        <w:fldChar w:fldCharType="end"/>
      </w:r>
    </w:p>
    <w:p w14:paraId="2F509C77" w14:textId="77777777" w:rsidR="006F6970" w:rsidRDefault="006F6970">
      <w:pPr>
        <w:spacing w:before="0" w:after="0"/>
        <w:rPr>
          <w:szCs w:val="20"/>
        </w:rPr>
      </w:pPr>
      <w:r>
        <w:br w:type="page"/>
      </w:r>
    </w:p>
    <w:p w14:paraId="75F6AC35" w14:textId="77777777" w:rsidR="0073059A" w:rsidRPr="00AB2495" w:rsidRDefault="0073059A" w:rsidP="0073059A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748"/>
        <w:gridCol w:w="1023"/>
        <w:gridCol w:w="4243"/>
        <w:gridCol w:w="2336"/>
      </w:tblGrid>
      <w:tr w:rsidR="0073059A" w:rsidRPr="0024569E" w14:paraId="4F084A02" w14:textId="77777777" w:rsidTr="003B45F9">
        <w:trPr>
          <w:cantSplit/>
          <w:tblHeader/>
        </w:trPr>
        <w:tc>
          <w:tcPr>
            <w:tcW w:w="935" w:type="pct"/>
            <w:shd w:val="clear" w:color="auto" w:fill="F2F2F2"/>
          </w:tcPr>
          <w:p w14:paraId="13395362" w14:textId="77777777" w:rsidR="0073059A" w:rsidRPr="0024569E" w:rsidRDefault="0073059A" w:rsidP="003B45F9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" w:name="ColumnTitle_01"/>
            <w:bookmarkEnd w:id="1"/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547" w:type="pct"/>
            <w:shd w:val="clear" w:color="auto" w:fill="F2F2F2"/>
          </w:tcPr>
          <w:p w14:paraId="1940A042" w14:textId="77777777" w:rsidR="0073059A" w:rsidRPr="0024569E" w:rsidRDefault="0073059A" w:rsidP="003B45F9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F2F2F2"/>
          </w:tcPr>
          <w:p w14:paraId="5F50CCA8" w14:textId="77777777" w:rsidR="0073059A" w:rsidRPr="0024569E" w:rsidRDefault="0073059A" w:rsidP="003B45F9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F2F2F2"/>
          </w:tcPr>
          <w:p w14:paraId="39C82A37" w14:textId="77777777" w:rsidR="0073059A" w:rsidRPr="0024569E" w:rsidRDefault="0073059A" w:rsidP="003B45F9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64194F" w14:paraId="7BA600DF" w14:textId="77777777" w:rsidTr="00A67DF8">
        <w:trPr>
          <w:cantSplit/>
          <w:tblHeader/>
        </w:trPr>
        <w:tc>
          <w:tcPr>
            <w:tcW w:w="935" w:type="pct"/>
            <w:shd w:val="clear" w:color="auto" w:fill="auto"/>
          </w:tcPr>
          <w:p w14:paraId="73A0CEF9" w14:textId="7483E826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5/18/2020</w:t>
            </w:r>
          </w:p>
        </w:tc>
        <w:tc>
          <w:tcPr>
            <w:tcW w:w="547" w:type="pct"/>
            <w:shd w:val="clear" w:color="auto" w:fill="auto"/>
          </w:tcPr>
          <w:p w14:paraId="7B312190" w14:textId="66360B83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5.0</w:t>
            </w:r>
          </w:p>
        </w:tc>
        <w:tc>
          <w:tcPr>
            <w:tcW w:w="2269" w:type="pct"/>
            <w:shd w:val="clear" w:color="auto" w:fill="auto"/>
          </w:tcPr>
          <w:p w14:paraId="26E17BF0" w14:textId="10F82866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Reviewed for IB*2.0*653 v10. No major changes necessary. Added some content for clarity regarding the features introduced with IB*2.0*614 and the enhancements to it with the IB*2.0*653 patch.</w:t>
            </w:r>
          </w:p>
        </w:tc>
        <w:tc>
          <w:tcPr>
            <w:tcW w:w="1249" w:type="pct"/>
            <w:shd w:val="clear" w:color="auto" w:fill="auto"/>
          </w:tcPr>
          <w:p w14:paraId="335C6BF2" w14:textId="574CE112" w:rsidR="0064194F" w:rsidRDefault="0064194F" w:rsidP="0064194F">
            <w:pPr>
              <w:spacing w:before="60" w:after="6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54B83">
              <w:rPr>
                <w:highlight w:val="yellow"/>
              </w:rPr>
              <w:t>REDACTED</w:t>
            </w:r>
          </w:p>
        </w:tc>
      </w:tr>
      <w:tr w:rsidR="0064194F" w14:paraId="703A2A08" w14:textId="77777777" w:rsidTr="00A67DF8">
        <w:trPr>
          <w:cantSplit/>
          <w:tblHeader/>
        </w:trPr>
        <w:tc>
          <w:tcPr>
            <w:tcW w:w="935" w:type="pct"/>
            <w:shd w:val="clear" w:color="auto" w:fill="auto"/>
          </w:tcPr>
          <w:p w14:paraId="77CB6412" w14:textId="4D9F4B35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4/22/2020</w:t>
            </w:r>
          </w:p>
        </w:tc>
        <w:tc>
          <w:tcPr>
            <w:tcW w:w="547" w:type="pct"/>
            <w:shd w:val="clear" w:color="auto" w:fill="auto"/>
          </w:tcPr>
          <w:p w14:paraId="50CB0FF5" w14:textId="73150F2F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4.0</w:t>
            </w:r>
          </w:p>
        </w:tc>
        <w:tc>
          <w:tcPr>
            <w:tcW w:w="2269" w:type="pct"/>
            <w:shd w:val="clear" w:color="auto" w:fill="auto"/>
          </w:tcPr>
          <w:p w14:paraId="193008F1" w14:textId="09F4839A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Updates for IB*2*653 v9 version.</w:t>
            </w:r>
          </w:p>
        </w:tc>
        <w:tc>
          <w:tcPr>
            <w:tcW w:w="1249" w:type="pct"/>
            <w:shd w:val="clear" w:color="auto" w:fill="auto"/>
          </w:tcPr>
          <w:p w14:paraId="62D3BE58" w14:textId="6EFF51FF" w:rsidR="0064194F" w:rsidRDefault="0064194F" w:rsidP="0064194F">
            <w:pPr>
              <w:spacing w:before="60" w:after="6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54B83">
              <w:rPr>
                <w:highlight w:val="yellow"/>
              </w:rPr>
              <w:t>REDACTED</w:t>
            </w:r>
          </w:p>
        </w:tc>
      </w:tr>
      <w:tr w:rsidR="0064194F" w:rsidRPr="000A7B27" w14:paraId="48E1DE44" w14:textId="77777777" w:rsidTr="003B45F9">
        <w:trPr>
          <w:cantSplit/>
          <w:tblHeader/>
        </w:trPr>
        <w:tc>
          <w:tcPr>
            <w:tcW w:w="935" w:type="pct"/>
            <w:shd w:val="clear" w:color="auto" w:fill="auto"/>
          </w:tcPr>
          <w:p w14:paraId="4D04D633" w14:textId="3B67F8BE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10/04/2019</w:t>
            </w:r>
          </w:p>
        </w:tc>
        <w:tc>
          <w:tcPr>
            <w:tcW w:w="547" w:type="pct"/>
            <w:shd w:val="clear" w:color="auto" w:fill="auto"/>
          </w:tcPr>
          <w:p w14:paraId="4D9A3253" w14:textId="04F4967B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3.0</w:t>
            </w:r>
          </w:p>
        </w:tc>
        <w:tc>
          <w:tcPr>
            <w:tcW w:w="2269" w:type="pct"/>
            <w:shd w:val="clear" w:color="auto" w:fill="auto"/>
          </w:tcPr>
          <w:p w14:paraId="2F898527" w14:textId="3C71EC65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Removed unnecessary patches that are not supposed to be listed.</w:t>
            </w:r>
          </w:p>
        </w:tc>
        <w:tc>
          <w:tcPr>
            <w:tcW w:w="1249" w:type="pct"/>
            <w:shd w:val="clear" w:color="auto" w:fill="auto"/>
          </w:tcPr>
          <w:p w14:paraId="49C5EB54" w14:textId="2A37AA7A" w:rsidR="0064194F" w:rsidRDefault="0064194F" w:rsidP="0064194F">
            <w:pPr>
              <w:spacing w:before="60" w:after="6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54B83">
              <w:rPr>
                <w:highlight w:val="yellow"/>
              </w:rPr>
              <w:t>REDACTED</w:t>
            </w:r>
          </w:p>
        </w:tc>
      </w:tr>
      <w:tr w:rsidR="0064194F" w:rsidRPr="000A7B27" w14:paraId="5C802F29" w14:textId="77777777" w:rsidTr="003B45F9">
        <w:trPr>
          <w:cantSplit/>
          <w:tblHeader/>
        </w:trPr>
        <w:tc>
          <w:tcPr>
            <w:tcW w:w="935" w:type="pct"/>
            <w:shd w:val="clear" w:color="auto" w:fill="auto"/>
          </w:tcPr>
          <w:p w14:paraId="0C0C1A41" w14:textId="30AF7A13" w:rsidR="0064194F" w:rsidRPr="000A7B27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0A7B27">
              <w:rPr>
                <w:rFonts w:ascii="Arial" w:hAnsi="Arial" w:cs="Arial"/>
                <w:color w:val="auto"/>
                <w:sz w:val="22"/>
                <w:szCs w:val="22"/>
              </w:rPr>
              <w:t>0/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A7B27">
              <w:rPr>
                <w:rFonts w:ascii="Arial" w:hAnsi="Arial" w:cs="Arial"/>
                <w:color w:val="auto"/>
                <w:sz w:val="22"/>
                <w:szCs w:val="22"/>
              </w:rPr>
              <w:t>/2019</w:t>
            </w:r>
          </w:p>
        </w:tc>
        <w:tc>
          <w:tcPr>
            <w:tcW w:w="547" w:type="pct"/>
            <w:shd w:val="clear" w:color="auto" w:fill="auto"/>
          </w:tcPr>
          <w:p w14:paraId="4757D5D4" w14:textId="77777777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2.0</w:t>
            </w:r>
          </w:p>
        </w:tc>
        <w:tc>
          <w:tcPr>
            <w:tcW w:w="2269" w:type="pct"/>
            <w:shd w:val="clear" w:color="auto" w:fill="auto"/>
          </w:tcPr>
          <w:p w14:paraId="0FB2F1EC" w14:textId="79784072" w:rsidR="0064194F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pdated for the version v2.</w:t>
            </w:r>
          </w:p>
        </w:tc>
        <w:tc>
          <w:tcPr>
            <w:tcW w:w="1249" w:type="pct"/>
            <w:shd w:val="clear" w:color="auto" w:fill="auto"/>
          </w:tcPr>
          <w:p w14:paraId="5EF79E49" w14:textId="28E6E798" w:rsidR="0064194F" w:rsidRPr="004D0838" w:rsidRDefault="0064194F" w:rsidP="0064194F">
            <w:pPr>
              <w:spacing w:before="60" w:after="6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54B83">
              <w:rPr>
                <w:highlight w:val="yellow"/>
              </w:rPr>
              <w:t>REDACTED</w:t>
            </w:r>
          </w:p>
        </w:tc>
      </w:tr>
      <w:tr w:rsidR="0064194F" w:rsidRPr="000A7B27" w14:paraId="57B01BAC" w14:textId="77777777" w:rsidTr="003B45F9">
        <w:trPr>
          <w:cantSplit/>
          <w:tblHeader/>
        </w:trPr>
        <w:tc>
          <w:tcPr>
            <w:tcW w:w="935" w:type="pct"/>
            <w:shd w:val="clear" w:color="auto" w:fill="auto"/>
          </w:tcPr>
          <w:p w14:paraId="3C9E0D2A" w14:textId="7E0766AA" w:rsidR="0064194F" w:rsidRPr="000A7B27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08/19/2019</w:t>
            </w:r>
          </w:p>
        </w:tc>
        <w:tc>
          <w:tcPr>
            <w:tcW w:w="547" w:type="pct"/>
            <w:shd w:val="clear" w:color="auto" w:fill="auto"/>
          </w:tcPr>
          <w:p w14:paraId="166BD2DC" w14:textId="77777777" w:rsidR="0064194F" w:rsidRPr="000A7B27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41850A27" w14:textId="50E076E8" w:rsidR="0064194F" w:rsidRPr="000A7B27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Initial version for Build 8, Sprint 2.</w:t>
            </w:r>
          </w:p>
        </w:tc>
        <w:tc>
          <w:tcPr>
            <w:tcW w:w="1249" w:type="pct"/>
            <w:shd w:val="clear" w:color="auto" w:fill="auto"/>
          </w:tcPr>
          <w:p w14:paraId="27E357E8" w14:textId="2CF6ED11" w:rsidR="0064194F" w:rsidRPr="000A7B27" w:rsidRDefault="0064194F" w:rsidP="0064194F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4B83">
              <w:rPr>
                <w:highlight w:val="yellow"/>
              </w:rPr>
              <w:t>REDACTED</w:t>
            </w:r>
          </w:p>
        </w:tc>
      </w:tr>
    </w:tbl>
    <w:p w14:paraId="1A227EC3" w14:textId="77777777" w:rsidR="0073059A" w:rsidRDefault="0073059A" w:rsidP="0073059A">
      <w:pPr>
        <w:spacing w:before="0" w:after="0"/>
        <w:rPr>
          <w:szCs w:val="20"/>
        </w:rPr>
      </w:pPr>
      <w:r>
        <w:br w:type="page"/>
      </w:r>
    </w:p>
    <w:p w14:paraId="3AAE558F" w14:textId="1E835FC1" w:rsidR="0073059A" w:rsidRPr="000315D0" w:rsidRDefault="0073059A" w:rsidP="000315D0">
      <w:pPr>
        <w:pStyle w:val="BodyText"/>
        <w:sectPr w:rsidR="0073059A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40694389"/>
      <w:bookmarkStart w:id="3" w:name="_Hlk38361339"/>
      <w:bookmarkEnd w:id="0"/>
      <w:r w:rsidRPr="00AC15AD">
        <w:lastRenderedPageBreak/>
        <w:t>Introduction</w:t>
      </w:r>
      <w:bookmarkEnd w:id="2"/>
    </w:p>
    <w:p w14:paraId="6F424C4C" w14:textId="30722895" w:rsidR="00F61470" w:rsidRPr="009A57F2" w:rsidRDefault="0042561E" w:rsidP="00F61470">
      <w:pPr>
        <w:spacing w:line="252" w:lineRule="auto"/>
      </w:pPr>
      <w:r>
        <w:t xml:space="preserve">The </w:t>
      </w:r>
      <w:r w:rsidR="00F61470" w:rsidRPr="009A57F2">
        <w:t xml:space="preserve">IB*2.0*653 </w:t>
      </w:r>
      <w:r>
        <w:t>p</w:t>
      </w:r>
      <w:r w:rsidR="00F61470" w:rsidRPr="009A57F2">
        <w:t>atch is introduced to modify the proration of Outpatient medication Copayments introduced in</w:t>
      </w:r>
      <w:r>
        <w:t xml:space="preserve"> the</w:t>
      </w:r>
      <w:r w:rsidR="00F61470" w:rsidRPr="009A57F2">
        <w:t xml:space="preserve"> IB*2.0*614 patch to </w:t>
      </w:r>
      <w:r w:rsidR="00F61470" w:rsidRPr="009A57F2">
        <w:rPr>
          <w:color w:val="000000"/>
          <w:sz w:val="22"/>
          <w:szCs w:val="22"/>
          <w:shd w:val="clear" w:color="auto" w:fill="FFFFFF"/>
        </w:rPr>
        <w:t>a</w:t>
      </w:r>
      <w:r w:rsidR="00F61470" w:rsidRPr="009A57F2">
        <w:rPr>
          <w:color w:val="000000"/>
          <w:shd w:val="clear" w:color="auto" w:fill="FFFFFF"/>
        </w:rPr>
        <w:t xml:space="preserve"> flat </w:t>
      </w:r>
      <w:r w:rsidR="00F61470" w:rsidRPr="009A57F2">
        <w:rPr>
          <w:color w:val="000000"/>
          <w:sz w:val="22"/>
          <w:szCs w:val="22"/>
          <w:shd w:val="clear" w:color="auto" w:fill="FFFFFF"/>
        </w:rPr>
        <w:t xml:space="preserve">$2 copayment for each 30-day or less supply </w:t>
      </w:r>
      <w:r w:rsidR="00F61470" w:rsidRPr="009A57F2">
        <w:rPr>
          <w:color w:val="000000"/>
          <w:shd w:val="clear" w:color="auto" w:fill="FFFFFF"/>
        </w:rPr>
        <w:t xml:space="preserve">to </w:t>
      </w:r>
      <w:r w:rsidR="00F61470" w:rsidRPr="009A57F2">
        <w:t xml:space="preserve">alleviate the financial burden for Veterans at high risk for suicide under </w:t>
      </w:r>
      <w:r w:rsidR="009C61FB">
        <w:t xml:space="preserve">the </w:t>
      </w:r>
      <w:r w:rsidR="00F61470" w:rsidRPr="009A57F2">
        <w:t xml:space="preserve">Enhanced Care Model. </w:t>
      </w:r>
    </w:p>
    <w:p w14:paraId="5D75EB5B" w14:textId="67FAFE98" w:rsidR="00F61470" w:rsidRPr="009A57F2" w:rsidRDefault="00F61470" w:rsidP="00F61470">
      <w:pPr>
        <w:spacing w:line="252" w:lineRule="auto"/>
      </w:pPr>
      <w:r w:rsidRPr="009A57F2">
        <w:t>This IB*2.0*653 patch will remain dormant like</w:t>
      </w:r>
      <w:r w:rsidR="0042561E">
        <w:t xml:space="preserve"> the</w:t>
      </w:r>
      <w:r w:rsidRPr="009A57F2">
        <w:t xml:space="preserve"> IB*2.0*614 patch until copayment legislation is passed.</w:t>
      </w:r>
    </w:p>
    <w:p w14:paraId="0FD2E3B2" w14:textId="2305EFAD" w:rsidR="00F61470" w:rsidRDefault="00F61470" w:rsidP="00F61470">
      <w:pPr>
        <w:autoSpaceDE w:val="0"/>
        <w:autoSpaceDN w:val="0"/>
        <w:spacing w:line="252" w:lineRule="auto"/>
      </w:pPr>
      <w:r w:rsidRPr="009A57F2">
        <w:t>Once legislation is passed, IB*2.0*629 will be released</w:t>
      </w:r>
      <w:r w:rsidR="0042561E">
        <w:t>,</w:t>
      </w:r>
      <w:r w:rsidRPr="009A57F2">
        <w:t xml:space="preserve"> which will effectively "turn on" the copayment functionalities introduced in patches IB*2.0*614 and IB*2.0*653.</w:t>
      </w:r>
    </w:p>
    <w:p w14:paraId="4BDDEF46" w14:textId="77777777" w:rsidR="008A29EB" w:rsidRDefault="008A29EB" w:rsidP="00AC15AD">
      <w:pPr>
        <w:pStyle w:val="Heading1"/>
      </w:pPr>
      <w:bookmarkStart w:id="4" w:name="_Toc40694390"/>
      <w:bookmarkEnd w:id="3"/>
      <w:r>
        <w:t>Purpose</w:t>
      </w:r>
      <w:bookmarkEnd w:id="4"/>
    </w:p>
    <w:p w14:paraId="03588AD9" w14:textId="79769529" w:rsidR="00B0131B" w:rsidRPr="00F16864" w:rsidRDefault="008A29EB" w:rsidP="006D307C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 xml:space="preserve">These release notes cover the </w:t>
      </w:r>
      <w:r w:rsidR="009A323B" w:rsidRPr="00F16864">
        <w:rPr>
          <w:iCs/>
          <w:color w:val="auto"/>
          <w:szCs w:val="20"/>
        </w:rPr>
        <w:t>changes</w:t>
      </w:r>
      <w:r w:rsidR="005D7D1B" w:rsidRPr="00F16864">
        <w:rPr>
          <w:iCs/>
          <w:color w:val="auto"/>
          <w:szCs w:val="20"/>
        </w:rPr>
        <w:t xml:space="preserve"> to </w:t>
      </w:r>
      <w:r w:rsidR="006D307C">
        <w:rPr>
          <w:iCs/>
          <w:color w:val="auto"/>
          <w:szCs w:val="20"/>
        </w:rPr>
        <w:t>RX c</w:t>
      </w:r>
      <w:r w:rsidR="005D7D1B" w:rsidRPr="00F16864">
        <w:rPr>
          <w:iCs/>
          <w:color w:val="auto"/>
          <w:szCs w:val="20"/>
        </w:rPr>
        <w:t>o-payments</w:t>
      </w:r>
      <w:r w:rsidR="006D307C">
        <w:rPr>
          <w:iCs/>
          <w:color w:val="auto"/>
          <w:szCs w:val="20"/>
        </w:rPr>
        <w:t xml:space="preserve"> calculation </w:t>
      </w:r>
      <w:r w:rsidR="006D307C" w:rsidRPr="006D307C">
        <w:rPr>
          <w:iCs/>
          <w:color w:val="auto"/>
          <w:szCs w:val="20"/>
        </w:rPr>
        <w:t>for</w:t>
      </w:r>
      <w:r w:rsidR="006D307C">
        <w:rPr>
          <w:iCs/>
          <w:color w:val="auto"/>
          <w:szCs w:val="20"/>
        </w:rPr>
        <w:t xml:space="preserve"> </w:t>
      </w:r>
      <w:r w:rsidR="006D307C" w:rsidRPr="006D307C">
        <w:rPr>
          <w:iCs/>
          <w:color w:val="auto"/>
          <w:szCs w:val="20"/>
        </w:rPr>
        <w:t>individuals at high risk for suicide (HRfS)</w:t>
      </w:r>
      <w:r w:rsidR="007B3BCB" w:rsidRPr="00F16864">
        <w:rPr>
          <w:iCs/>
          <w:color w:val="auto"/>
          <w:szCs w:val="20"/>
        </w:rPr>
        <w:t xml:space="preserve"> </w:t>
      </w:r>
      <w:r w:rsidR="006D307C">
        <w:rPr>
          <w:iCs/>
          <w:color w:val="auto"/>
          <w:szCs w:val="20"/>
        </w:rPr>
        <w:t xml:space="preserve">made in the patch </w:t>
      </w:r>
      <w:r w:rsidR="007B3BCB" w:rsidRPr="00F16864">
        <w:rPr>
          <w:iCs/>
          <w:color w:val="auto"/>
          <w:szCs w:val="20"/>
        </w:rPr>
        <w:t>IB*2.0*6</w:t>
      </w:r>
      <w:r w:rsidR="00DF51B7">
        <w:rPr>
          <w:iCs/>
          <w:color w:val="auto"/>
          <w:szCs w:val="20"/>
        </w:rPr>
        <w:t>53</w:t>
      </w:r>
      <w:r w:rsidRPr="00F16864">
        <w:rPr>
          <w:iCs/>
          <w:color w:val="auto"/>
          <w:szCs w:val="20"/>
        </w:rPr>
        <w:t>.</w:t>
      </w:r>
    </w:p>
    <w:p w14:paraId="2871053C" w14:textId="77777777" w:rsidR="008A29EB" w:rsidRDefault="008A29EB" w:rsidP="00AC15AD">
      <w:pPr>
        <w:pStyle w:val="Heading1"/>
      </w:pPr>
      <w:bookmarkStart w:id="5" w:name="_Toc40694391"/>
      <w:r>
        <w:t>Audience</w:t>
      </w:r>
      <w:bookmarkEnd w:id="5"/>
    </w:p>
    <w:p w14:paraId="12E2A258" w14:textId="35C88D40" w:rsidR="008A29EB" w:rsidRPr="00F16864" w:rsidRDefault="008A29EB" w:rsidP="0042561E">
      <w:pPr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>This document targ</w:t>
      </w:r>
      <w:r w:rsidR="005D7D1B" w:rsidRPr="00F16864">
        <w:rPr>
          <w:iCs/>
          <w:color w:val="auto"/>
          <w:szCs w:val="20"/>
        </w:rPr>
        <w:t xml:space="preserve">ets </w:t>
      </w:r>
      <w:r w:rsidR="006D307C">
        <w:rPr>
          <w:iCs/>
          <w:color w:val="auto"/>
          <w:szCs w:val="20"/>
        </w:rPr>
        <w:t xml:space="preserve">billing </w:t>
      </w:r>
      <w:r w:rsidR="005D7D1B" w:rsidRPr="00F16864">
        <w:rPr>
          <w:iCs/>
          <w:color w:val="auto"/>
          <w:szCs w:val="20"/>
        </w:rPr>
        <w:t xml:space="preserve">users and administrators </w:t>
      </w:r>
      <w:r w:rsidR="006D307C">
        <w:rPr>
          <w:iCs/>
          <w:color w:val="auto"/>
          <w:szCs w:val="20"/>
        </w:rPr>
        <w:t>that perform and monitor RX c</w:t>
      </w:r>
      <w:r w:rsidR="005D7D1B" w:rsidRPr="00F16864">
        <w:rPr>
          <w:iCs/>
          <w:color w:val="auto"/>
          <w:szCs w:val="20"/>
        </w:rPr>
        <w:t>o-payments</w:t>
      </w:r>
      <w:r w:rsidR="006D307C">
        <w:rPr>
          <w:iCs/>
          <w:color w:val="auto"/>
          <w:szCs w:val="20"/>
        </w:rPr>
        <w:t xml:space="preserve"> </w:t>
      </w:r>
      <w:r w:rsidRPr="00F16864">
        <w:rPr>
          <w:iCs/>
          <w:color w:val="auto"/>
          <w:szCs w:val="20"/>
        </w:rPr>
        <w:t xml:space="preserve">and applies to the changes made between this release and </w:t>
      </w:r>
      <w:r w:rsidR="009A323B" w:rsidRPr="00F16864">
        <w:rPr>
          <w:iCs/>
          <w:color w:val="auto"/>
          <w:szCs w:val="20"/>
        </w:rPr>
        <w:t xml:space="preserve">any </w:t>
      </w:r>
      <w:r w:rsidRPr="00F16864">
        <w:rPr>
          <w:iCs/>
          <w:color w:val="auto"/>
          <w:szCs w:val="20"/>
        </w:rPr>
        <w:t xml:space="preserve">previous release </w:t>
      </w:r>
      <w:r w:rsidR="009A323B" w:rsidRPr="00F16864">
        <w:rPr>
          <w:iCs/>
          <w:color w:val="auto"/>
          <w:szCs w:val="20"/>
        </w:rPr>
        <w:t>for this</w:t>
      </w:r>
      <w:r w:rsidRPr="00F16864">
        <w:rPr>
          <w:iCs/>
          <w:color w:val="auto"/>
          <w:szCs w:val="20"/>
        </w:rPr>
        <w:t xml:space="preserve"> software.</w:t>
      </w:r>
    </w:p>
    <w:p w14:paraId="1B7AD1C1" w14:textId="77777777" w:rsidR="008A29EB" w:rsidRDefault="008A29EB" w:rsidP="00AC15AD">
      <w:pPr>
        <w:pStyle w:val="Heading1"/>
      </w:pPr>
      <w:bookmarkStart w:id="6" w:name="_Toc40694392"/>
      <w:r>
        <w:t>This Release</w:t>
      </w:r>
      <w:bookmarkEnd w:id="6"/>
    </w:p>
    <w:p w14:paraId="51CD8D0A" w14:textId="1942E879" w:rsidR="008A29EB" w:rsidRDefault="008A29EB" w:rsidP="0042561E">
      <w:pPr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>The following sections provide</w:t>
      </w:r>
      <w:r w:rsidR="00143860" w:rsidRPr="00F16864">
        <w:rPr>
          <w:iCs/>
          <w:color w:val="auto"/>
          <w:szCs w:val="20"/>
        </w:rPr>
        <w:t xml:space="preserve"> a summary of</w:t>
      </w:r>
      <w:r w:rsidRPr="00F16864">
        <w:rPr>
          <w:iCs/>
          <w:color w:val="auto"/>
          <w:szCs w:val="20"/>
        </w:rPr>
        <w:t xml:space="preserve"> the new features and functions</w:t>
      </w:r>
      <w:r w:rsidR="00D335E9" w:rsidRPr="00F16864">
        <w:rPr>
          <w:iCs/>
          <w:color w:val="auto"/>
          <w:szCs w:val="20"/>
        </w:rPr>
        <w:t xml:space="preserve"> added</w:t>
      </w:r>
      <w:r w:rsidR="00D5731B">
        <w:rPr>
          <w:iCs/>
          <w:color w:val="auto"/>
          <w:szCs w:val="20"/>
        </w:rPr>
        <w:t xml:space="preserve"> previously with the SHRPE IB*2.0*614 patch</w:t>
      </w:r>
      <w:r w:rsidR="00D335E9" w:rsidRPr="00F16864">
        <w:rPr>
          <w:iCs/>
          <w:color w:val="auto"/>
          <w:szCs w:val="20"/>
        </w:rPr>
        <w:t xml:space="preserve">, </w:t>
      </w:r>
      <w:r w:rsidR="00D5731B">
        <w:rPr>
          <w:iCs/>
          <w:color w:val="auto"/>
          <w:szCs w:val="20"/>
        </w:rPr>
        <w:t xml:space="preserve">as well as </w:t>
      </w:r>
      <w:r w:rsidR="00D335E9" w:rsidRPr="00F16864">
        <w:rPr>
          <w:iCs/>
          <w:color w:val="auto"/>
          <w:szCs w:val="20"/>
        </w:rPr>
        <w:t>enhancements and modifications to the existing software</w:t>
      </w:r>
      <w:r w:rsidR="00D5731B">
        <w:rPr>
          <w:iCs/>
          <w:color w:val="auto"/>
          <w:szCs w:val="20"/>
        </w:rPr>
        <w:t xml:space="preserve"> with the release of the SHRPE IB*2.0*653 patch</w:t>
      </w:r>
      <w:r w:rsidR="00D335E9" w:rsidRPr="00F16864">
        <w:rPr>
          <w:iCs/>
          <w:color w:val="auto"/>
          <w:szCs w:val="20"/>
        </w:rPr>
        <w:t>, and any known issue</w:t>
      </w:r>
      <w:r w:rsidR="006D307C">
        <w:rPr>
          <w:iCs/>
          <w:color w:val="auto"/>
          <w:szCs w:val="20"/>
        </w:rPr>
        <w:t>s</w:t>
      </w:r>
      <w:r w:rsidRPr="00F16864">
        <w:rPr>
          <w:iCs/>
          <w:color w:val="auto"/>
          <w:szCs w:val="20"/>
        </w:rPr>
        <w:t xml:space="preserve"> </w:t>
      </w:r>
      <w:r w:rsidR="00D335E9" w:rsidRPr="00F16864">
        <w:rPr>
          <w:iCs/>
          <w:color w:val="auto"/>
          <w:szCs w:val="20"/>
        </w:rPr>
        <w:t>for</w:t>
      </w:r>
      <w:r w:rsidR="005D7D1B" w:rsidRPr="00F16864">
        <w:rPr>
          <w:iCs/>
          <w:color w:val="auto"/>
          <w:szCs w:val="20"/>
        </w:rPr>
        <w:t xml:space="preserve"> </w:t>
      </w:r>
      <w:r w:rsidR="006D307C">
        <w:rPr>
          <w:iCs/>
          <w:color w:val="auto"/>
          <w:szCs w:val="20"/>
        </w:rPr>
        <w:t>RX c</w:t>
      </w:r>
      <w:r w:rsidR="005D7D1B" w:rsidRPr="00F16864">
        <w:rPr>
          <w:iCs/>
          <w:color w:val="auto"/>
          <w:szCs w:val="20"/>
        </w:rPr>
        <w:t>o-payments</w:t>
      </w:r>
      <w:r w:rsidR="006D307C">
        <w:rPr>
          <w:iCs/>
          <w:color w:val="auto"/>
          <w:szCs w:val="20"/>
        </w:rPr>
        <w:t xml:space="preserve"> for </w:t>
      </w:r>
      <w:r w:rsidR="006D307C" w:rsidRPr="006D307C">
        <w:rPr>
          <w:iCs/>
          <w:color w:val="auto"/>
          <w:szCs w:val="20"/>
        </w:rPr>
        <w:t xml:space="preserve">individuals </w:t>
      </w:r>
      <w:r w:rsidR="006D307C">
        <w:rPr>
          <w:iCs/>
          <w:color w:val="auto"/>
          <w:szCs w:val="20"/>
        </w:rPr>
        <w:t xml:space="preserve">with </w:t>
      </w:r>
      <w:r w:rsidR="0042561E">
        <w:rPr>
          <w:iCs/>
          <w:color w:val="auto"/>
          <w:szCs w:val="20"/>
        </w:rPr>
        <w:t xml:space="preserve">an </w:t>
      </w:r>
      <w:r w:rsidR="006D307C">
        <w:rPr>
          <w:iCs/>
          <w:color w:val="auto"/>
          <w:szCs w:val="20"/>
        </w:rPr>
        <w:t xml:space="preserve">active </w:t>
      </w:r>
      <w:proofErr w:type="spellStart"/>
      <w:r w:rsidR="006D307C" w:rsidRPr="006D307C">
        <w:rPr>
          <w:iCs/>
          <w:color w:val="auto"/>
          <w:szCs w:val="20"/>
        </w:rPr>
        <w:t>HRfS</w:t>
      </w:r>
      <w:proofErr w:type="spellEnd"/>
      <w:r w:rsidR="006D307C">
        <w:rPr>
          <w:iCs/>
          <w:color w:val="auto"/>
          <w:szCs w:val="20"/>
        </w:rPr>
        <w:t xml:space="preserve"> status</w:t>
      </w:r>
      <w:r w:rsidR="006F6970">
        <w:rPr>
          <w:iCs/>
          <w:color w:val="auto"/>
          <w:szCs w:val="20"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7" w:name="_Toc40694393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7"/>
    </w:p>
    <w:p w14:paraId="59A92F39" w14:textId="58D9C40B" w:rsidR="00B0131B" w:rsidRDefault="008A29EB" w:rsidP="0042561E">
      <w:pPr>
        <w:pStyle w:val="BodyText"/>
        <w:rPr>
          <w:iCs/>
          <w:color w:val="auto"/>
        </w:rPr>
      </w:pPr>
      <w:r w:rsidRPr="00F16864">
        <w:rPr>
          <w:iCs/>
          <w:color w:val="auto"/>
        </w:rPr>
        <w:t xml:space="preserve">The following </w:t>
      </w:r>
      <w:r w:rsidR="00143860" w:rsidRPr="00F16864">
        <w:rPr>
          <w:iCs/>
          <w:color w:val="auto"/>
        </w:rPr>
        <w:t>are</w:t>
      </w:r>
      <w:r w:rsidRPr="00F16864">
        <w:rPr>
          <w:iCs/>
          <w:color w:val="auto"/>
        </w:rPr>
        <w:t xml:space="preserve"> the 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Pr="00F16864">
        <w:rPr>
          <w:iCs/>
          <w:color w:val="auto"/>
        </w:rPr>
        <w:t xml:space="preserve"> added </w:t>
      </w:r>
      <w:r w:rsidR="00B0131B">
        <w:rPr>
          <w:iCs/>
          <w:color w:val="auto"/>
        </w:rPr>
        <w:t>in</w:t>
      </w:r>
      <w:r w:rsidR="00143860" w:rsidRPr="00F16864">
        <w:rPr>
          <w:iCs/>
          <w:color w:val="auto"/>
        </w:rPr>
        <w:t xml:space="preserve"> </w:t>
      </w:r>
      <w:r w:rsidRPr="00F16864">
        <w:rPr>
          <w:iCs/>
          <w:color w:val="auto"/>
        </w:rPr>
        <w:t xml:space="preserve">the </w:t>
      </w:r>
      <w:r w:rsidR="006D307C">
        <w:rPr>
          <w:iCs/>
          <w:color w:val="auto"/>
        </w:rPr>
        <w:t xml:space="preserve">previous </w:t>
      </w:r>
      <w:r w:rsidR="007B3BCB" w:rsidRPr="00F16864">
        <w:rPr>
          <w:iCs/>
          <w:color w:val="auto"/>
        </w:rPr>
        <w:t xml:space="preserve">SHRPE </w:t>
      </w:r>
      <w:r w:rsidR="00B0131B" w:rsidRPr="00B0131B">
        <w:rPr>
          <w:iCs/>
          <w:color w:val="auto"/>
        </w:rPr>
        <w:t>patch IB*2.0*614 release that was nationally released</w:t>
      </w:r>
      <w:r w:rsidR="00B0131B">
        <w:rPr>
          <w:iCs/>
          <w:color w:val="auto"/>
        </w:rPr>
        <w:t xml:space="preserve"> in October 2018.</w:t>
      </w:r>
    </w:p>
    <w:p w14:paraId="3E52E5C7" w14:textId="3542C42B" w:rsidR="00F41862" w:rsidRPr="00F16864" w:rsidRDefault="00B0131B" w:rsidP="0042561E">
      <w:pPr>
        <w:pStyle w:val="BodyText"/>
        <w:rPr>
          <w:iCs/>
          <w:color w:val="auto"/>
        </w:rPr>
      </w:pPr>
      <w:r>
        <w:rPr>
          <w:iCs/>
          <w:color w:val="auto"/>
        </w:rPr>
        <w:t>Note:</w:t>
      </w:r>
      <w:r w:rsidR="007B3BCB" w:rsidRPr="00F16864">
        <w:rPr>
          <w:iCs/>
          <w:color w:val="auto"/>
        </w:rPr>
        <w:t xml:space="preserve"> </w:t>
      </w:r>
      <w:r w:rsidR="0042561E">
        <w:rPr>
          <w:iCs/>
          <w:color w:val="auto"/>
        </w:rPr>
        <w:t>T</w:t>
      </w:r>
      <w:r w:rsidR="006D307C">
        <w:rPr>
          <w:iCs/>
          <w:color w:val="auto"/>
        </w:rPr>
        <w:t xml:space="preserve">he </w:t>
      </w:r>
      <w:r w:rsidR="007B3BCB" w:rsidRPr="00F16864">
        <w:rPr>
          <w:iCs/>
          <w:color w:val="auto"/>
        </w:rPr>
        <w:t>IB*2.0*614</w:t>
      </w:r>
      <w:r w:rsidR="0042561E">
        <w:rPr>
          <w:iCs/>
          <w:color w:val="auto"/>
        </w:rPr>
        <w:t xml:space="preserve"> patch</w:t>
      </w:r>
      <w:r w:rsidR="006F6970">
        <w:rPr>
          <w:iCs/>
          <w:color w:val="auto"/>
        </w:rPr>
        <w:t xml:space="preserve"> </w:t>
      </w:r>
      <w:r>
        <w:rPr>
          <w:iCs/>
          <w:color w:val="auto"/>
        </w:rPr>
        <w:t xml:space="preserve">functionality </w:t>
      </w:r>
      <w:r w:rsidR="006D307C">
        <w:rPr>
          <w:iCs/>
          <w:color w:val="auto"/>
        </w:rPr>
        <w:t>was released as</w:t>
      </w:r>
      <w:r>
        <w:rPr>
          <w:iCs/>
          <w:color w:val="auto"/>
        </w:rPr>
        <w:t xml:space="preserve"> </w:t>
      </w:r>
      <w:r w:rsidR="006D307C">
        <w:rPr>
          <w:iCs/>
          <w:color w:val="auto"/>
        </w:rPr>
        <w:t>a dormant code and was not activated</w:t>
      </w:r>
      <w:r>
        <w:rPr>
          <w:iCs/>
          <w:color w:val="auto"/>
        </w:rPr>
        <w:t xml:space="preserve"> in VA sites yet.</w:t>
      </w:r>
    </w:p>
    <w:p w14:paraId="1FACE8E0" w14:textId="5D6C7245" w:rsidR="006F03F0" w:rsidRPr="006F03F0" w:rsidRDefault="006D307C" w:rsidP="001F54E8">
      <w:pPr>
        <w:pStyle w:val="ListParagraph"/>
        <w:numPr>
          <w:ilvl w:val="0"/>
          <w:numId w:val="17"/>
        </w:numPr>
        <w:spacing w:before="0" w:after="0"/>
      </w:pPr>
      <w:r>
        <w:t>A</w:t>
      </w:r>
      <w:r w:rsidR="006F03F0">
        <w:t>dded an entry in ^</w:t>
      </w:r>
      <w:r w:rsidR="006F03F0" w:rsidRPr="006D307C">
        <w:t>IBAMTS3</w:t>
      </w:r>
      <w:r>
        <w:t xml:space="preserve"> </w:t>
      </w:r>
      <w:r w:rsidR="006F03F0">
        <w:t>to screen out Outpatient visit copayments, excluding them if the national HRfS flag is active at the date of service</w:t>
      </w:r>
      <w:r>
        <w:t xml:space="preserve"> when charges are created manually</w:t>
      </w:r>
      <w:r w:rsidR="003D16CB">
        <w:t xml:space="preserve"> in the option </w:t>
      </w:r>
      <w:r w:rsidR="003D16CB" w:rsidRPr="006D307C">
        <w:t>IB CANCEL/EDIT/ADD CHARGES</w:t>
      </w:r>
      <w:r w:rsidR="003D16CB">
        <w:t>.</w:t>
      </w:r>
    </w:p>
    <w:p w14:paraId="23ED923D" w14:textId="00BE4869" w:rsidR="002B1E83" w:rsidRPr="00F16864" w:rsidRDefault="007B3BCB" w:rsidP="001F54E8">
      <w:pPr>
        <w:pStyle w:val="ListParagraph"/>
        <w:numPr>
          <w:ilvl w:val="0"/>
          <w:numId w:val="17"/>
        </w:numPr>
        <w:spacing w:before="0" w:after="0"/>
      </w:pPr>
      <w:r w:rsidRPr="00F16864">
        <w:t>Create</w:t>
      </w:r>
      <w:r w:rsidR="00C42052">
        <w:t>d</w:t>
      </w:r>
      <w:r w:rsidRPr="00F16864">
        <w:t xml:space="preserve"> a new API that checks for the existence of a </w:t>
      </w:r>
      <w:r w:rsidR="003D16CB" w:rsidRPr="003D16CB">
        <w:t>Category I (</w:t>
      </w:r>
      <w:r w:rsidRPr="00F16864">
        <w:t>National</w:t>
      </w:r>
      <w:r w:rsidR="003D16CB">
        <w:t>)</w:t>
      </w:r>
      <w:r w:rsidRPr="00F16864">
        <w:t xml:space="preserve"> </w:t>
      </w:r>
      <w:proofErr w:type="spellStart"/>
      <w:r w:rsidRPr="00F16864">
        <w:t>HRfS</w:t>
      </w:r>
      <w:proofErr w:type="spellEnd"/>
      <w:r w:rsidRPr="00F16864">
        <w:t xml:space="preserve"> flag and if it</w:t>
      </w:r>
      <w:r w:rsidR="00C42052">
        <w:t xml:space="preserve"> i</w:t>
      </w:r>
      <w:r w:rsidRPr="00F16864">
        <w:t>s active on the date of service. If it exists and is active, waive</w:t>
      </w:r>
      <w:r w:rsidR="00C42052">
        <w:t>s</w:t>
      </w:r>
      <w:r w:rsidRPr="00F16864">
        <w:t xml:space="preserve"> the Visit copayment for the </w:t>
      </w:r>
      <w:r w:rsidR="00C42052">
        <w:t>V</w:t>
      </w:r>
      <w:r w:rsidRPr="00F16864">
        <w:t>eteran.</w:t>
      </w:r>
    </w:p>
    <w:p w14:paraId="095DD802" w14:textId="0F9F05CF" w:rsidR="001C1C7A" w:rsidRDefault="00DF51B7" w:rsidP="001F54E8">
      <w:pPr>
        <w:pStyle w:val="ListParagraph"/>
        <w:numPr>
          <w:ilvl w:val="0"/>
          <w:numId w:val="17"/>
        </w:numPr>
        <w:spacing w:before="0" w:after="0"/>
      </w:pPr>
      <w:r>
        <w:t>Modified the</w:t>
      </w:r>
      <w:r w:rsidR="001C1C7A">
        <w:t xml:space="preserve"> API in ^IBAMTS3 </w:t>
      </w:r>
      <w:r w:rsidR="003D16CB">
        <w:t>to prorate RX copays based on the copay tier and days supplied.</w:t>
      </w:r>
    </w:p>
    <w:p w14:paraId="703489BC" w14:textId="1EEC8664" w:rsidR="001C1C7A" w:rsidRDefault="001C1C7A" w:rsidP="001F54E8">
      <w:pPr>
        <w:pStyle w:val="ListParagraph"/>
        <w:numPr>
          <w:ilvl w:val="0"/>
          <w:numId w:val="17"/>
        </w:numPr>
        <w:spacing w:before="0" w:after="0"/>
      </w:pPr>
      <w:r>
        <w:t xml:space="preserve">Added code to ^IBARX1 to check for HRfS flag and days supply is </w:t>
      </w:r>
      <w:r w:rsidR="00DF51B7">
        <w:t>greater than 0</w:t>
      </w:r>
      <w:r>
        <w:t>, if so pro-rate</w:t>
      </w:r>
      <w:r w:rsidR="00C42052">
        <w:t>s</w:t>
      </w:r>
      <w:r>
        <w:t xml:space="preserve"> the amount to charge the patient.</w:t>
      </w:r>
    </w:p>
    <w:p w14:paraId="523D26F3" w14:textId="70E5E45C" w:rsidR="001C4310" w:rsidRDefault="00DF51B7" w:rsidP="001F54E8">
      <w:pPr>
        <w:pStyle w:val="ListParagraph"/>
        <w:numPr>
          <w:ilvl w:val="0"/>
          <w:numId w:val="17"/>
        </w:numPr>
        <w:spacing w:before="0" w:after="0"/>
      </w:pPr>
      <w:r>
        <w:t xml:space="preserve">Modified </w:t>
      </w:r>
      <w:r w:rsidR="001C4310">
        <w:t xml:space="preserve">the routine </w:t>
      </w:r>
      <w:r w:rsidR="001C4310" w:rsidRPr="003D16CB">
        <w:t xml:space="preserve">IBECEAU2 </w:t>
      </w:r>
      <w:r w:rsidR="001C4310">
        <w:t>for the option “</w:t>
      </w:r>
      <w:r w:rsidR="001C4310" w:rsidRPr="003D16CB">
        <w:t xml:space="preserve">IB CANCEL/EDIT/ADD CHARGES” </w:t>
      </w:r>
      <w:r w:rsidR="003D16CB">
        <w:t xml:space="preserve">that implements </w:t>
      </w:r>
      <w:r w:rsidR="00C42052">
        <w:t xml:space="preserve">a </w:t>
      </w:r>
      <w:r w:rsidR="001C4310" w:rsidRPr="003D16CB">
        <w:t>manual process for adding Rx charges</w:t>
      </w:r>
      <w:r w:rsidR="003D16CB">
        <w:t>.</w:t>
      </w:r>
    </w:p>
    <w:p w14:paraId="6F6E6125" w14:textId="77777777" w:rsidR="003D16CB" w:rsidRPr="003D16CB" w:rsidRDefault="003D16CB" w:rsidP="003D16CB">
      <w:pPr>
        <w:pStyle w:val="ListParagraph"/>
        <w:spacing w:before="0" w:after="0"/>
      </w:pPr>
    </w:p>
    <w:p w14:paraId="0A9BFA2E" w14:textId="480D4FBE" w:rsidR="008A29EB" w:rsidRDefault="00143860" w:rsidP="00AC15AD">
      <w:pPr>
        <w:pStyle w:val="Heading2"/>
      </w:pPr>
      <w:bookmarkStart w:id="8" w:name="_Toc40694394"/>
      <w:r>
        <w:t>Enhancements and Modifications to Existing</w:t>
      </w:r>
      <w:bookmarkEnd w:id="8"/>
    </w:p>
    <w:p w14:paraId="1CD96D43" w14:textId="280BD20E" w:rsidR="008A29EB" w:rsidRPr="00F16864" w:rsidRDefault="007B3BCB" w:rsidP="00E316EA">
      <w:pPr>
        <w:jc w:val="both"/>
        <w:rPr>
          <w:i/>
        </w:rPr>
      </w:pPr>
      <w:r w:rsidRPr="00F16864">
        <w:t>Added a new API call to see if the function is active and if applicable visit copayments should be waived.</w:t>
      </w:r>
    </w:p>
    <w:p w14:paraId="5C415FCE" w14:textId="5DF8964E" w:rsidR="00143860" w:rsidRPr="00F16864" w:rsidRDefault="00143860" w:rsidP="00E316EA">
      <w:pPr>
        <w:jc w:val="both"/>
      </w:pPr>
      <w:r w:rsidRPr="00F16864">
        <w:t>The following are the e</w:t>
      </w:r>
      <w:r w:rsidR="002C5E3C">
        <w:t xml:space="preserve">nhancements and modifications </w:t>
      </w:r>
      <w:r w:rsidR="0098290C">
        <w:t>to</w:t>
      </w:r>
      <w:r w:rsidRPr="00F16864">
        <w:t xml:space="preserve"> the </w:t>
      </w:r>
      <w:r w:rsidR="007B3BCB" w:rsidRPr="00F16864">
        <w:t xml:space="preserve">SHRPE IB*2.0*614 </w:t>
      </w:r>
      <w:r w:rsidR="0098290C">
        <w:t xml:space="preserve">patch in the SHRPE IB*2.0*653 patch </w:t>
      </w:r>
      <w:r w:rsidRPr="00F16864">
        <w:t>release.</w:t>
      </w:r>
    </w:p>
    <w:p w14:paraId="1416AB16" w14:textId="3E769755" w:rsidR="00B135D1" w:rsidRDefault="00DC72CA" w:rsidP="00B135D1">
      <w:pPr>
        <w:pStyle w:val="InstructionalBullet1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Modified </w:t>
      </w:r>
      <w:r w:rsidR="003A61CD">
        <w:rPr>
          <w:i w:val="0"/>
          <w:color w:val="000000" w:themeColor="text1"/>
        </w:rPr>
        <w:t>CHKHRFS</w:t>
      </w:r>
      <w:r w:rsidR="00B135D1" w:rsidRPr="00B135D1">
        <w:rPr>
          <w:i w:val="0"/>
          <w:color w:val="000000" w:themeColor="text1"/>
        </w:rPr>
        <w:t xml:space="preserve"> </w:t>
      </w:r>
      <w:r w:rsidR="003A61CD">
        <w:rPr>
          <w:i w:val="0"/>
          <w:color w:val="000000" w:themeColor="text1"/>
        </w:rPr>
        <w:t>function</w:t>
      </w:r>
      <w:r w:rsidR="00B135D1" w:rsidRPr="00B135D1">
        <w:rPr>
          <w:i w:val="0"/>
          <w:color w:val="000000" w:themeColor="text1"/>
        </w:rPr>
        <w:t xml:space="preserve"> in ^IBAMTS3</w:t>
      </w:r>
      <w:r w:rsidR="00C42052">
        <w:rPr>
          <w:i w:val="0"/>
          <w:color w:val="000000" w:themeColor="text1"/>
        </w:rPr>
        <w:t>.</w:t>
      </w:r>
    </w:p>
    <w:p w14:paraId="350C0581" w14:textId="54C3254D" w:rsidR="003A61CD" w:rsidRPr="009A57F2" w:rsidRDefault="003A61CD" w:rsidP="003A61CD">
      <w:pPr>
        <w:pStyle w:val="InstructionalBullet1"/>
        <w:rPr>
          <w:i w:val="0"/>
          <w:iCs/>
          <w:color w:val="auto"/>
        </w:rPr>
      </w:pPr>
      <w:r w:rsidRPr="009A57F2">
        <w:rPr>
          <w:i w:val="0"/>
          <w:iCs/>
          <w:color w:val="auto"/>
        </w:rPr>
        <w:t xml:space="preserve">Added code to ^IBARX1 to check for </w:t>
      </w:r>
      <w:proofErr w:type="spellStart"/>
      <w:r w:rsidRPr="009A57F2">
        <w:rPr>
          <w:i w:val="0"/>
          <w:iCs/>
          <w:color w:val="auto"/>
        </w:rPr>
        <w:t>HRfS</w:t>
      </w:r>
      <w:proofErr w:type="spellEnd"/>
      <w:r w:rsidRPr="009A57F2">
        <w:rPr>
          <w:i w:val="0"/>
          <w:iCs/>
          <w:color w:val="auto"/>
        </w:rPr>
        <w:t xml:space="preserve"> flag and </w:t>
      </w:r>
      <w:proofErr w:type="spellStart"/>
      <w:r w:rsidRPr="009A57F2">
        <w:rPr>
          <w:i w:val="0"/>
          <w:iCs/>
          <w:color w:val="auto"/>
        </w:rPr>
        <w:t>days</w:t>
      </w:r>
      <w:proofErr w:type="spellEnd"/>
      <w:r w:rsidRPr="009A57F2">
        <w:rPr>
          <w:i w:val="0"/>
          <w:iCs/>
          <w:color w:val="auto"/>
        </w:rPr>
        <w:t xml:space="preserve"> supply is greater than 0 days, if </w:t>
      </w:r>
      <w:proofErr w:type="gramStart"/>
      <w:r w:rsidRPr="009A57F2">
        <w:rPr>
          <w:i w:val="0"/>
          <w:iCs/>
          <w:color w:val="auto"/>
        </w:rPr>
        <w:t>so</w:t>
      </w:r>
      <w:proofErr w:type="gramEnd"/>
      <w:r w:rsidRPr="009A57F2">
        <w:rPr>
          <w:i w:val="0"/>
          <w:iCs/>
          <w:color w:val="auto"/>
        </w:rPr>
        <w:t xml:space="preserve"> set</w:t>
      </w:r>
      <w:r w:rsidR="00C42052">
        <w:rPr>
          <w:i w:val="0"/>
          <w:iCs/>
          <w:color w:val="auto"/>
        </w:rPr>
        <w:t>s</w:t>
      </w:r>
      <w:r w:rsidRPr="009A57F2">
        <w:rPr>
          <w:i w:val="0"/>
          <w:iCs/>
          <w:color w:val="auto"/>
        </w:rPr>
        <w:t xml:space="preserve"> the Rx copay amount to $2. Also added a check to see when the Rx was filled to correctly check the date of the </w:t>
      </w:r>
      <w:proofErr w:type="spellStart"/>
      <w:r w:rsidRPr="009A57F2">
        <w:rPr>
          <w:i w:val="0"/>
          <w:iCs/>
          <w:color w:val="auto"/>
        </w:rPr>
        <w:t>HRfS</w:t>
      </w:r>
      <w:proofErr w:type="spellEnd"/>
      <w:r w:rsidRPr="009A57F2">
        <w:rPr>
          <w:i w:val="0"/>
          <w:iCs/>
          <w:color w:val="auto"/>
        </w:rPr>
        <w:t xml:space="preserve"> flag.</w:t>
      </w:r>
    </w:p>
    <w:p w14:paraId="3909EFDF" w14:textId="7E9D908D" w:rsidR="00B135D1" w:rsidRDefault="00B90258" w:rsidP="00C42052">
      <w:pPr>
        <w:pStyle w:val="InstructionalBullet1"/>
        <w:rPr>
          <w:i w:val="0"/>
          <w:color w:val="000000" w:themeColor="text1"/>
        </w:rPr>
      </w:pPr>
      <w:r w:rsidRPr="00B90258">
        <w:rPr>
          <w:i w:val="0"/>
          <w:color w:val="000000" w:themeColor="text1"/>
        </w:rPr>
        <w:t>Made a minor change to routine ^IBARX1, changed the way we retrieve the date the prescription was filled/refilled (</w:t>
      </w:r>
      <w:r w:rsidR="002C5E3C">
        <w:rPr>
          <w:i w:val="0"/>
          <w:color w:val="000000" w:themeColor="text1"/>
        </w:rPr>
        <w:t xml:space="preserve">we are now using a supported API - </w:t>
      </w:r>
      <w:r w:rsidR="002C5E3C" w:rsidRPr="002C5E3C">
        <w:rPr>
          <w:i w:val="0"/>
          <w:color w:val="000000" w:themeColor="text1"/>
        </w:rPr>
        <w:t>RX^PSO52API)</w:t>
      </w:r>
      <w:r w:rsidR="00C42052">
        <w:rPr>
          <w:i w:val="0"/>
          <w:color w:val="000000" w:themeColor="text1"/>
        </w:rPr>
        <w:t>.</w:t>
      </w:r>
    </w:p>
    <w:p w14:paraId="5C4A3577" w14:textId="7DBF6894" w:rsidR="003A61CD" w:rsidRDefault="003A61CD" w:rsidP="00E316EA">
      <w:pPr>
        <w:pStyle w:val="InstructionalBullet1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Changed CTBB^IBECEAU3 to apply charge of $2 per unit, no tier rates</w:t>
      </w:r>
      <w:r w:rsidR="00C42052">
        <w:rPr>
          <w:i w:val="0"/>
          <w:color w:val="000000" w:themeColor="text1"/>
        </w:rPr>
        <w:t>.</w:t>
      </w:r>
    </w:p>
    <w:p w14:paraId="6D361672" w14:textId="50FF89E9" w:rsidR="003A61CD" w:rsidRDefault="003A61CD" w:rsidP="00E316EA">
      <w:pPr>
        <w:pStyle w:val="InstructionalBullet1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Removed code from UNIT^IBECEAU2 that was introduced by </w:t>
      </w:r>
      <w:r w:rsidR="00BF1DDF">
        <w:rPr>
          <w:i w:val="0"/>
          <w:color w:val="000000" w:themeColor="text1"/>
        </w:rPr>
        <w:t xml:space="preserve">the </w:t>
      </w:r>
      <w:r>
        <w:rPr>
          <w:i w:val="0"/>
          <w:color w:val="000000" w:themeColor="text1"/>
        </w:rPr>
        <w:t>IB*2.0*614</w:t>
      </w:r>
      <w:r w:rsidR="00BF1DDF">
        <w:rPr>
          <w:i w:val="0"/>
          <w:color w:val="000000" w:themeColor="text1"/>
        </w:rPr>
        <w:t xml:space="preserve"> patch</w:t>
      </w:r>
      <w:r w:rsidR="00C42052">
        <w:rPr>
          <w:i w:val="0"/>
          <w:color w:val="000000" w:themeColor="text1"/>
        </w:rPr>
        <w:t>.</w:t>
      </w:r>
    </w:p>
    <w:p w14:paraId="3CCE5D15" w14:textId="1E84FD99" w:rsidR="00B0131B" w:rsidRDefault="00B0131B" w:rsidP="00B0131B">
      <w:pPr>
        <w:pStyle w:val="InstructionalBullet1"/>
        <w:numPr>
          <w:ilvl w:val="0"/>
          <w:numId w:val="0"/>
        </w:numPr>
        <w:ind w:left="720" w:hanging="360"/>
        <w:jc w:val="both"/>
        <w:rPr>
          <w:i w:val="0"/>
          <w:color w:val="000000" w:themeColor="text1"/>
        </w:rPr>
      </w:pPr>
    </w:p>
    <w:p w14:paraId="6F019585" w14:textId="024D85E3" w:rsidR="00B0131B" w:rsidRDefault="00B0131B" w:rsidP="00C42052">
      <w:pPr>
        <w:pStyle w:val="InstructionalText1"/>
        <w:keepNext/>
        <w:rPr>
          <w:i w:val="0"/>
          <w:color w:val="auto"/>
        </w:rPr>
      </w:pPr>
      <w:r w:rsidRPr="00B0131B">
        <w:rPr>
          <w:i w:val="0"/>
          <w:color w:val="auto"/>
        </w:rPr>
        <w:t>Note: The code in the IB*2*653</w:t>
      </w:r>
      <w:r w:rsidR="00C42052" w:rsidRPr="00B0131B">
        <w:rPr>
          <w:i w:val="0"/>
          <w:color w:val="auto"/>
        </w:rPr>
        <w:t xml:space="preserve"> patch</w:t>
      </w:r>
      <w:r w:rsidRPr="00B0131B">
        <w:rPr>
          <w:i w:val="0"/>
          <w:color w:val="auto"/>
        </w:rPr>
        <w:t xml:space="preserve"> is being released as a dormant code that will not be active after its installation. When the VA approves the regulation that affects copays for patients with an active Category I (National) HRfS and the effective date becomes known to stakeholders of the SHRPE project, the activation patch IB*2.0*629 will be released to activate both IB*2.0*614 and IB*2.0*653</w:t>
      </w:r>
      <w:r w:rsidR="007C1718">
        <w:rPr>
          <w:i w:val="0"/>
          <w:color w:val="auto"/>
        </w:rPr>
        <w:t xml:space="preserve"> patch</w:t>
      </w:r>
      <w:r w:rsidRPr="00B0131B">
        <w:rPr>
          <w:i w:val="0"/>
          <w:color w:val="auto"/>
        </w:rPr>
        <w:t xml:space="preserve"> functionalities.</w:t>
      </w:r>
    </w:p>
    <w:p w14:paraId="319F3A9B" w14:textId="77777777" w:rsidR="008A29EB" w:rsidRDefault="008A29EB" w:rsidP="00AC15AD">
      <w:pPr>
        <w:pStyle w:val="Heading2"/>
      </w:pPr>
      <w:bookmarkStart w:id="9" w:name="_Toc40694395"/>
      <w:r>
        <w:t>Known Issues</w:t>
      </w:r>
      <w:bookmarkEnd w:id="9"/>
    </w:p>
    <w:p w14:paraId="44982D44" w14:textId="5BEB8C0D" w:rsidR="008A29EB" w:rsidRPr="00F16864" w:rsidRDefault="006F03F0" w:rsidP="009419CD">
      <w:pPr>
        <w:pStyle w:val="InstructionalText1"/>
        <w:keepNext/>
        <w:jc w:val="both"/>
        <w:rPr>
          <w:i w:val="0"/>
          <w:color w:val="auto"/>
        </w:rPr>
      </w:pPr>
      <w:r w:rsidRPr="00F16864">
        <w:rPr>
          <w:i w:val="0"/>
          <w:color w:val="auto"/>
        </w:rPr>
        <w:t>None at this time</w:t>
      </w:r>
      <w:r w:rsidR="009419CD">
        <w:rPr>
          <w:i w:val="0"/>
          <w:color w:val="auto"/>
        </w:rPr>
        <w:t>.</w:t>
      </w:r>
    </w:p>
    <w:p w14:paraId="1D0D6531" w14:textId="77777777" w:rsidR="008A29EB" w:rsidRDefault="008A29EB" w:rsidP="00AC15AD">
      <w:pPr>
        <w:pStyle w:val="Heading1"/>
      </w:pPr>
      <w:bookmarkStart w:id="10" w:name="_Toc40694396"/>
      <w:r>
        <w:t>Product Documentation</w:t>
      </w:r>
      <w:bookmarkEnd w:id="10"/>
    </w:p>
    <w:p w14:paraId="72023437" w14:textId="6DAD96A9" w:rsidR="00D335E9" w:rsidRDefault="008A29EB" w:rsidP="009419CD">
      <w:pPr>
        <w:pStyle w:val="BodyText"/>
        <w:keepNext/>
        <w:keepLines/>
        <w:rPr>
          <w:color w:val="auto"/>
        </w:rPr>
      </w:pPr>
      <w:r>
        <w:t>The following documents apply to this release:</w:t>
      </w:r>
      <w:r w:rsidR="009419CD">
        <w:t xml:space="preserve"> </w:t>
      </w:r>
    </w:p>
    <w:p w14:paraId="48A0F529" w14:textId="545B0B7F" w:rsidR="001F54E8" w:rsidRPr="001F54E8" w:rsidRDefault="001F54E8" w:rsidP="001F54E8">
      <w:pPr>
        <w:pStyle w:val="BodyText"/>
        <w:keepNext/>
        <w:keepLines/>
        <w:numPr>
          <w:ilvl w:val="0"/>
          <w:numId w:val="18"/>
        </w:numPr>
      </w:pPr>
      <w:r w:rsidRPr="001F54E8">
        <w:t xml:space="preserve">Deployment, Installation, Back-out, and Rollback Guide </w:t>
      </w:r>
    </w:p>
    <w:p w14:paraId="4A3D03D6" w14:textId="5523C605" w:rsidR="001F54E8" w:rsidRPr="001F54E8" w:rsidRDefault="001F54E8" w:rsidP="001F54E8">
      <w:pPr>
        <w:pStyle w:val="BodyText"/>
        <w:keepNext/>
        <w:keepLines/>
        <w:numPr>
          <w:ilvl w:val="0"/>
          <w:numId w:val="18"/>
        </w:numPr>
      </w:pPr>
      <w:r w:rsidRPr="001F54E8">
        <w:t>Integrated Billing (IB) V. 2.0 User Manual</w:t>
      </w:r>
    </w:p>
    <w:sectPr w:rsidR="001F54E8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C054" w14:textId="77777777" w:rsidR="00677CEB" w:rsidRDefault="00677CEB">
      <w:r>
        <w:separator/>
      </w:r>
    </w:p>
    <w:p w14:paraId="6BFAFA1B" w14:textId="77777777" w:rsidR="00677CEB" w:rsidRDefault="00677CEB"/>
  </w:endnote>
  <w:endnote w:type="continuationSeparator" w:id="0">
    <w:p w14:paraId="0C823AA3" w14:textId="77777777" w:rsidR="00677CEB" w:rsidRDefault="00677CEB">
      <w:r>
        <w:continuationSeparator/>
      </w:r>
    </w:p>
    <w:p w14:paraId="7B103250" w14:textId="77777777" w:rsidR="00677CEB" w:rsidRDefault="00677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2FD4DCC8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>HRPE – IB*2.0*6</w:t>
    </w:r>
    <w:r w:rsidR="00DF51B7">
      <w:rPr>
        <w:rStyle w:val="FooterChar"/>
        <w:i w:val="0"/>
        <w:color w:val="auto"/>
      </w:rPr>
      <w:t>53</w:t>
    </w:r>
  </w:p>
  <w:p w14:paraId="6E183D6D" w14:textId="2E5EF494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C36C06">
      <w:rPr>
        <w:rStyle w:val="FooterChar"/>
        <w:i w:val="0"/>
        <w:color w:val="auto"/>
      </w:rPr>
      <w:t>May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D60F" w14:textId="77777777" w:rsidR="00677CEB" w:rsidRDefault="00677CEB">
      <w:r>
        <w:separator/>
      </w:r>
    </w:p>
    <w:p w14:paraId="09E4BDD1" w14:textId="77777777" w:rsidR="00677CEB" w:rsidRDefault="00677CEB"/>
  </w:footnote>
  <w:footnote w:type="continuationSeparator" w:id="0">
    <w:p w14:paraId="2A249527" w14:textId="77777777" w:rsidR="00677CEB" w:rsidRDefault="00677CEB">
      <w:r>
        <w:continuationSeparator/>
      </w:r>
    </w:p>
    <w:p w14:paraId="587ABB1B" w14:textId="77777777" w:rsidR="00677CEB" w:rsidRDefault="00677C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16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8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3438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2060D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A3C5C"/>
    <w:rsid w:val="001A75D9"/>
    <w:rsid w:val="001C0201"/>
    <w:rsid w:val="001C1C7A"/>
    <w:rsid w:val="001C4310"/>
    <w:rsid w:val="001C6A1F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61F8"/>
    <w:rsid w:val="00326966"/>
    <w:rsid w:val="00332C03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4B2A"/>
    <w:rsid w:val="00504BC1"/>
    <w:rsid w:val="005071A2"/>
    <w:rsid w:val="005100F6"/>
    <w:rsid w:val="00510914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D6A"/>
    <w:rsid w:val="00567043"/>
    <w:rsid w:val="005709C2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C10EC"/>
    <w:rsid w:val="005C3264"/>
    <w:rsid w:val="005D18C5"/>
    <w:rsid w:val="005D3B22"/>
    <w:rsid w:val="005D7CFB"/>
    <w:rsid w:val="005D7D1B"/>
    <w:rsid w:val="005E2AF9"/>
    <w:rsid w:val="005F7F0A"/>
    <w:rsid w:val="00600235"/>
    <w:rsid w:val="00602128"/>
    <w:rsid w:val="00606743"/>
    <w:rsid w:val="00610ADB"/>
    <w:rsid w:val="00614A5E"/>
    <w:rsid w:val="00614A74"/>
    <w:rsid w:val="00620BFA"/>
    <w:rsid w:val="00623FB5"/>
    <w:rsid w:val="006244C7"/>
    <w:rsid w:val="00631A3E"/>
    <w:rsid w:val="0063229B"/>
    <w:rsid w:val="00633B7D"/>
    <w:rsid w:val="0064194F"/>
    <w:rsid w:val="00642849"/>
    <w:rsid w:val="0064769E"/>
    <w:rsid w:val="00647B03"/>
    <w:rsid w:val="00653DFD"/>
    <w:rsid w:val="0065443F"/>
    <w:rsid w:val="0066022A"/>
    <w:rsid w:val="00663B92"/>
    <w:rsid w:val="00664F01"/>
    <w:rsid w:val="00665BF6"/>
    <w:rsid w:val="006670D2"/>
    <w:rsid w:val="00667E47"/>
    <w:rsid w:val="00677451"/>
    <w:rsid w:val="00677CEB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C74F4"/>
    <w:rsid w:val="006C7ACD"/>
    <w:rsid w:val="006D307C"/>
    <w:rsid w:val="006D32A6"/>
    <w:rsid w:val="006D4142"/>
    <w:rsid w:val="006D68DA"/>
    <w:rsid w:val="006E32E0"/>
    <w:rsid w:val="006E5523"/>
    <w:rsid w:val="006F03F0"/>
    <w:rsid w:val="006F189E"/>
    <w:rsid w:val="006F6970"/>
    <w:rsid w:val="006F6D65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74B05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E05D4"/>
    <w:rsid w:val="007E4370"/>
    <w:rsid w:val="007E5789"/>
    <w:rsid w:val="007E7E65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71E3C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4125"/>
    <w:rsid w:val="009D4573"/>
    <w:rsid w:val="009E52AD"/>
    <w:rsid w:val="009E67B2"/>
    <w:rsid w:val="009E6F2A"/>
    <w:rsid w:val="009F3E80"/>
    <w:rsid w:val="009F5E75"/>
    <w:rsid w:val="009F77D2"/>
    <w:rsid w:val="00A04018"/>
    <w:rsid w:val="00A0550C"/>
    <w:rsid w:val="00A05CA6"/>
    <w:rsid w:val="00A10C1F"/>
    <w:rsid w:val="00A136DC"/>
    <w:rsid w:val="00A149C0"/>
    <w:rsid w:val="00A158D9"/>
    <w:rsid w:val="00A166D5"/>
    <w:rsid w:val="00A24CF9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337E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FCE"/>
    <w:rsid w:val="00BB1AC6"/>
    <w:rsid w:val="00BB52EE"/>
    <w:rsid w:val="00BB5C59"/>
    <w:rsid w:val="00BC2D41"/>
    <w:rsid w:val="00BE02B4"/>
    <w:rsid w:val="00BE1C60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D5A"/>
    <w:rsid w:val="00D25993"/>
    <w:rsid w:val="00D3172E"/>
    <w:rsid w:val="00D335E9"/>
    <w:rsid w:val="00D3642C"/>
    <w:rsid w:val="00D41E05"/>
    <w:rsid w:val="00D4529D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7580F"/>
    <w:rsid w:val="00E773E8"/>
    <w:rsid w:val="00E77C35"/>
    <w:rsid w:val="00E9007C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D097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2" ma:contentTypeDescription="Create a new document." ma:contentTypeScope="" ma:versionID="9e36e4304a771d0931eeefc008f19ec0">
  <xsd:schema xmlns:xsd="http://www.w3.org/2001/XMLSchema" xmlns:xs="http://www.w3.org/2001/XMLSchema" xmlns:p="http://schemas.microsoft.com/office/2006/metadata/properties" xmlns:ns2="81a3215a-ba9c-44c6-81ef-3f93f2afbc75" xmlns:ns3="4d87ae65-4aae-4514-a1df-e7e6acab55de" targetNamespace="http://schemas.microsoft.com/office/2006/metadata/properties" ma:root="true" ma:fieldsID="71e12c21554b6fc3eede71365e27652b" ns2:_="" ns3:_=""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9E2D7-6331-44A1-A662-36773456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9372C-A033-4A8C-B52C-C6201240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5206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lastModifiedBy>Dept of Veterans Affairs</cp:lastModifiedBy>
  <cp:revision>4</cp:revision>
  <cp:lastPrinted>2020-06-02T21:42:00Z</cp:lastPrinted>
  <dcterms:created xsi:type="dcterms:W3CDTF">2021-01-12T18:36:00Z</dcterms:created>
  <dcterms:modified xsi:type="dcterms:W3CDTF">2021-05-30T19:14:00Z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