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56C9686D" w:rsidR="00DF41CE" w:rsidRPr="005D7D1B" w:rsidRDefault="001F419B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IB*2.0*</w:t>
      </w:r>
      <w:r w:rsidR="00C87157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701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548B6B9" w:rsidR="00DF41CE" w:rsidRPr="005D7D1B" w:rsidRDefault="0017462C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August</w:t>
      </w:r>
      <w:r w:rsidR="0048668F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</w:t>
      </w:r>
      <w:r w:rsidR="00785D0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6AA24AD8" w14:textId="77777777" w:rsidR="00785D0B" w:rsidRDefault="006F03F0">
      <w:pPr>
        <w:spacing w:before="0" w:after="0"/>
        <w:rPr>
          <w:b/>
        </w:rPr>
      </w:pPr>
      <w:r>
        <w:rPr>
          <w:b/>
        </w:rPr>
        <w:br w:type="page"/>
      </w:r>
    </w:p>
    <w:p w14:paraId="73C28476" w14:textId="77777777" w:rsidR="00785D0B" w:rsidRPr="00AB2495" w:rsidRDefault="00785D0B" w:rsidP="00785D0B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Description w:val="Revision History, including date of changes, version, description of changes, and author of changes."/>
      </w:tblPr>
      <w:tblGrid>
        <w:gridCol w:w="1526"/>
        <w:gridCol w:w="1245"/>
        <w:gridCol w:w="4243"/>
        <w:gridCol w:w="2336"/>
      </w:tblGrid>
      <w:tr w:rsidR="00785D0B" w:rsidRPr="0024569E" w14:paraId="64ADE5AC" w14:textId="77777777" w:rsidTr="0017462C">
        <w:trPr>
          <w:cantSplit/>
          <w:tblHeader/>
        </w:trPr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86098BC" w14:textId="77777777" w:rsidR="00785D0B" w:rsidRPr="0024569E" w:rsidRDefault="00785D0B" w:rsidP="0017462C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ColumnTitle_01"/>
            <w:bookmarkEnd w:id="1"/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CD00D21" w14:textId="77777777" w:rsidR="00785D0B" w:rsidRPr="0024569E" w:rsidRDefault="00785D0B" w:rsidP="0017462C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  <w:vAlign w:val="center"/>
          </w:tcPr>
          <w:p w14:paraId="5494AAF7" w14:textId="77777777" w:rsidR="00785D0B" w:rsidRPr="0024569E" w:rsidRDefault="00785D0B" w:rsidP="0017462C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666FA8DC" w14:textId="77777777" w:rsidR="00785D0B" w:rsidRPr="0024569E" w:rsidRDefault="00785D0B" w:rsidP="0017462C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785D0B" w:rsidRPr="000A7B27" w14:paraId="3B475C1F" w14:textId="77777777" w:rsidTr="0017462C">
        <w:trPr>
          <w:cantSplit/>
          <w:tblHeader/>
        </w:trPr>
        <w:tc>
          <w:tcPr>
            <w:tcW w:w="816" w:type="pct"/>
            <w:shd w:val="clear" w:color="auto" w:fill="auto"/>
          </w:tcPr>
          <w:p w14:paraId="7E50EAF2" w14:textId="61CDD426" w:rsidR="00785D0B" w:rsidRPr="000A7B27" w:rsidRDefault="00785D0B" w:rsidP="00785D0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17462C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17462C">
              <w:rPr>
                <w:rFonts w:ascii="Arial" w:hAnsi="Arial" w:cs="Arial"/>
                <w:color w:val="auto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/2021</w:t>
            </w:r>
          </w:p>
        </w:tc>
        <w:tc>
          <w:tcPr>
            <w:tcW w:w="666" w:type="pct"/>
            <w:shd w:val="clear" w:color="auto" w:fill="auto"/>
          </w:tcPr>
          <w:p w14:paraId="01524299" w14:textId="77777777" w:rsidR="00785D0B" w:rsidRPr="000A7B27" w:rsidRDefault="00785D0B" w:rsidP="00785D0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4BD1A4A6" w14:textId="77777777" w:rsidR="00785D0B" w:rsidRPr="000A7B27" w:rsidRDefault="00785D0B" w:rsidP="007670F7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44A64F92" w14:textId="77777777" w:rsidR="00785D0B" w:rsidRPr="000A7B27" w:rsidRDefault="00785D0B" w:rsidP="007670F7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ITS</w:t>
            </w:r>
          </w:p>
        </w:tc>
      </w:tr>
    </w:tbl>
    <w:p w14:paraId="3BA5E110" w14:textId="77777777" w:rsidR="00785D0B" w:rsidRDefault="00785D0B" w:rsidP="00785D0B">
      <w:pPr>
        <w:spacing w:before="0" w:after="0"/>
      </w:pPr>
      <w:r>
        <w:br w:type="page"/>
      </w:r>
    </w:p>
    <w:p w14:paraId="5D0C9CDB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5DE02936" w14:textId="47917D9C" w:rsidR="007D03B3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76488152" w:history="1">
        <w:r w:rsidR="007D03B3" w:rsidRPr="00C122E5">
          <w:rPr>
            <w:rStyle w:val="Hyperlink"/>
            <w:noProof/>
          </w:rPr>
          <w:t>1.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Introduction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_Toc76488152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1</w:t>
        </w:r>
        <w:r w:rsidR="007D03B3">
          <w:rPr>
            <w:noProof/>
            <w:webHidden/>
          </w:rPr>
          <w:fldChar w:fldCharType="end"/>
        </w:r>
      </w:hyperlink>
    </w:p>
    <w:p w14:paraId="7B99E357" w14:textId="21B9B203" w:rsidR="007D03B3" w:rsidRDefault="007C333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53" w:history="1">
        <w:r w:rsidR="007D03B3" w:rsidRPr="00C122E5">
          <w:rPr>
            <w:rStyle w:val="Hyperlink"/>
            <w:noProof/>
          </w:rPr>
          <w:t>1.1.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Purpose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_Toc76488153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1</w:t>
        </w:r>
        <w:r w:rsidR="007D03B3">
          <w:rPr>
            <w:noProof/>
            <w:webHidden/>
          </w:rPr>
          <w:fldChar w:fldCharType="end"/>
        </w:r>
      </w:hyperlink>
    </w:p>
    <w:p w14:paraId="59B381EE" w14:textId="5373E50A" w:rsidR="007D03B3" w:rsidRDefault="007C333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54" w:history="1">
        <w:r w:rsidR="007D03B3" w:rsidRPr="00C122E5">
          <w:rPr>
            <w:rStyle w:val="Hyperlink"/>
            <w:noProof/>
          </w:rPr>
          <w:t>1.2.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Audience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_Toc76488154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1</w:t>
        </w:r>
        <w:r w:rsidR="007D03B3">
          <w:rPr>
            <w:noProof/>
            <w:webHidden/>
          </w:rPr>
          <w:fldChar w:fldCharType="end"/>
        </w:r>
      </w:hyperlink>
    </w:p>
    <w:p w14:paraId="568C7514" w14:textId="09EB5A92" w:rsidR="007D03B3" w:rsidRDefault="007C333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55" w:history="1">
        <w:r w:rsidR="007D03B3" w:rsidRPr="00C122E5">
          <w:rPr>
            <w:rStyle w:val="Hyperlink"/>
            <w:noProof/>
          </w:rPr>
          <w:t>2.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This Release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_Toc76488155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2</w:t>
        </w:r>
        <w:r w:rsidR="007D03B3">
          <w:rPr>
            <w:noProof/>
            <w:webHidden/>
          </w:rPr>
          <w:fldChar w:fldCharType="end"/>
        </w:r>
      </w:hyperlink>
    </w:p>
    <w:p w14:paraId="65747680" w14:textId="63B12ADA" w:rsidR="007D03B3" w:rsidRDefault="007C333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56" w:history="1">
        <w:r w:rsidR="007D03B3" w:rsidRPr="00C122E5">
          <w:rPr>
            <w:rStyle w:val="Hyperlink"/>
            <w:noProof/>
          </w:rPr>
          <w:t>2.1.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New Features and Functions Added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_Toc76488156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2</w:t>
        </w:r>
        <w:r w:rsidR="007D03B3">
          <w:rPr>
            <w:noProof/>
            <w:webHidden/>
          </w:rPr>
          <w:fldChar w:fldCharType="end"/>
        </w:r>
      </w:hyperlink>
    </w:p>
    <w:p w14:paraId="3FF2FE77" w14:textId="5CF00851" w:rsidR="007D03B3" w:rsidRDefault="007C333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57" w:history="1">
        <w:r w:rsidR="007D03B3" w:rsidRPr="00C122E5">
          <w:rPr>
            <w:rStyle w:val="Hyperlink"/>
            <w:noProof/>
          </w:rPr>
          <w:t>2.2.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Enhancements and Modifications to Existing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_Toc76488157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2</w:t>
        </w:r>
        <w:r w:rsidR="007D03B3">
          <w:rPr>
            <w:noProof/>
            <w:webHidden/>
          </w:rPr>
          <w:fldChar w:fldCharType="end"/>
        </w:r>
      </w:hyperlink>
    </w:p>
    <w:p w14:paraId="6818FFA2" w14:textId="00D541E5" w:rsidR="007D03B3" w:rsidRDefault="007C333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58" w:history="1">
        <w:r w:rsidR="007D03B3" w:rsidRPr="00C122E5">
          <w:rPr>
            <w:rStyle w:val="Hyperlink"/>
            <w:noProof/>
          </w:rPr>
          <w:t>2.3.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Known Issues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_Toc76488158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2</w:t>
        </w:r>
        <w:r w:rsidR="007D03B3">
          <w:rPr>
            <w:noProof/>
            <w:webHidden/>
          </w:rPr>
          <w:fldChar w:fldCharType="end"/>
        </w:r>
      </w:hyperlink>
    </w:p>
    <w:p w14:paraId="2213D2FA" w14:textId="40D569B1" w:rsidR="007D03B3" w:rsidRDefault="007C333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59" w:history="1">
        <w:r w:rsidR="007D03B3" w:rsidRPr="00C122E5">
          <w:rPr>
            <w:rStyle w:val="Hyperlink"/>
            <w:noProof/>
          </w:rPr>
          <w:t>2.4.</w:t>
        </w:r>
        <w:r w:rsidR="007D03B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7D03B3" w:rsidRPr="00C122E5">
          <w:rPr>
            <w:rStyle w:val="Hyperlink"/>
            <w:noProof/>
          </w:rPr>
          <w:t>Product Documentation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_Toc76488159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3</w:t>
        </w:r>
        <w:r w:rsidR="007D03B3">
          <w:rPr>
            <w:noProof/>
            <w:webHidden/>
          </w:rPr>
          <w:fldChar w:fldCharType="end"/>
        </w:r>
      </w:hyperlink>
    </w:p>
    <w:p w14:paraId="6D919496" w14:textId="61CAC607" w:rsidR="007D03B3" w:rsidRDefault="007C333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6488160" w:history="1">
        <w:r w:rsidR="007D03B3" w:rsidRPr="00C122E5">
          <w:rPr>
            <w:rStyle w:val="Hyperlink"/>
            <w:noProof/>
          </w:rPr>
          <w:t>Appendix A – Acronyms</w:t>
        </w:r>
        <w:r w:rsidR="007D03B3">
          <w:rPr>
            <w:noProof/>
            <w:webHidden/>
          </w:rPr>
          <w:tab/>
        </w:r>
        <w:r w:rsidR="007D03B3">
          <w:rPr>
            <w:noProof/>
            <w:webHidden/>
          </w:rPr>
          <w:fldChar w:fldCharType="begin"/>
        </w:r>
        <w:r w:rsidR="007D03B3">
          <w:rPr>
            <w:noProof/>
            <w:webHidden/>
          </w:rPr>
          <w:instrText xml:space="preserve"> PAGEREF _Toc76488160 \h </w:instrText>
        </w:r>
        <w:r w:rsidR="007D03B3">
          <w:rPr>
            <w:noProof/>
            <w:webHidden/>
          </w:rPr>
        </w:r>
        <w:r w:rsidR="007D03B3">
          <w:rPr>
            <w:noProof/>
            <w:webHidden/>
          </w:rPr>
          <w:fldChar w:fldCharType="separate"/>
        </w:r>
        <w:r w:rsidR="007D03B3">
          <w:rPr>
            <w:noProof/>
            <w:webHidden/>
          </w:rPr>
          <w:t>4</w:t>
        </w:r>
        <w:r w:rsidR="007D03B3">
          <w:rPr>
            <w:noProof/>
            <w:webHidden/>
          </w:rPr>
          <w:fldChar w:fldCharType="end"/>
        </w:r>
      </w:hyperlink>
    </w:p>
    <w:p w14:paraId="0B042FE7" w14:textId="19D2D164" w:rsidR="006F6970" w:rsidRDefault="00824E4A" w:rsidP="000315D0">
      <w:pPr>
        <w:pStyle w:val="BodyText"/>
      </w:pPr>
      <w:r>
        <w:fldChar w:fldCharType="end"/>
      </w:r>
    </w:p>
    <w:p w14:paraId="73CE65EC" w14:textId="6358C07F" w:rsidR="007D03B3" w:rsidRDefault="007D03B3" w:rsidP="007D03B3">
      <w:pPr>
        <w:pStyle w:val="Title2"/>
      </w:pPr>
      <w:r>
        <w:t>List of Tables</w:t>
      </w:r>
    </w:p>
    <w:p w14:paraId="5201AD3E" w14:textId="373E0AA1" w:rsidR="007D03B3" w:rsidRDefault="007D03B3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6488184" w:history="1">
        <w:r w:rsidRPr="001A17FB">
          <w:rPr>
            <w:rStyle w:val="Hyperlink"/>
            <w:noProof/>
          </w:rPr>
          <w:t>Table 1: Acronyms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_Toc76488184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5CA3B2" w14:textId="497E41DD" w:rsidR="007D03B3" w:rsidRDefault="007D03B3" w:rsidP="000315D0">
      <w:pPr>
        <w:pStyle w:val="BodyText"/>
      </w:pPr>
      <w:r>
        <w:fldChar w:fldCharType="end"/>
      </w:r>
    </w:p>
    <w:p w14:paraId="50F42D35" w14:textId="77777777" w:rsidR="00785D0B" w:rsidRDefault="00785D0B" w:rsidP="0073059A">
      <w:pPr>
        <w:spacing w:before="0" w:after="0"/>
        <w:rPr>
          <w:szCs w:val="20"/>
        </w:rPr>
      </w:pPr>
    </w:p>
    <w:p w14:paraId="3AAE558F" w14:textId="1E835FC1" w:rsidR="0073059A" w:rsidRPr="000315D0" w:rsidRDefault="0073059A" w:rsidP="000315D0">
      <w:pPr>
        <w:pStyle w:val="BodyText"/>
        <w:sectPr w:rsidR="0073059A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76488152"/>
      <w:bookmarkStart w:id="3" w:name="_Hlk38361339"/>
      <w:bookmarkEnd w:id="0"/>
      <w:r w:rsidRPr="00AC15AD">
        <w:lastRenderedPageBreak/>
        <w:t>Introduction</w:t>
      </w:r>
      <w:bookmarkEnd w:id="2"/>
    </w:p>
    <w:p w14:paraId="5AE78470" w14:textId="32EF56B3" w:rsidR="00742F44" w:rsidRPr="00742F44" w:rsidRDefault="00742F44" w:rsidP="00742F44">
      <w:pPr>
        <w:autoSpaceDE w:val="0"/>
        <w:autoSpaceDN w:val="0"/>
        <w:adjustRightInd w:val="0"/>
        <w:spacing w:before="0" w:after="0"/>
      </w:pPr>
      <w:r w:rsidRPr="00742F44">
        <w:t xml:space="preserve">The </w:t>
      </w:r>
      <w:r w:rsidR="0017462C" w:rsidRPr="00742F44">
        <w:t xml:space="preserve">Integrated Billing </w:t>
      </w:r>
      <w:r w:rsidR="0017462C">
        <w:t xml:space="preserve">(IB) </w:t>
      </w:r>
      <w:r w:rsidRPr="00742F44">
        <w:t>package needs to run the REGISTRATION report implemented as MAIN^DGOTHFSM modified in the patch DG*5.3*1047 to display</w:t>
      </w:r>
      <w:r>
        <w:t xml:space="preserve"> </w:t>
      </w:r>
      <w:r w:rsidRPr="00742F44">
        <w:t>information for</w:t>
      </w:r>
      <w:r w:rsidR="0017462C" w:rsidRPr="00742F44">
        <w:t xml:space="preserve"> </w:t>
      </w:r>
      <w:r w:rsidRPr="00742F44">
        <w:t>IB users. This report identifies</w:t>
      </w:r>
      <w:r>
        <w:t xml:space="preserve"> </w:t>
      </w:r>
      <w:r w:rsidRPr="00742F44">
        <w:t xml:space="preserve">Former Service Members </w:t>
      </w:r>
      <w:r w:rsidR="007D03B3">
        <w:t xml:space="preserve">(FSM) </w:t>
      </w:r>
      <w:r w:rsidRPr="00742F44">
        <w:t>whose Primary Eligibility changed from EXPANDED MH</w:t>
      </w:r>
      <w:r>
        <w:t xml:space="preserve"> </w:t>
      </w:r>
      <w:r w:rsidRPr="00742F44">
        <w:t>CARE NON-ENROLLEE to a new Primary Eligibility with a VERIFIED eligibility</w:t>
      </w:r>
      <w:r>
        <w:t xml:space="preserve"> </w:t>
      </w:r>
      <w:r w:rsidRPr="00742F44">
        <w:t>status. These patients are no longer treated under the Other Than</w:t>
      </w:r>
      <w:r>
        <w:t xml:space="preserve"> </w:t>
      </w:r>
      <w:r w:rsidRPr="00742F44">
        <w:t>Honorable (OTH) authority (</w:t>
      </w:r>
      <w:r w:rsidR="0017462C" w:rsidRPr="0017462C">
        <w:t xml:space="preserve">Veterans’ Health Administration </w:t>
      </w:r>
      <w:r w:rsidR="0017462C">
        <w:t>(</w:t>
      </w:r>
      <w:r w:rsidRPr="00742F44">
        <w:t>VHA</w:t>
      </w:r>
      <w:r w:rsidR="0017462C">
        <w:t>)</w:t>
      </w:r>
      <w:r w:rsidRPr="00742F44">
        <w:t xml:space="preserve"> Directive 1601A.02).</w:t>
      </w:r>
    </w:p>
    <w:p w14:paraId="7ED0A117" w14:textId="08EFB758" w:rsidR="00742F44" w:rsidRPr="00742F44" w:rsidRDefault="00742F44" w:rsidP="00742F44">
      <w:pPr>
        <w:autoSpaceDE w:val="0"/>
        <w:autoSpaceDN w:val="0"/>
        <w:adjustRightInd w:val="0"/>
        <w:spacing w:before="0" w:after="0"/>
      </w:pPr>
    </w:p>
    <w:p w14:paraId="666C8CD4" w14:textId="23BE6F65" w:rsidR="00742F44" w:rsidRPr="00742F44" w:rsidRDefault="00742F44" w:rsidP="00742F44">
      <w:pPr>
        <w:autoSpaceDE w:val="0"/>
        <w:autoSpaceDN w:val="0"/>
        <w:adjustRightInd w:val="0"/>
        <w:spacing w:before="0" w:after="0"/>
      </w:pPr>
      <w:r w:rsidRPr="00742F44">
        <w:t>The Integration Control Registration #7243 was entered to allow the IB</w:t>
      </w:r>
      <w:r>
        <w:t xml:space="preserve"> </w:t>
      </w:r>
      <w:r w:rsidRPr="00742F44">
        <w:t>menu option Former OTH Patient Eligibility Change Report [IB OTH FSM ELIG.</w:t>
      </w:r>
      <w:r>
        <w:t xml:space="preserve"> </w:t>
      </w:r>
      <w:r w:rsidRPr="00742F44">
        <w:t>CHANGE REPORT] a permission to run MAIN^DGOTHFSM entry point that allows</w:t>
      </w:r>
      <w:r>
        <w:t xml:space="preserve"> </w:t>
      </w:r>
      <w:r w:rsidRPr="00742F44">
        <w:t xml:space="preserve">IB users to see additional information related to </w:t>
      </w:r>
      <w:r w:rsidR="0017462C" w:rsidRPr="0017462C">
        <w:t xml:space="preserve">Military Sexual Trauma </w:t>
      </w:r>
      <w:r w:rsidR="0017462C">
        <w:t>(</w:t>
      </w:r>
      <w:r w:rsidRPr="00742F44">
        <w:t>MST</w:t>
      </w:r>
      <w:r w:rsidR="0017462C">
        <w:t>)</w:t>
      </w:r>
      <w:r w:rsidRPr="00742F44">
        <w:t xml:space="preserve"> screening results.</w:t>
      </w:r>
    </w:p>
    <w:p w14:paraId="4BDDEF46" w14:textId="01103900" w:rsidR="008A29EB" w:rsidRDefault="008A29EB" w:rsidP="00D75C17">
      <w:pPr>
        <w:pStyle w:val="Heading2"/>
      </w:pPr>
      <w:bookmarkStart w:id="4" w:name="_Toc76488153"/>
      <w:bookmarkEnd w:id="3"/>
      <w:r>
        <w:t>Purpose</w:t>
      </w:r>
      <w:bookmarkEnd w:id="4"/>
    </w:p>
    <w:p w14:paraId="03588AD9" w14:textId="283E29B2" w:rsidR="00B0131B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985300" w:rsidRPr="001132D4">
        <w:t xml:space="preserve">implement reports that would help </w:t>
      </w:r>
      <w:r w:rsidR="0015443C">
        <w:t>b</w:t>
      </w:r>
      <w:r w:rsidR="00985300" w:rsidRPr="001132D4">
        <w:t>illing users</w:t>
      </w:r>
      <w:r w:rsidR="00985300">
        <w:t xml:space="preserve"> </w:t>
      </w:r>
      <w:r w:rsidR="00985300" w:rsidRPr="001132D4">
        <w:t xml:space="preserve">to identify patients that were treated under </w:t>
      </w:r>
      <w:r w:rsidR="00EB2D01">
        <w:t>OTH</w:t>
      </w:r>
      <w:r w:rsidR="00985300" w:rsidRPr="001132D4">
        <w:t xml:space="preserve"> authority</w:t>
      </w:r>
      <w:r w:rsidR="00106655">
        <w:t>. This is to</w:t>
      </w:r>
      <w:r w:rsidR="00985300" w:rsidRPr="001132D4">
        <w:t xml:space="preserve"> provide details about eligibility changes and VA care provided to these patients.</w:t>
      </w:r>
    </w:p>
    <w:p w14:paraId="2871053C" w14:textId="730E979D" w:rsidR="008A29EB" w:rsidRDefault="008A29EB" w:rsidP="00F36A35">
      <w:pPr>
        <w:pStyle w:val="Heading2"/>
      </w:pPr>
      <w:bookmarkStart w:id="5" w:name="_Toc76488154"/>
      <w:r>
        <w:t>Audience</w:t>
      </w:r>
      <w:bookmarkEnd w:id="5"/>
    </w:p>
    <w:p w14:paraId="12E2A258" w14:textId="6FAFCDC4" w:rsidR="008A29EB" w:rsidRDefault="008A29EB" w:rsidP="00780612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>This document targ</w:t>
      </w:r>
      <w:r w:rsidR="005D7D1B" w:rsidRPr="00F16864">
        <w:rPr>
          <w:iCs/>
          <w:color w:val="auto"/>
          <w:szCs w:val="20"/>
        </w:rPr>
        <w:t xml:space="preserve">ets </w:t>
      </w:r>
      <w:r w:rsidR="006D307C">
        <w:rPr>
          <w:iCs/>
          <w:color w:val="auto"/>
          <w:szCs w:val="20"/>
        </w:rPr>
        <w:t xml:space="preserve">billing </w:t>
      </w:r>
      <w:r w:rsidR="005D7D1B" w:rsidRPr="00F16864">
        <w:rPr>
          <w:iCs/>
          <w:color w:val="auto"/>
          <w:szCs w:val="20"/>
        </w:rPr>
        <w:t xml:space="preserve">users and administrators </w:t>
      </w:r>
      <w:r w:rsidR="006D307C">
        <w:rPr>
          <w:iCs/>
          <w:color w:val="auto"/>
          <w:szCs w:val="20"/>
        </w:rPr>
        <w:t xml:space="preserve">that </w:t>
      </w:r>
      <w:r w:rsidR="000305C4">
        <w:rPr>
          <w:iCs/>
          <w:color w:val="auto"/>
          <w:szCs w:val="20"/>
        </w:rPr>
        <w:t xml:space="preserve">review </w:t>
      </w:r>
      <w:r w:rsidR="007D03B3">
        <w:rPr>
          <w:iCs/>
          <w:color w:val="auto"/>
          <w:szCs w:val="20"/>
        </w:rPr>
        <w:t>FSMs</w:t>
      </w:r>
      <w:r w:rsidR="00346C46">
        <w:rPr>
          <w:iCs/>
          <w:color w:val="auto"/>
          <w:szCs w:val="20"/>
        </w:rPr>
        <w:t xml:space="preserve"> episodes of care</w:t>
      </w:r>
      <w:r w:rsidR="00D4559C">
        <w:rPr>
          <w:iCs/>
          <w:color w:val="auto"/>
          <w:szCs w:val="20"/>
        </w:rPr>
        <w:t xml:space="preserve"> and </w:t>
      </w:r>
      <w:r w:rsidR="00346C46">
        <w:rPr>
          <w:iCs/>
          <w:color w:val="auto"/>
          <w:szCs w:val="20"/>
        </w:rPr>
        <w:t xml:space="preserve">released </w:t>
      </w:r>
      <w:r w:rsidR="00D4559C">
        <w:rPr>
          <w:iCs/>
          <w:color w:val="auto"/>
          <w:szCs w:val="20"/>
        </w:rPr>
        <w:t>prescription details to determine if potential back-billing is necessary.</w:t>
      </w:r>
    </w:p>
    <w:p w14:paraId="1B7AD1C1" w14:textId="77777777" w:rsidR="008A29EB" w:rsidRDefault="008A29EB" w:rsidP="00AC15AD">
      <w:pPr>
        <w:pStyle w:val="Heading1"/>
      </w:pPr>
      <w:bookmarkStart w:id="6" w:name="_Toc76488155"/>
      <w:r>
        <w:lastRenderedPageBreak/>
        <w:t>This Release</w:t>
      </w:r>
      <w:bookmarkEnd w:id="6"/>
    </w:p>
    <w:p w14:paraId="7B61DC7A" w14:textId="4270053E" w:rsidR="00762711" w:rsidRDefault="00762711" w:rsidP="00762711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</w:t>
      </w:r>
      <w:r w:rsidR="00041659">
        <w:t>,</w:t>
      </w:r>
      <w:r>
        <w:t xml:space="preserve"> and modifications to the existing software, and any known issues for IB*2.0*</w:t>
      </w:r>
      <w:r w:rsidR="00A8506C">
        <w:t>701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7" w:name="_Toc76488156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7"/>
    </w:p>
    <w:p w14:paraId="179733A5" w14:textId="204E18D6" w:rsidR="00DE2256" w:rsidRDefault="008A29EB" w:rsidP="00DE2256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>by IB*2.</w:t>
      </w:r>
      <w:r w:rsidR="007E72B1">
        <w:rPr>
          <w:iCs/>
          <w:color w:val="auto"/>
        </w:rPr>
        <w:t>0</w:t>
      </w:r>
      <w:r w:rsidR="00D4559C">
        <w:rPr>
          <w:iCs/>
          <w:color w:val="auto"/>
        </w:rPr>
        <w:t>*</w:t>
      </w:r>
      <w:r w:rsidR="006B3DE9">
        <w:rPr>
          <w:iCs/>
          <w:color w:val="auto"/>
        </w:rPr>
        <w:t>701</w:t>
      </w:r>
      <w:r w:rsidR="00D4559C">
        <w:rPr>
          <w:iCs/>
          <w:color w:val="auto"/>
        </w:rPr>
        <w:t>:</w:t>
      </w:r>
    </w:p>
    <w:p w14:paraId="45BBD23A" w14:textId="79DDE4EF" w:rsidR="00DE2256" w:rsidRPr="00FD136E" w:rsidRDefault="00FD136E" w:rsidP="00FD136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rPr>
          <w:szCs w:val="20"/>
        </w:rPr>
      </w:pPr>
      <w:r w:rsidRPr="00FD136E">
        <w:rPr>
          <w:szCs w:val="20"/>
        </w:rPr>
        <w:t xml:space="preserve">Added a new menu option  Former OTH Patient Eligibility Change Report [IB OTH FSM ELIG. CHANGE REPORT] to the Patient Billing Reports Menu [IB OUTPUT PATIENT REPORT MENU] </w:t>
      </w:r>
      <w:r>
        <w:rPr>
          <w:szCs w:val="20"/>
        </w:rPr>
        <w:t xml:space="preserve">to display </w:t>
      </w:r>
      <w:r w:rsidRPr="00FD136E">
        <w:rPr>
          <w:szCs w:val="20"/>
        </w:rPr>
        <w:t>MST information to the Former OTH Patient Reports. This</w:t>
      </w:r>
      <w:r>
        <w:rPr>
          <w:szCs w:val="20"/>
        </w:rPr>
        <w:t xml:space="preserve"> </w:t>
      </w:r>
      <w:r w:rsidRPr="00FD136E">
        <w:rPr>
          <w:szCs w:val="20"/>
        </w:rPr>
        <w:t xml:space="preserve">will assist billing staff in proper billing of these patients after </w:t>
      </w:r>
      <w:r w:rsidR="0017462C" w:rsidRPr="0017462C">
        <w:rPr>
          <w:szCs w:val="20"/>
        </w:rPr>
        <w:t xml:space="preserve">Veterans Benefits Administration </w:t>
      </w:r>
      <w:r w:rsidR="0017462C">
        <w:rPr>
          <w:szCs w:val="20"/>
        </w:rPr>
        <w:t>(</w:t>
      </w:r>
      <w:r w:rsidRPr="00FD136E">
        <w:rPr>
          <w:szCs w:val="20"/>
        </w:rPr>
        <w:t>VBA</w:t>
      </w:r>
      <w:r w:rsidR="0017462C">
        <w:rPr>
          <w:szCs w:val="20"/>
        </w:rPr>
        <w:t>)</w:t>
      </w:r>
      <w:r w:rsidRPr="00FD136E">
        <w:rPr>
          <w:szCs w:val="20"/>
        </w:rPr>
        <w:t xml:space="preserve"> adjudication</w:t>
      </w:r>
      <w:r>
        <w:rPr>
          <w:szCs w:val="20"/>
        </w:rPr>
        <w:t xml:space="preserve"> and </w:t>
      </w:r>
      <w:r w:rsidRPr="00FD136E">
        <w:rPr>
          <w:szCs w:val="20"/>
        </w:rPr>
        <w:t xml:space="preserve">to identify patients that were treated under Other Than Honorable authority and provide details about eligibility changes and VA care provided to these patients. This option assists billing user in reviewing </w:t>
      </w:r>
      <w:r w:rsidR="007D03B3">
        <w:rPr>
          <w:szCs w:val="20"/>
        </w:rPr>
        <w:t>FSMs</w:t>
      </w:r>
      <w:r w:rsidRPr="00FD136E">
        <w:rPr>
          <w:szCs w:val="20"/>
        </w:rPr>
        <w:t xml:space="preserve"> past checked out encounter and prescription details to determine if potential back-billing is necessary.</w:t>
      </w:r>
    </w:p>
    <w:p w14:paraId="69ACB23A" w14:textId="77777777" w:rsidR="0017462C" w:rsidRDefault="0017462C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</w:p>
    <w:p w14:paraId="517CCD57" w14:textId="7385A8E1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* BEGIN SCREEN CAPTURE *</w:t>
      </w:r>
    </w:p>
    <w:p w14:paraId="3BDE6D61" w14:textId="1F7F5248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</w:p>
    <w:p w14:paraId="3F0A2A93" w14:textId="77777777" w:rsidR="00FD136E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 w:rsidRPr="00FD136E">
        <w:rPr>
          <w:rFonts w:ascii="r_ansi" w:hAnsi="r_ansi" w:cs="r_ansi"/>
          <w:sz w:val="20"/>
          <w:szCs w:val="20"/>
        </w:rPr>
        <w:t>Select OPTION NAME: IB OUTPUT PATIENT REPORT MENU Patient Billing Reports</w:t>
      </w:r>
    </w:p>
    <w:p w14:paraId="79B4B83C" w14:textId="77777777" w:rsidR="00FD136E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 w:rsidRPr="00FD136E">
        <w:rPr>
          <w:rFonts w:ascii="r_ansi" w:hAnsi="r_ansi" w:cs="r_ansi"/>
          <w:sz w:val="20"/>
          <w:szCs w:val="20"/>
        </w:rPr>
        <w:t>Menu</w:t>
      </w:r>
    </w:p>
    <w:p w14:paraId="250CDCD2" w14:textId="77777777" w:rsidR="00FD136E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</w:p>
    <w:p w14:paraId="7980240D" w14:textId="77777777" w:rsidR="00FD136E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 w:rsidRPr="00FD136E">
        <w:rPr>
          <w:rFonts w:ascii="r_ansi" w:hAnsi="r_ansi" w:cs="r_ansi"/>
          <w:sz w:val="20"/>
          <w:szCs w:val="20"/>
        </w:rPr>
        <w:t>CD Catastrophically Disabled Copay Report</w:t>
      </w:r>
    </w:p>
    <w:p w14:paraId="014ABFFD" w14:textId="77777777" w:rsidR="00FD136E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 w:rsidRPr="00FD136E">
        <w:rPr>
          <w:rFonts w:ascii="r_ansi" w:hAnsi="r_ansi" w:cs="r_ansi"/>
          <w:sz w:val="20"/>
          <w:szCs w:val="20"/>
        </w:rPr>
        <w:t xml:space="preserve">CLRP </w:t>
      </w:r>
      <w:proofErr w:type="spellStart"/>
      <w:r w:rsidRPr="00FD136E">
        <w:rPr>
          <w:rFonts w:ascii="r_ansi" w:hAnsi="r_ansi" w:cs="r_ansi"/>
          <w:sz w:val="20"/>
          <w:szCs w:val="20"/>
        </w:rPr>
        <w:t>ClaimsManager</w:t>
      </w:r>
      <w:proofErr w:type="spellEnd"/>
      <w:r w:rsidRPr="00FD136E">
        <w:rPr>
          <w:rFonts w:ascii="r_ansi" w:hAnsi="r_ansi" w:cs="r_ansi"/>
          <w:sz w:val="20"/>
          <w:szCs w:val="20"/>
        </w:rPr>
        <w:t xml:space="preserve"> Reports Menu ...</w:t>
      </w:r>
    </w:p>
    <w:p w14:paraId="1212F9FF" w14:textId="6EA671C3" w:rsid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.</w:t>
      </w:r>
    </w:p>
    <w:p w14:paraId="0267254D" w14:textId="32A8A809" w:rsid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.</w:t>
      </w:r>
    </w:p>
    <w:p w14:paraId="0B4333FE" w14:textId="2C2E5F22" w:rsidR="00FD136E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.</w:t>
      </w:r>
    </w:p>
    <w:p w14:paraId="7D0D71FE" w14:textId="77777777" w:rsidR="00FD136E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 w:rsidRPr="00FD136E">
        <w:rPr>
          <w:rFonts w:ascii="r_ansi" w:hAnsi="r_ansi" w:cs="r_ansi"/>
          <w:sz w:val="20"/>
          <w:szCs w:val="20"/>
        </w:rPr>
        <w:t>OTHD Former OTH Patient Detail Report</w:t>
      </w:r>
    </w:p>
    <w:p w14:paraId="2687F66E" w14:textId="7ED06E22" w:rsidR="00DE2256" w:rsidRP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FF0000"/>
          <w:sz w:val="20"/>
          <w:szCs w:val="20"/>
        </w:rPr>
      </w:pPr>
      <w:r w:rsidRPr="00FD136E">
        <w:rPr>
          <w:rFonts w:ascii="r_ansi" w:hAnsi="r_ansi" w:cs="r_ansi"/>
          <w:color w:val="FF0000"/>
          <w:sz w:val="20"/>
          <w:szCs w:val="20"/>
        </w:rPr>
        <w:t>OTHL Former OTH Patient Eligibility Change Report</w:t>
      </w:r>
    </w:p>
    <w:p w14:paraId="1D1E10CE" w14:textId="77777777" w:rsidR="00FD136E" w:rsidRDefault="00FD136E" w:rsidP="00FD136E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</w:p>
    <w:p w14:paraId="4905ABC8" w14:textId="77777777" w:rsidR="00DE2256" w:rsidRDefault="00DE2256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* END SCREEN CAPTURE *</w:t>
      </w:r>
    </w:p>
    <w:p w14:paraId="530E2356" w14:textId="55E5FF72" w:rsidR="00184FF3" w:rsidRPr="00DE2256" w:rsidRDefault="00184FF3" w:rsidP="00DE2256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</w:p>
    <w:p w14:paraId="0A9BFA2E" w14:textId="480D4FBE" w:rsidR="008A29EB" w:rsidRDefault="00143860" w:rsidP="00AC15AD">
      <w:pPr>
        <w:pStyle w:val="Heading2"/>
      </w:pPr>
      <w:bookmarkStart w:id="8" w:name="_Toc76488157"/>
      <w:r>
        <w:t>Enhancements and Modifications to Existing</w:t>
      </w:r>
      <w:bookmarkEnd w:id="8"/>
    </w:p>
    <w:p w14:paraId="347A7022" w14:textId="34A1F520" w:rsidR="00084AA2" w:rsidRDefault="00084AA2" w:rsidP="00084AA2">
      <w:pPr>
        <w:jc w:val="both"/>
      </w:pPr>
      <w:r w:rsidRPr="00F16864">
        <w:t>The following are the e</w:t>
      </w:r>
      <w:r>
        <w:t>nhancements and modifications by IB*2.0*</w:t>
      </w:r>
      <w:r w:rsidR="00DD5A0C">
        <w:t>701</w:t>
      </w:r>
      <w:r w:rsidRPr="00084AA2">
        <w:t>:</w:t>
      </w:r>
    </w:p>
    <w:p w14:paraId="501176CB" w14:textId="50A4A553" w:rsidR="00DD5A0C" w:rsidRDefault="00DD5A0C" w:rsidP="0048287B">
      <w:pPr>
        <w:pStyle w:val="ListParagraph"/>
        <w:numPr>
          <w:ilvl w:val="0"/>
          <w:numId w:val="32"/>
        </w:numPr>
        <w:ind w:left="720"/>
        <w:jc w:val="both"/>
      </w:pPr>
      <w:r>
        <w:t>Replaced the existing</w:t>
      </w:r>
      <w:r w:rsidR="00084AA2">
        <w:t xml:space="preserve"> </w:t>
      </w:r>
      <w:r w:rsidRPr="00FD136E">
        <w:rPr>
          <w:szCs w:val="20"/>
        </w:rPr>
        <w:t>Former OTH Patient Eligibility Change Report [</w:t>
      </w:r>
      <w:r>
        <w:rPr>
          <w:szCs w:val="20"/>
        </w:rPr>
        <w:t>DG</w:t>
      </w:r>
      <w:r w:rsidRPr="00FD136E">
        <w:rPr>
          <w:szCs w:val="20"/>
        </w:rPr>
        <w:t xml:space="preserve"> OTH FSM ELIG. CHANGE REPORT]</w:t>
      </w:r>
      <w:r>
        <w:rPr>
          <w:szCs w:val="20"/>
        </w:rPr>
        <w:t xml:space="preserve"> with </w:t>
      </w:r>
      <w:r w:rsidRPr="00FD136E">
        <w:rPr>
          <w:szCs w:val="20"/>
        </w:rPr>
        <w:t>Former OTH Patient Eligibility Change Report [</w:t>
      </w:r>
      <w:r>
        <w:rPr>
          <w:szCs w:val="20"/>
        </w:rPr>
        <w:t>IB</w:t>
      </w:r>
      <w:r w:rsidRPr="00FD136E">
        <w:rPr>
          <w:szCs w:val="20"/>
        </w:rPr>
        <w:t xml:space="preserve"> OTH FSM ELIG. CHANGE REPORT]</w:t>
      </w:r>
    </w:p>
    <w:p w14:paraId="319F3A9B" w14:textId="1BE38899" w:rsidR="008A29EB" w:rsidRDefault="008A29EB" w:rsidP="00AC15AD">
      <w:pPr>
        <w:pStyle w:val="Heading2"/>
      </w:pPr>
      <w:bookmarkStart w:id="9" w:name="_Toc76488158"/>
      <w:r>
        <w:t>Known Issues</w:t>
      </w:r>
      <w:bookmarkEnd w:id="9"/>
    </w:p>
    <w:p w14:paraId="44982D44" w14:textId="213E49E4" w:rsidR="008A29EB" w:rsidRDefault="006F03F0" w:rsidP="00822BA4">
      <w:r w:rsidRPr="00F16864">
        <w:t>None at this time</w:t>
      </w:r>
      <w:r w:rsidR="009419CD">
        <w:t>.</w:t>
      </w:r>
    </w:p>
    <w:p w14:paraId="6DA57C1A" w14:textId="77777777" w:rsidR="0017462C" w:rsidRDefault="0017462C" w:rsidP="00822BA4">
      <w:pPr>
        <w:rPr>
          <w:i/>
        </w:rPr>
      </w:pPr>
    </w:p>
    <w:p w14:paraId="1D0D6531" w14:textId="07B622C5" w:rsidR="008A29EB" w:rsidRDefault="008A29EB" w:rsidP="00F36A35">
      <w:pPr>
        <w:pStyle w:val="Heading2"/>
      </w:pPr>
      <w:bookmarkStart w:id="10" w:name="_Toc76488159"/>
      <w:r>
        <w:lastRenderedPageBreak/>
        <w:t>Product Documentation</w:t>
      </w:r>
      <w:bookmarkEnd w:id="10"/>
    </w:p>
    <w:p w14:paraId="72023437" w14:textId="2137AB9E" w:rsidR="00D335E9" w:rsidRDefault="008A29EB" w:rsidP="00822BA4">
      <w:pPr>
        <w:rPr>
          <w:color w:val="auto"/>
        </w:rPr>
      </w:pPr>
      <w:r>
        <w:t>The following documents</w:t>
      </w:r>
      <w:r w:rsidR="0017462C">
        <w:t xml:space="preserve">, </w:t>
      </w:r>
      <w:r w:rsidR="00F36A35" w:rsidRPr="0017462C">
        <w:t>located at the VA Software Document Library</w:t>
      </w:r>
      <w:r w:rsidR="0017462C">
        <w:t>,</w:t>
      </w:r>
      <w:r w:rsidR="0017462C" w:rsidRPr="0017462C">
        <w:t xml:space="preserve"> </w:t>
      </w:r>
      <w:r>
        <w:t>apply to this release:</w:t>
      </w:r>
    </w:p>
    <w:p w14:paraId="48A0F529" w14:textId="1EB95C46" w:rsidR="001F54E8" w:rsidRPr="001F54E8" w:rsidRDefault="001F54E8" w:rsidP="00822BA4">
      <w:pPr>
        <w:pStyle w:val="ListParagraph"/>
        <w:numPr>
          <w:ilvl w:val="0"/>
          <w:numId w:val="29"/>
        </w:numPr>
        <w:ind w:left="720"/>
      </w:pPr>
      <w:r w:rsidRPr="001F54E8">
        <w:t>Deployment, Installation, Back-out, and Rollback Guide</w:t>
      </w:r>
    </w:p>
    <w:p w14:paraId="4A3D03D6" w14:textId="2DA67174" w:rsidR="001F54E8" w:rsidRDefault="001F54E8" w:rsidP="00822BA4">
      <w:pPr>
        <w:pStyle w:val="ListParagraph"/>
        <w:numPr>
          <w:ilvl w:val="0"/>
          <w:numId w:val="29"/>
        </w:numPr>
        <w:ind w:left="720"/>
      </w:pPr>
      <w:r w:rsidRPr="001F54E8">
        <w:t>Integrated Billing V. 2.0 User Manual</w:t>
      </w:r>
    </w:p>
    <w:p w14:paraId="655B2F34" w14:textId="21BF3A3A" w:rsidR="00883418" w:rsidRDefault="00883418">
      <w:pPr>
        <w:spacing w:before="0" w:after="0"/>
      </w:pPr>
    </w:p>
    <w:p w14:paraId="001D68A7" w14:textId="104BAFDF" w:rsidR="00475113" w:rsidRDefault="00475113" w:rsidP="00475113">
      <w:pPr>
        <w:pStyle w:val="Appendix1"/>
        <w:numPr>
          <w:ilvl w:val="0"/>
          <w:numId w:val="0"/>
        </w:numPr>
      </w:pPr>
      <w:bookmarkStart w:id="11" w:name="_Toc61425087"/>
      <w:bookmarkStart w:id="12" w:name="_Toc76488160"/>
      <w:r>
        <w:lastRenderedPageBreak/>
        <w:t xml:space="preserve">Appendix A </w:t>
      </w:r>
      <w:r w:rsidR="0017462C">
        <w:t>–</w:t>
      </w:r>
      <w:r>
        <w:t xml:space="preserve"> Acronyms</w:t>
      </w:r>
      <w:bookmarkEnd w:id="11"/>
      <w:bookmarkEnd w:id="12"/>
    </w:p>
    <w:p w14:paraId="393D0500" w14:textId="3491F3CD" w:rsidR="0017462C" w:rsidRPr="0017462C" w:rsidRDefault="0017462C" w:rsidP="0017462C">
      <w:pPr>
        <w:pStyle w:val="Caption"/>
      </w:pPr>
      <w:bookmarkStart w:id="13" w:name="_Toc76488184"/>
      <w:r>
        <w:t xml:space="preserve">Table </w:t>
      </w:r>
      <w:r w:rsidR="007C3336">
        <w:fldChar w:fldCharType="begin"/>
      </w:r>
      <w:r w:rsidR="007C3336">
        <w:instrText xml:space="preserve"> SEQ Table \* ARABIC </w:instrText>
      </w:r>
      <w:r w:rsidR="007C3336">
        <w:fldChar w:fldCharType="separate"/>
      </w:r>
      <w:r>
        <w:rPr>
          <w:noProof/>
        </w:rPr>
        <w:t>1</w:t>
      </w:r>
      <w:r w:rsidR="007C3336">
        <w:rPr>
          <w:noProof/>
        </w:rPr>
        <w:fldChar w:fldCharType="end"/>
      </w:r>
      <w:r>
        <w:t>: Acronyms List</w:t>
      </w:r>
      <w:bookmarkEnd w:id="13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475113" w:rsidRPr="007D03B3" w14:paraId="029AFABD" w14:textId="77777777" w:rsidTr="007670F7">
        <w:trPr>
          <w:tblHeader/>
        </w:trPr>
        <w:tc>
          <w:tcPr>
            <w:tcW w:w="1345" w:type="dxa"/>
            <w:shd w:val="clear" w:color="auto" w:fill="D9D9D9"/>
          </w:tcPr>
          <w:p w14:paraId="03447D0D" w14:textId="77777777" w:rsidR="00475113" w:rsidRPr="007D03B3" w:rsidRDefault="00475113" w:rsidP="007670F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757E1FE8" w14:textId="77777777" w:rsidR="00475113" w:rsidRPr="007D03B3" w:rsidRDefault="00475113" w:rsidP="007670F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7D03B3" w:rsidRPr="007D03B3" w14:paraId="76A1D048" w14:textId="77777777" w:rsidTr="007670F7">
        <w:tc>
          <w:tcPr>
            <w:tcW w:w="1345" w:type="dxa"/>
          </w:tcPr>
          <w:p w14:paraId="75C6B9F0" w14:textId="01567693" w:rsidR="007D03B3" w:rsidRPr="007D03B3" w:rsidRDefault="007D03B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FSM</w:t>
            </w:r>
          </w:p>
        </w:tc>
        <w:tc>
          <w:tcPr>
            <w:tcW w:w="8100" w:type="dxa"/>
          </w:tcPr>
          <w:p w14:paraId="63D828CB" w14:textId="1A34F15C" w:rsidR="007D03B3" w:rsidRPr="007D03B3" w:rsidRDefault="007D03B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Former Service Member</w:t>
            </w:r>
          </w:p>
        </w:tc>
      </w:tr>
      <w:tr w:rsidR="00883418" w:rsidRPr="007D03B3" w14:paraId="7B2D5185" w14:textId="77777777" w:rsidTr="007670F7">
        <w:tc>
          <w:tcPr>
            <w:tcW w:w="1345" w:type="dxa"/>
          </w:tcPr>
          <w:p w14:paraId="13992653" w14:textId="75313F06" w:rsidR="00883418" w:rsidRPr="007D03B3" w:rsidRDefault="00883418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IB</w:t>
            </w:r>
          </w:p>
        </w:tc>
        <w:tc>
          <w:tcPr>
            <w:tcW w:w="8100" w:type="dxa"/>
          </w:tcPr>
          <w:p w14:paraId="755FE6FC" w14:textId="41CD08BE" w:rsidR="00883418" w:rsidRPr="007D03B3" w:rsidRDefault="00883418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Integrated Billing</w:t>
            </w:r>
          </w:p>
        </w:tc>
      </w:tr>
      <w:tr w:rsidR="007D03B3" w:rsidRPr="007D03B3" w14:paraId="7337AD94" w14:textId="77777777" w:rsidTr="007670F7">
        <w:tc>
          <w:tcPr>
            <w:tcW w:w="1345" w:type="dxa"/>
          </w:tcPr>
          <w:p w14:paraId="25393FB8" w14:textId="3DC1BC63" w:rsidR="007D03B3" w:rsidRPr="007D03B3" w:rsidRDefault="007D03B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MST</w:t>
            </w:r>
          </w:p>
        </w:tc>
        <w:tc>
          <w:tcPr>
            <w:tcW w:w="8100" w:type="dxa"/>
          </w:tcPr>
          <w:p w14:paraId="204E3443" w14:textId="74C36C1B" w:rsidR="007D03B3" w:rsidRPr="007D03B3" w:rsidRDefault="007D03B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Military Sexual Trauma</w:t>
            </w:r>
          </w:p>
        </w:tc>
      </w:tr>
      <w:tr w:rsidR="00475113" w:rsidRPr="007D03B3" w14:paraId="3C324089" w14:textId="77777777" w:rsidTr="007670F7">
        <w:tc>
          <w:tcPr>
            <w:tcW w:w="1345" w:type="dxa"/>
          </w:tcPr>
          <w:p w14:paraId="2A6959C5" w14:textId="7F615A47" w:rsidR="00475113" w:rsidRPr="007D03B3" w:rsidRDefault="0047511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OI</w:t>
            </w:r>
            <w:r w:rsidR="007D03B3">
              <w:rPr>
                <w:rFonts w:ascii="Arial" w:hAnsi="Arial" w:cs="Arial"/>
                <w:color w:val="auto"/>
                <w:sz w:val="22"/>
                <w:szCs w:val="22"/>
              </w:rPr>
              <w:t>&amp;</w:t>
            </w: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</w:p>
        </w:tc>
        <w:tc>
          <w:tcPr>
            <w:tcW w:w="8100" w:type="dxa"/>
          </w:tcPr>
          <w:p w14:paraId="26A5A832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475113" w:rsidRPr="007D03B3" w14:paraId="21C94E89" w14:textId="77777777" w:rsidTr="007670F7">
        <w:tc>
          <w:tcPr>
            <w:tcW w:w="1345" w:type="dxa"/>
          </w:tcPr>
          <w:p w14:paraId="6EE28E59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047BF096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4" w:name="_Hlk61359634"/>
            <w:r w:rsidRPr="007D03B3">
              <w:rPr>
                <w:rFonts w:ascii="Arial" w:hAnsi="Arial" w:cs="Arial"/>
                <w:sz w:val="22"/>
                <w:szCs w:val="22"/>
              </w:rPr>
              <w:t>Other Than Honorable</w:t>
            </w:r>
            <w:bookmarkEnd w:id="14"/>
          </w:p>
        </w:tc>
      </w:tr>
      <w:tr w:rsidR="00475113" w:rsidRPr="007D03B3" w14:paraId="3C8547AD" w14:textId="77777777" w:rsidTr="007670F7">
        <w:tc>
          <w:tcPr>
            <w:tcW w:w="1345" w:type="dxa"/>
          </w:tcPr>
          <w:p w14:paraId="42D69F68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PIMS</w:t>
            </w:r>
          </w:p>
        </w:tc>
        <w:tc>
          <w:tcPr>
            <w:tcW w:w="8100" w:type="dxa"/>
          </w:tcPr>
          <w:p w14:paraId="3EAE371E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D03B3">
              <w:rPr>
                <w:rFonts w:ascii="Arial" w:hAnsi="Arial" w:cs="Arial"/>
                <w:sz w:val="22"/>
                <w:szCs w:val="22"/>
              </w:rPr>
              <w:t>Patient Information Managements System</w:t>
            </w:r>
          </w:p>
        </w:tc>
      </w:tr>
      <w:tr w:rsidR="00475113" w:rsidRPr="007D03B3" w14:paraId="60D58628" w14:textId="77777777" w:rsidTr="007670F7">
        <w:tc>
          <w:tcPr>
            <w:tcW w:w="1345" w:type="dxa"/>
          </w:tcPr>
          <w:p w14:paraId="40E87212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306D013E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D03B3">
              <w:rPr>
                <w:rFonts w:ascii="Arial" w:hAnsi="Arial" w:cs="Arial"/>
                <w:sz w:val="22"/>
                <w:szCs w:val="22"/>
              </w:rPr>
              <w:t>Suicide High Risk Patient Enhancements</w:t>
            </w:r>
          </w:p>
        </w:tc>
      </w:tr>
      <w:tr w:rsidR="00475113" w:rsidRPr="007D03B3" w14:paraId="56247778" w14:textId="77777777" w:rsidTr="007670F7">
        <w:tc>
          <w:tcPr>
            <w:tcW w:w="1345" w:type="dxa"/>
          </w:tcPr>
          <w:p w14:paraId="7A88962D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64F640E5" w14:textId="77777777" w:rsidR="00475113" w:rsidRPr="007D03B3" w:rsidRDefault="00475113" w:rsidP="007670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D03B3">
              <w:rPr>
                <w:rFonts w:ascii="Arial" w:hAnsi="Arial" w:cs="Arial"/>
                <w:sz w:val="22"/>
                <w:szCs w:val="22"/>
              </w:rPr>
              <w:t>Department of Veteran Affairs</w:t>
            </w:r>
          </w:p>
        </w:tc>
      </w:tr>
      <w:tr w:rsidR="007D03B3" w:rsidRPr="007D03B3" w14:paraId="41A19B22" w14:textId="77777777" w:rsidTr="007670F7">
        <w:tc>
          <w:tcPr>
            <w:tcW w:w="1345" w:type="dxa"/>
          </w:tcPr>
          <w:p w14:paraId="2027D08A" w14:textId="77E1E25F" w:rsidR="007D03B3" w:rsidRPr="007D03B3" w:rsidRDefault="007D03B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VBA</w:t>
            </w:r>
          </w:p>
        </w:tc>
        <w:tc>
          <w:tcPr>
            <w:tcW w:w="8100" w:type="dxa"/>
          </w:tcPr>
          <w:p w14:paraId="32780697" w14:textId="7D7D84BC" w:rsidR="007D03B3" w:rsidRPr="007D03B3" w:rsidRDefault="007D03B3" w:rsidP="007670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D03B3">
              <w:rPr>
                <w:rFonts w:ascii="Arial" w:hAnsi="Arial" w:cs="Arial"/>
                <w:sz w:val="22"/>
                <w:szCs w:val="22"/>
              </w:rPr>
              <w:t>Veterans Benefits Administration</w:t>
            </w:r>
          </w:p>
        </w:tc>
      </w:tr>
      <w:tr w:rsidR="007D03B3" w:rsidRPr="007D03B3" w14:paraId="1BD84A60" w14:textId="77777777" w:rsidTr="007670F7">
        <w:tc>
          <w:tcPr>
            <w:tcW w:w="1345" w:type="dxa"/>
          </w:tcPr>
          <w:p w14:paraId="64810569" w14:textId="5A9C3B35" w:rsidR="007D03B3" w:rsidRPr="007D03B3" w:rsidRDefault="007D03B3" w:rsidP="007670F7">
            <w:pPr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3B3">
              <w:rPr>
                <w:rFonts w:ascii="Arial" w:hAnsi="Arial" w:cs="Arial"/>
                <w:color w:val="auto"/>
                <w:sz w:val="22"/>
                <w:szCs w:val="22"/>
              </w:rPr>
              <w:t>VHA</w:t>
            </w:r>
          </w:p>
        </w:tc>
        <w:tc>
          <w:tcPr>
            <w:tcW w:w="8100" w:type="dxa"/>
          </w:tcPr>
          <w:p w14:paraId="44B982B6" w14:textId="6E5EFCA4" w:rsidR="007D03B3" w:rsidRPr="007D03B3" w:rsidRDefault="007D03B3" w:rsidP="007670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D03B3">
              <w:rPr>
                <w:rFonts w:ascii="Arial" w:hAnsi="Arial" w:cs="Arial"/>
                <w:sz w:val="22"/>
                <w:szCs w:val="22"/>
              </w:rPr>
              <w:t>Veterans’ Health Administration</w:t>
            </w:r>
          </w:p>
        </w:tc>
      </w:tr>
    </w:tbl>
    <w:p w14:paraId="5D299237" w14:textId="77777777" w:rsidR="00475113" w:rsidRPr="001F54E8" w:rsidRDefault="00475113" w:rsidP="00475113"/>
    <w:sectPr w:rsidR="00475113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47582" w14:textId="77777777" w:rsidR="004F4915" w:rsidRDefault="004F4915">
      <w:r>
        <w:separator/>
      </w:r>
    </w:p>
    <w:p w14:paraId="72DCC7E7" w14:textId="77777777" w:rsidR="004F4915" w:rsidRDefault="004F4915"/>
  </w:endnote>
  <w:endnote w:type="continuationSeparator" w:id="0">
    <w:p w14:paraId="30F5FFF6" w14:textId="77777777" w:rsidR="004F4915" w:rsidRDefault="004F4915">
      <w:r>
        <w:continuationSeparator/>
      </w:r>
    </w:p>
    <w:p w14:paraId="68695B7A" w14:textId="77777777" w:rsidR="004F4915" w:rsidRDefault="004F4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6F8E0FA3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>HRPE – IB*2.0*</w:t>
    </w:r>
    <w:r w:rsidR="00C87157">
      <w:rPr>
        <w:rStyle w:val="FooterChar"/>
        <w:i w:val="0"/>
        <w:color w:val="auto"/>
      </w:rPr>
      <w:t>701</w:t>
    </w:r>
  </w:p>
  <w:p w14:paraId="6E183D6D" w14:textId="0C87A459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17462C">
      <w:rPr>
        <w:rStyle w:val="FooterChar"/>
        <w:i w:val="0"/>
        <w:color w:val="auto"/>
      </w:rPr>
      <w:t>August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822BA4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F76D" w14:textId="77777777" w:rsidR="004F4915" w:rsidRDefault="004F4915">
      <w:r>
        <w:separator/>
      </w:r>
    </w:p>
    <w:p w14:paraId="4992F766" w14:textId="77777777" w:rsidR="004F4915" w:rsidRDefault="004F4915"/>
  </w:footnote>
  <w:footnote w:type="continuationSeparator" w:id="0">
    <w:p w14:paraId="3068DDE6" w14:textId="77777777" w:rsidR="004F4915" w:rsidRDefault="004F4915">
      <w:r>
        <w:continuationSeparator/>
      </w:r>
    </w:p>
    <w:p w14:paraId="421582DE" w14:textId="77777777" w:rsidR="004F4915" w:rsidRDefault="004F4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D241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30B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4448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08060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7626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864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9C1731D"/>
    <w:multiLevelType w:val="hybridMultilevel"/>
    <w:tmpl w:val="EDF68CD8"/>
    <w:lvl w:ilvl="0" w:tplc="7DE4F2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B2460"/>
    <w:multiLevelType w:val="multilevel"/>
    <w:tmpl w:val="5C9E9B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2" w15:restartNumberingAfterBreak="0">
    <w:nsid w:val="14A541DF"/>
    <w:multiLevelType w:val="hybridMultilevel"/>
    <w:tmpl w:val="7C3ED120"/>
    <w:lvl w:ilvl="0" w:tplc="89726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3286D"/>
    <w:multiLevelType w:val="hybridMultilevel"/>
    <w:tmpl w:val="1EAE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0E1FD7"/>
    <w:multiLevelType w:val="hybridMultilevel"/>
    <w:tmpl w:val="5A9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F04B0"/>
    <w:multiLevelType w:val="hybridMultilevel"/>
    <w:tmpl w:val="2604D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8E7BFE"/>
    <w:multiLevelType w:val="hybridMultilevel"/>
    <w:tmpl w:val="0DDAC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50800F45"/>
    <w:multiLevelType w:val="hybridMultilevel"/>
    <w:tmpl w:val="19122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91094"/>
    <w:multiLevelType w:val="hybridMultilevel"/>
    <w:tmpl w:val="4D8A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29B1"/>
    <w:multiLevelType w:val="multilevel"/>
    <w:tmpl w:val="715E8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5F20F8"/>
    <w:multiLevelType w:val="multilevel"/>
    <w:tmpl w:val="036472A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D603183"/>
    <w:multiLevelType w:val="hybridMultilevel"/>
    <w:tmpl w:val="780E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385111"/>
    <w:multiLevelType w:val="hybridMultilevel"/>
    <w:tmpl w:val="7EB8D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5"/>
  </w:num>
  <w:num w:numId="5">
    <w:abstractNumId w:val="21"/>
  </w:num>
  <w:num w:numId="6">
    <w:abstractNumId w:val="24"/>
  </w:num>
  <w:num w:numId="7">
    <w:abstractNumId w:val="35"/>
  </w:num>
  <w:num w:numId="8">
    <w:abstractNumId w:val="27"/>
  </w:num>
  <w:num w:numId="9">
    <w:abstractNumId w:val="9"/>
  </w:num>
  <w:num w:numId="10">
    <w:abstractNumId w:val="32"/>
  </w:num>
  <w:num w:numId="11">
    <w:abstractNumId w:val="30"/>
  </w:num>
  <w:num w:numId="12">
    <w:abstractNumId w:val="29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 w:numId="17">
    <w:abstractNumId w:val="19"/>
  </w:num>
  <w:num w:numId="18">
    <w:abstractNumId w:val="20"/>
  </w:num>
  <w:num w:numId="19">
    <w:abstractNumId w:val="34"/>
  </w:num>
  <w:num w:numId="20">
    <w:abstractNumId w:val="14"/>
  </w:num>
  <w:num w:numId="21">
    <w:abstractNumId w:val="12"/>
  </w:num>
  <w:num w:numId="22">
    <w:abstractNumId w:val="4"/>
  </w:num>
  <w:num w:numId="23">
    <w:abstractNumId w:val="3"/>
  </w:num>
  <w:num w:numId="24">
    <w:abstractNumId w:val="6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25"/>
  </w:num>
  <w:num w:numId="30">
    <w:abstractNumId w:val="33"/>
  </w:num>
  <w:num w:numId="31">
    <w:abstractNumId w:val="23"/>
  </w:num>
  <w:num w:numId="32">
    <w:abstractNumId w:val="26"/>
  </w:num>
  <w:num w:numId="33">
    <w:abstractNumId w:val="28"/>
  </w:num>
  <w:num w:numId="34">
    <w:abstractNumId w:val="11"/>
  </w:num>
  <w:num w:numId="35">
    <w:abstractNumId w:val="31"/>
  </w:num>
  <w:num w:numId="36">
    <w:abstractNumId w:val="18"/>
  </w:num>
  <w:num w:numId="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06E94"/>
    <w:rsid w:val="00010140"/>
    <w:rsid w:val="000114B6"/>
    <w:rsid w:val="00011EE6"/>
    <w:rsid w:val="0001226E"/>
    <w:rsid w:val="000171DA"/>
    <w:rsid w:val="000263BB"/>
    <w:rsid w:val="00027B69"/>
    <w:rsid w:val="000305C4"/>
    <w:rsid w:val="00030C06"/>
    <w:rsid w:val="000315D0"/>
    <w:rsid w:val="00040213"/>
    <w:rsid w:val="00040DCD"/>
    <w:rsid w:val="00041659"/>
    <w:rsid w:val="00042C29"/>
    <w:rsid w:val="0004636C"/>
    <w:rsid w:val="000512B6"/>
    <w:rsid w:val="00051BC7"/>
    <w:rsid w:val="00060DE0"/>
    <w:rsid w:val="00063D32"/>
    <w:rsid w:val="00071609"/>
    <w:rsid w:val="00074489"/>
    <w:rsid w:val="000744EE"/>
    <w:rsid w:val="0007778C"/>
    <w:rsid w:val="000824E3"/>
    <w:rsid w:val="000842F2"/>
    <w:rsid w:val="00084AA2"/>
    <w:rsid w:val="00086D68"/>
    <w:rsid w:val="0009184E"/>
    <w:rsid w:val="0009299F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0284"/>
    <w:rsid w:val="000F3438"/>
    <w:rsid w:val="0010181A"/>
    <w:rsid w:val="00101B1F"/>
    <w:rsid w:val="0010320F"/>
    <w:rsid w:val="00103BED"/>
    <w:rsid w:val="00104399"/>
    <w:rsid w:val="0010502E"/>
    <w:rsid w:val="0010664C"/>
    <w:rsid w:val="00106655"/>
    <w:rsid w:val="00107971"/>
    <w:rsid w:val="0011152B"/>
    <w:rsid w:val="001132D4"/>
    <w:rsid w:val="0012060D"/>
    <w:rsid w:val="00123815"/>
    <w:rsid w:val="00143860"/>
    <w:rsid w:val="00151087"/>
    <w:rsid w:val="0015443C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462C"/>
    <w:rsid w:val="00175C2D"/>
    <w:rsid w:val="00180235"/>
    <w:rsid w:val="0018136B"/>
    <w:rsid w:val="0018468A"/>
    <w:rsid w:val="00184FF3"/>
    <w:rsid w:val="00186009"/>
    <w:rsid w:val="00192097"/>
    <w:rsid w:val="001A2183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1E01"/>
    <w:rsid w:val="00302930"/>
    <w:rsid w:val="00303850"/>
    <w:rsid w:val="00306AC0"/>
    <w:rsid w:val="003110DB"/>
    <w:rsid w:val="00314B90"/>
    <w:rsid w:val="0032241E"/>
    <w:rsid w:val="003224BE"/>
    <w:rsid w:val="0032392D"/>
    <w:rsid w:val="0032532A"/>
    <w:rsid w:val="003261F8"/>
    <w:rsid w:val="00326966"/>
    <w:rsid w:val="00332C03"/>
    <w:rsid w:val="0034134A"/>
    <w:rsid w:val="003417C9"/>
    <w:rsid w:val="00342E0C"/>
    <w:rsid w:val="00346959"/>
    <w:rsid w:val="00346C46"/>
    <w:rsid w:val="0035001F"/>
    <w:rsid w:val="00353152"/>
    <w:rsid w:val="003537B1"/>
    <w:rsid w:val="003565ED"/>
    <w:rsid w:val="003602B3"/>
    <w:rsid w:val="0036045B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75026"/>
    <w:rsid w:val="00475113"/>
    <w:rsid w:val="004775F2"/>
    <w:rsid w:val="0048016C"/>
    <w:rsid w:val="004836EA"/>
    <w:rsid w:val="0048455F"/>
    <w:rsid w:val="004849B1"/>
    <w:rsid w:val="0048668F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4F4915"/>
    <w:rsid w:val="00504B2A"/>
    <w:rsid w:val="00504BC1"/>
    <w:rsid w:val="005071A2"/>
    <w:rsid w:val="005100F6"/>
    <w:rsid w:val="00510914"/>
    <w:rsid w:val="00514F76"/>
    <w:rsid w:val="00515F2A"/>
    <w:rsid w:val="00524481"/>
    <w:rsid w:val="00524B49"/>
    <w:rsid w:val="00527B5C"/>
    <w:rsid w:val="00530D34"/>
    <w:rsid w:val="00531CD9"/>
    <w:rsid w:val="005327F9"/>
    <w:rsid w:val="00532B92"/>
    <w:rsid w:val="00534120"/>
    <w:rsid w:val="00543023"/>
    <w:rsid w:val="00543E06"/>
    <w:rsid w:val="005440DC"/>
    <w:rsid w:val="00550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2E1D"/>
    <w:rsid w:val="005B7CDD"/>
    <w:rsid w:val="005C10EC"/>
    <w:rsid w:val="005C3264"/>
    <w:rsid w:val="005D18C5"/>
    <w:rsid w:val="005D3B22"/>
    <w:rsid w:val="005D7CFB"/>
    <w:rsid w:val="005D7D1B"/>
    <w:rsid w:val="005E2AF9"/>
    <w:rsid w:val="005F1429"/>
    <w:rsid w:val="005F7F0A"/>
    <w:rsid w:val="00600235"/>
    <w:rsid w:val="00602128"/>
    <w:rsid w:val="00606743"/>
    <w:rsid w:val="00610ADB"/>
    <w:rsid w:val="00614960"/>
    <w:rsid w:val="00614A5E"/>
    <w:rsid w:val="00614A74"/>
    <w:rsid w:val="00620BFA"/>
    <w:rsid w:val="00623FB5"/>
    <w:rsid w:val="006244C7"/>
    <w:rsid w:val="00631A3E"/>
    <w:rsid w:val="0063229B"/>
    <w:rsid w:val="00633B7D"/>
    <w:rsid w:val="006402DA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3DE9"/>
    <w:rsid w:val="006B405F"/>
    <w:rsid w:val="006B5BB9"/>
    <w:rsid w:val="006B60FD"/>
    <w:rsid w:val="006B687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2F44"/>
    <w:rsid w:val="00744F0F"/>
    <w:rsid w:val="0074623C"/>
    <w:rsid w:val="00750265"/>
    <w:rsid w:val="00750FDE"/>
    <w:rsid w:val="00751AD5"/>
    <w:rsid w:val="007537E2"/>
    <w:rsid w:val="00762711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5D0B"/>
    <w:rsid w:val="007864FA"/>
    <w:rsid w:val="0078711F"/>
    <w:rsid w:val="0078769E"/>
    <w:rsid w:val="007926DE"/>
    <w:rsid w:val="00793809"/>
    <w:rsid w:val="0079552A"/>
    <w:rsid w:val="007A0B34"/>
    <w:rsid w:val="007A39CC"/>
    <w:rsid w:val="007A3A2D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336"/>
    <w:rsid w:val="007C3A42"/>
    <w:rsid w:val="007D03B3"/>
    <w:rsid w:val="007E05D4"/>
    <w:rsid w:val="007E4370"/>
    <w:rsid w:val="007E5789"/>
    <w:rsid w:val="007E72B1"/>
    <w:rsid w:val="007E7E65"/>
    <w:rsid w:val="007F48F6"/>
    <w:rsid w:val="007F767C"/>
    <w:rsid w:val="00801B32"/>
    <w:rsid w:val="00806E2E"/>
    <w:rsid w:val="008159EE"/>
    <w:rsid w:val="00821734"/>
    <w:rsid w:val="00821FD9"/>
    <w:rsid w:val="00822BA4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71E3C"/>
    <w:rsid w:val="00880250"/>
    <w:rsid w:val="0088044F"/>
    <w:rsid w:val="00880C3D"/>
    <w:rsid w:val="00881FD9"/>
    <w:rsid w:val="00882011"/>
    <w:rsid w:val="008831EB"/>
    <w:rsid w:val="00883418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217"/>
    <w:rsid w:val="009A09A6"/>
    <w:rsid w:val="009A323B"/>
    <w:rsid w:val="009A4D4F"/>
    <w:rsid w:val="009A57F2"/>
    <w:rsid w:val="009B1957"/>
    <w:rsid w:val="009B2965"/>
    <w:rsid w:val="009B3CD1"/>
    <w:rsid w:val="009C4096"/>
    <w:rsid w:val="009C4C5F"/>
    <w:rsid w:val="009C53F3"/>
    <w:rsid w:val="009C61FB"/>
    <w:rsid w:val="009D2A22"/>
    <w:rsid w:val="009D368C"/>
    <w:rsid w:val="009D4125"/>
    <w:rsid w:val="009D4573"/>
    <w:rsid w:val="009E52AD"/>
    <w:rsid w:val="009E67B2"/>
    <w:rsid w:val="009E6F2A"/>
    <w:rsid w:val="009F3E80"/>
    <w:rsid w:val="009F5562"/>
    <w:rsid w:val="009F5E75"/>
    <w:rsid w:val="009F77D2"/>
    <w:rsid w:val="00A04018"/>
    <w:rsid w:val="00A0550C"/>
    <w:rsid w:val="00A05CA6"/>
    <w:rsid w:val="00A10C1F"/>
    <w:rsid w:val="00A136DC"/>
    <w:rsid w:val="00A149C0"/>
    <w:rsid w:val="00A158D9"/>
    <w:rsid w:val="00A166D5"/>
    <w:rsid w:val="00A24CF9"/>
    <w:rsid w:val="00A43AA1"/>
    <w:rsid w:val="00A469F7"/>
    <w:rsid w:val="00A54C81"/>
    <w:rsid w:val="00A56ED1"/>
    <w:rsid w:val="00A60677"/>
    <w:rsid w:val="00A750B5"/>
    <w:rsid w:val="00A753C8"/>
    <w:rsid w:val="00A83D56"/>
    <w:rsid w:val="00A83EB5"/>
    <w:rsid w:val="00A8506C"/>
    <w:rsid w:val="00A87F24"/>
    <w:rsid w:val="00A97B91"/>
    <w:rsid w:val="00AA0F64"/>
    <w:rsid w:val="00AA337E"/>
    <w:rsid w:val="00AA4B27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21994"/>
    <w:rsid w:val="00B254C3"/>
    <w:rsid w:val="00B30545"/>
    <w:rsid w:val="00B32016"/>
    <w:rsid w:val="00B367D2"/>
    <w:rsid w:val="00B41879"/>
    <w:rsid w:val="00B43397"/>
    <w:rsid w:val="00B470C6"/>
    <w:rsid w:val="00B47DBC"/>
    <w:rsid w:val="00B5028C"/>
    <w:rsid w:val="00B51CFD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846"/>
    <w:rsid w:val="00BA4FCE"/>
    <w:rsid w:val="00BB1AC6"/>
    <w:rsid w:val="00BB52EE"/>
    <w:rsid w:val="00BB5C59"/>
    <w:rsid w:val="00BC2D41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87157"/>
    <w:rsid w:val="00C91A3E"/>
    <w:rsid w:val="00C93BF9"/>
    <w:rsid w:val="00C946FE"/>
    <w:rsid w:val="00C96FD1"/>
    <w:rsid w:val="00CA1477"/>
    <w:rsid w:val="00CA3A42"/>
    <w:rsid w:val="00CA5DF5"/>
    <w:rsid w:val="00CB2A72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75C17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5A0C"/>
    <w:rsid w:val="00DD6972"/>
    <w:rsid w:val="00DE1315"/>
    <w:rsid w:val="00DE2256"/>
    <w:rsid w:val="00DE37FC"/>
    <w:rsid w:val="00DE7FAD"/>
    <w:rsid w:val="00DF41CE"/>
    <w:rsid w:val="00DF4890"/>
    <w:rsid w:val="00DF51B7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538B"/>
    <w:rsid w:val="00E7580F"/>
    <w:rsid w:val="00E773E8"/>
    <w:rsid w:val="00E77C35"/>
    <w:rsid w:val="00E84FE4"/>
    <w:rsid w:val="00E9007C"/>
    <w:rsid w:val="00E929BE"/>
    <w:rsid w:val="00E96B4B"/>
    <w:rsid w:val="00EA1C70"/>
    <w:rsid w:val="00EA4B53"/>
    <w:rsid w:val="00EA627B"/>
    <w:rsid w:val="00EA6521"/>
    <w:rsid w:val="00EA6E32"/>
    <w:rsid w:val="00EB2D01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296F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36A35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36E"/>
    <w:rsid w:val="00FD169A"/>
    <w:rsid w:val="00FD2649"/>
    <w:rsid w:val="00FD28D0"/>
    <w:rsid w:val="00FD3142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17462C"/>
    <w:pPr>
      <w:keepNext/>
      <w:pageBreakBefore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17462C"/>
    <w:pPr>
      <w:pageBreakBefore w:val="0"/>
      <w:numPr>
        <w:ilvl w:val="1"/>
      </w:numPr>
      <w:tabs>
        <w:tab w:val="clear" w:pos="720"/>
        <w:tab w:val="left" w:pos="907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883418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17462C"/>
    <w:pPr>
      <w:keepNext/>
      <w:keepLines/>
      <w:spacing w:before="120" w:after="120"/>
      <w:jc w:val="center"/>
    </w:pPr>
    <w:rPr>
      <w:rFonts w:ascii="Arial" w:hAnsi="Arial" w:cs="Arial"/>
      <w:b/>
      <w:bCs/>
      <w:color w:val="000000" w:themeColor="text1"/>
      <w:sz w:val="22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uiPriority w:val="99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17462C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7462C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822BA4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511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B9D63-DCB9-44E3-BD22-9CDBA1B22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E04A-D9D0-43FE-BF38-7AA82DD5E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openxmlformats.org/package/2006/metadata/core-properties"/>
    <ds:schemaRef ds:uri="4d87ae65-4aae-4514-a1df-e7e6acab55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81a3215a-ba9c-44c6-81ef-3f93f2afbc7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597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Dept. of Veterans Affairs</Company>
  <LinksUpToDate>false</LinksUpToDate>
  <CharactersWithSpaces>4719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Release Notes Template</dc:subject>
  <dc:creator>oitpdpmdsc@va.gov</dc:creator>
  <cp:lastModifiedBy>Department of Veterans Affairs</cp:lastModifiedBy>
  <cp:revision>2</cp:revision>
  <dcterms:created xsi:type="dcterms:W3CDTF">2021-10-14T17:40:00Z</dcterms:created>
  <dcterms:modified xsi:type="dcterms:W3CDTF">2021-10-14T17:40:00Z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