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5B5" w14:textId="77777777" w:rsidR="007B06CC" w:rsidRPr="00A0478B" w:rsidRDefault="007B06CC" w:rsidP="007B06CC">
      <w:pPr>
        <w:jc w:val="center"/>
        <w:rPr>
          <w:rFonts w:ascii="Arial" w:hAnsi="Arial" w:cs="Arial"/>
        </w:rPr>
      </w:pPr>
      <w:r w:rsidRPr="00A0478B">
        <w:rPr>
          <w:rFonts w:ascii="Arial" w:hAnsi="Arial" w:cs="Arial"/>
          <w:noProof/>
        </w:rPr>
        <w:drawing>
          <wp:inline distT="0" distB="0" distL="0" distR="0" wp14:anchorId="1A176E11" wp14:editId="0FE643BE">
            <wp:extent cx="2286000" cy="1417320"/>
            <wp:effectExtent l="0" t="0" r="0" b="0"/>
            <wp:docPr id="70" name="Picture 1" descr="Health e Vet-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e Vet-V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DA0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1FF8A0A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235F9673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338CF5F6" w14:textId="1A7F6DE0" w:rsidR="007B06CC" w:rsidRPr="00A0478B" w:rsidRDefault="007B06CC" w:rsidP="003E2050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A0478B">
        <w:rPr>
          <w:rFonts w:ascii="Arial" w:hAnsi="Arial" w:cs="Arial"/>
          <w:sz w:val="40"/>
          <w:szCs w:val="40"/>
        </w:rPr>
        <w:t xml:space="preserve">KERNEL AUTHENTICATION &amp; AUTHORIZATION FOR J2EE (KAAJEE) </w:t>
      </w:r>
    </w:p>
    <w:p w14:paraId="41C4A852" w14:textId="77777777" w:rsidR="007B06CC" w:rsidRPr="00A0478B" w:rsidRDefault="007B06CC" w:rsidP="007B06CC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307A3658" w14:textId="106E92C0" w:rsidR="007B06CC" w:rsidRPr="00A0478B" w:rsidRDefault="007B06CC" w:rsidP="007B06CC">
      <w:pPr>
        <w:jc w:val="center"/>
        <w:rPr>
          <w:rFonts w:ascii="Arial" w:hAnsi="Arial" w:cs="Arial"/>
          <w:sz w:val="40"/>
          <w:szCs w:val="40"/>
        </w:rPr>
      </w:pPr>
      <w:r w:rsidRPr="00A0478B">
        <w:rPr>
          <w:rFonts w:ascii="Arial" w:hAnsi="Arial" w:cs="Arial"/>
          <w:color w:val="000000"/>
          <w:sz w:val="40"/>
          <w:szCs w:val="40"/>
        </w:rPr>
        <w:t>SECURITY SERVICE PROVIDER INTERFACE</w:t>
      </w:r>
      <w:r w:rsidRPr="00A0478B">
        <w:rPr>
          <w:rFonts w:ascii="Arial" w:hAnsi="Arial" w:cs="Arial"/>
          <w:sz w:val="40"/>
          <w:szCs w:val="40"/>
        </w:rPr>
        <w:t xml:space="preserve"> (SSPI) VERSION </w:t>
      </w:r>
      <w:r w:rsidR="006975DE">
        <w:rPr>
          <w:rFonts w:ascii="Arial" w:hAnsi="Arial" w:cs="Arial"/>
          <w:sz w:val="40"/>
          <w:szCs w:val="40"/>
        </w:rPr>
        <w:t>XU*</w:t>
      </w:r>
      <w:r w:rsidR="003E2050" w:rsidRPr="00A0478B">
        <w:rPr>
          <w:rFonts w:ascii="Arial" w:hAnsi="Arial" w:cs="Arial"/>
          <w:color w:val="000000"/>
          <w:sz w:val="40"/>
          <w:szCs w:val="40"/>
        </w:rPr>
        <w:t>8</w:t>
      </w:r>
      <w:r w:rsidR="006975DE">
        <w:rPr>
          <w:rFonts w:ascii="Arial" w:hAnsi="Arial" w:cs="Arial"/>
          <w:color w:val="000000"/>
          <w:sz w:val="40"/>
          <w:szCs w:val="40"/>
        </w:rPr>
        <w:t>*781</w:t>
      </w:r>
    </w:p>
    <w:p w14:paraId="5B839EAA" w14:textId="77777777" w:rsidR="007B06CC" w:rsidRPr="00A0478B" w:rsidRDefault="007B06CC" w:rsidP="007B06CC">
      <w:pPr>
        <w:jc w:val="center"/>
        <w:rPr>
          <w:rFonts w:ascii="Arial" w:hAnsi="Arial" w:cs="Arial"/>
          <w:sz w:val="40"/>
          <w:szCs w:val="40"/>
        </w:rPr>
      </w:pPr>
    </w:p>
    <w:p w14:paraId="636AD1A6" w14:textId="1FBA49BF" w:rsidR="007B06CC" w:rsidRPr="00A0478B" w:rsidRDefault="007B06CC" w:rsidP="007B06CC">
      <w:pPr>
        <w:jc w:val="center"/>
        <w:rPr>
          <w:rFonts w:ascii="Arial" w:hAnsi="Arial" w:cs="Arial"/>
          <w:sz w:val="40"/>
          <w:szCs w:val="40"/>
        </w:rPr>
      </w:pPr>
      <w:r w:rsidRPr="00A0478B">
        <w:rPr>
          <w:rFonts w:ascii="Arial" w:hAnsi="Arial" w:cs="Arial"/>
          <w:sz w:val="40"/>
          <w:szCs w:val="40"/>
        </w:rPr>
        <w:t xml:space="preserve">FOR WEBLOGIC (WL) VERSIONS </w:t>
      </w:r>
      <w:r w:rsidR="003E2050" w:rsidRPr="00A0478B">
        <w:rPr>
          <w:rFonts w:ascii="Arial" w:hAnsi="Arial" w:cs="Arial"/>
          <w:sz w:val="40"/>
          <w:szCs w:val="40"/>
        </w:rPr>
        <w:t>12.2</w:t>
      </w:r>
      <w:r w:rsidRPr="00A0478B">
        <w:rPr>
          <w:rFonts w:ascii="Arial" w:hAnsi="Arial" w:cs="Arial"/>
          <w:sz w:val="40"/>
          <w:szCs w:val="40"/>
        </w:rPr>
        <w:t xml:space="preserve"> </w:t>
      </w:r>
      <w:r w:rsidRPr="00A0478B">
        <w:rPr>
          <w:rFonts w:ascii="Arial" w:hAnsi="Arial" w:cs="Arial"/>
          <w:iCs/>
          <w:color w:val="000000"/>
          <w:sz w:val="40"/>
          <w:szCs w:val="40"/>
        </w:rPr>
        <w:t>AND HIGHER</w:t>
      </w:r>
    </w:p>
    <w:p w14:paraId="13F9AABE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C1801E7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700DF4AD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2707121" w14:textId="77777777" w:rsidR="007B06CC" w:rsidRPr="00A0478B" w:rsidRDefault="007B06CC" w:rsidP="007B06CC">
      <w:pPr>
        <w:jc w:val="center"/>
        <w:rPr>
          <w:rFonts w:ascii="Arial" w:hAnsi="Arial" w:cs="Arial"/>
          <w:b/>
          <w:sz w:val="48"/>
        </w:rPr>
      </w:pPr>
    </w:p>
    <w:p w14:paraId="0EB0E891" w14:textId="296172E5" w:rsidR="007B06CC" w:rsidRPr="00A0478B" w:rsidRDefault="009A49DA" w:rsidP="007B06CC">
      <w:pPr>
        <w:jc w:val="center"/>
        <w:rPr>
          <w:rFonts w:ascii="Arial" w:hAnsi="Arial" w:cs="Arial"/>
          <w:b/>
          <w:sz w:val="48"/>
        </w:rPr>
      </w:pPr>
      <w:r w:rsidRPr="00A0478B">
        <w:rPr>
          <w:rFonts w:ascii="Arial" w:hAnsi="Arial" w:cs="Arial"/>
          <w:b/>
          <w:sz w:val="48"/>
        </w:rPr>
        <w:t>ROLLBACK</w:t>
      </w:r>
      <w:r w:rsidR="007B06CC" w:rsidRPr="00A0478B">
        <w:rPr>
          <w:rFonts w:ascii="Arial" w:hAnsi="Arial" w:cs="Arial"/>
          <w:b/>
          <w:sz w:val="48"/>
        </w:rPr>
        <w:t xml:space="preserve"> GUIDE</w:t>
      </w:r>
    </w:p>
    <w:p w14:paraId="33D6B388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4EB22C5E" w14:textId="05473CA3" w:rsidR="007B06CC" w:rsidRPr="00A0478B" w:rsidRDefault="00476D0E" w:rsidP="007B06C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December</w:t>
      </w:r>
      <w:r w:rsidR="003E2050" w:rsidRPr="00A0478B">
        <w:rPr>
          <w:rFonts w:ascii="Arial" w:hAnsi="Arial" w:cs="Arial"/>
          <w:sz w:val="44"/>
          <w:szCs w:val="44"/>
        </w:rPr>
        <w:t xml:space="preserve"> </w:t>
      </w:r>
      <w:r w:rsidR="007B06CC" w:rsidRPr="00A0478B">
        <w:rPr>
          <w:rFonts w:ascii="Arial" w:hAnsi="Arial" w:cs="Arial"/>
          <w:sz w:val="44"/>
          <w:szCs w:val="44"/>
        </w:rPr>
        <w:t>202</w:t>
      </w:r>
      <w:r>
        <w:rPr>
          <w:rFonts w:ascii="Arial" w:hAnsi="Arial" w:cs="Arial"/>
          <w:sz w:val="44"/>
          <w:szCs w:val="44"/>
        </w:rPr>
        <w:t>2</w:t>
      </w:r>
    </w:p>
    <w:p w14:paraId="245CE253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1A634B45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E4B439F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586E1562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12373CBA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C21632A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57E639EB" w14:textId="77777777" w:rsidR="007B06CC" w:rsidRPr="00A0478B" w:rsidRDefault="007B06CC" w:rsidP="007B06CC">
      <w:pPr>
        <w:pStyle w:val="Footer"/>
        <w:jc w:val="center"/>
        <w:rPr>
          <w:rFonts w:ascii="Arial" w:hAnsi="Arial" w:cs="Arial"/>
          <w:sz w:val="22"/>
        </w:rPr>
      </w:pPr>
    </w:p>
    <w:p w14:paraId="3648C95C" w14:textId="77777777" w:rsidR="007B06CC" w:rsidRPr="00A0478B" w:rsidRDefault="007B06CC" w:rsidP="007B06CC">
      <w:pPr>
        <w:pStyle w:val="Footer"/>
        <w:jc w:val="center"/>
        <w:rPr>
          <w:rFonts w:ascii="Arial" w:hAnsi="Arial" w:cs="Arial"/>
          <w:sz w:val="22"/>
        </w:rPr>
      </w:pPr>
      <w:r w:rsidRPr="00A0478B">
        <w:rPr>
          <w:rFonts w:ascii="Arial" w:hAnsi="Arial" w:cs="Arial"/>
          <w:sz w:val="22"/>
        </w:rPr>
        <w:t>Department of Veterans Affairs</w:t>
      </w:r>
    </w:p>
    <w:p w14:paraId="216191DC" w14:textId="77777777" w:rsidR="007B06CC" w:rsidRPr="00A0478B" w:rsidRDefault="007B06CC" w:rsidP="007B06CC">
      <w:pPr>
        <w:pStyle w:val="Footer"/>
        <w:jc w:val="center"/>
        <w:rPr>
          <w:rFonts w:ascii="Arial" w:hAnsi="Arial" w:cs="Arial"/>
          <w:sz w:val="22"/>
        </w:rPr>
      </w:pPr>
      <w:r w:rsidRPr="00A0478B">
        <w:rPr>
          <w:rFonts w:ascii="Arial" w:hAnsi="Arial" w:cs="Arial"/>
          <w:sz w:val="22"/>
        </w:rPr>
        <w:t>Office of Information and Technology</w:t>
      </w:r>
    </w:p>
    <w:p w14:paraId="592BF45C" w14:textId="2F8BFFCA" w:rsidR="007B06CC" w:rsidRPr="00A0478B" w:rsidRDefault="007B06CC" w:rsidP="007B06CC">
      <w:pPr>
        <w:jc w:val="center"/>
        <w:rPr>
          <w:rFonts w:ascii="Arial" w:hAnsi="Arial" w:cs="Arial"/>
        </w:rPr>
      </w:pPr>
      <w:r w:rsidRPr="00A0478B">
        <w:rPr>
          <w:rFonts w:ascii="Arial" w:hAnsi="Arial" w:cs="Arial"/>
        </w:rPr>
        <w:t>Product Development</w:t>
      </w:r>
    </w:p>
    <w:p w14:paraId="28E0AAD9" w14:textId="4E06FEBA" w:rsidR="003E2050" w:rsidRPr="00A0478B" w:rsidRDefault="003E2050" w:rsidP="007B06CC">
      <w:pPr>
        <w:jc w:val="center"/>
        <w:rPr>
          <w:rFonts w:ascii="Arial" w:hAnsi="Arial" w:cs="Arial"/>
        </w:rPr>
      </w:pPr>
    </w:p>
    <w:p w14:paraId="7D6712BD" w14:textId="7646CF73" w:rsidR="003E2050" w:rsidRPr="00A0478B" w:rsidRDefault="003E2050" w:rsidP="007B06CC">
      <w:pPr>
        <w:jc w:val="center"/>
        <w:rPr>
          <w:rFonts w:ascii="Arial" w:hAnsi="Arial" w:cs="Arial"/>
        </w:rPr>
      </w:pPr>
    </w:p>
    <w:p w14:paraId="1591531C" w14:textId="77777777" w:rsidR="003E2050" w:rsidRPr="00A0478B" w:rsidRDefault="003E2050" w:rsidP="007B06CC">
      <w:pPr>
        <w:jc w:val="center"/>
        <w:rPr>
          <w:rFonts w:ascii="Arial" w:hAnsi="Arial" w:cs="Arial"/>
        </w:rPr>
      </w:pPr>
    </w:p>
    <w:p w14:paraId="064A4FF5" w14:textId="77777777" w:rsidR="007B06CC" w:rsidRPr="00A0478B" w:rsidRDefault="007B06CC" w:rsidP="007B06CC">
      <w:pPr>
        <w:pStyle w:val="Heading1b"/>
        <w:keepNext w:val="0"/>
        <w:keepLines w:val="0"/>
      </w:pPr>
      <w:r w:rsidRPr="00A0478B">
        <w:lastRenderedPageBreak/>
        <w:t>Revision History</w:t>
      </w:r>
    </w:p>
    <w:p w14:paraId="6BEA1802" w14:textId="77777777" w:rsidR="007B06CC" w:rsidRPr="00A0478B" w:rsidRDefault="007B06CC" w:rsidP="007B06CC">
      <w:pPr>
        <w:rPr>
          <w:b/>
        </w:rPr>
      </w:pPr>
      <w:r w:rsidRPr="00A0478B">
        <w:fldChar w:fldCharType="begin"/>
      </w:r>
      <w:r w:rsidRPr="00A0478B">
        <w:instrText xml:space="preserve"> XE "Revision History " </w:instrText>
      </w:r>
      <w:r w:rsidRPr="00A0478B">
        <w:fldChar w:fldCharType="end"/>
      </w:r>
      <w:r w:rsidRPr="00A0478B">
        <w:fldChar w:fldCharType="begin"/>
      </w:r>
      <w:r w:rsidRPr="00A0478B">
        <w:instrText xml:space="preserve"> XE "History:Revisions" </w:instrText>
      </w:r>
      <w:r w:rsidRPr="00A0478B">
        <w:fldChar w:fldCharType="end"/>
      </w:r>
    </w:p>
    <w:p w14:paraId="0EA7F2CD" w14:textId="77777777" w:rsidR="007B06CC" w:rsidRPr="00A0478B" w:rsidRDefault="007B06CC" w:rsidP="007B06CC">
      <w:pPr>
        <w:rPr>
          <w:rFonts w:ascii="Arial" w:hAnsi="Arial" w:cs="Arial"/>
          <w:b/>
          <w:bCs/>
          <w:sz w:val="32"/>
        </w:rPr>
      </w:pPr>
      <w:r w:rsidRPr="00A0478B">
        <w:rPr>
          <w:rFonts w:ascii="Arial" w:hAnsi="Arial" w:cs="Arial"/>
          <w:b/>
          <w:bCs/>
          <w:sz w:val="32"/>
        </w:rPr>
        <w:t>Documentation Revisions</w:t>
      </w:r>
    </w:p>
    <w:p w14:paraId="5C1A4F81" w14:textId="77777777" w:rsidR="007B06CC" w:rsidRPr="00A0478B" w:rsidRDefault="007B06CC" w:rsidP="007B06CC">
      <w:pPr>
        <w:rPr>
          <w:rFonts w:ascii="Arial" w:hAnsi="Arial" w:cs="Arial"/>
        </w:rPr>
      </w:pPr>
      <w:r w:rsidRPr="00A0478B">
        <w:rPr>
          <w:rFonts w:ascii="Arial" w:hAnsi="Arial" w:cs="Arial"/>
        </w:rPr>
        <w:fldChar w:fldCharType="begin"/>
      </w:r>
      <w:r w:rsidRPr="00A0478B">
        <w:rPr>
          <w:rFonts w:ascii="Arial" w:hAnsi="Arial" w:cs="Arial"/>
        </w:rPr>
        <w:instrText xml:space="preserve"> XE "Revision History:Documentation" </w:instrText>
      </w:r>
      <w:r w:rsidRPr="00A0478B">
        <w:rPr>
          <w:rFonts w:ascii="Arial" w:hAnsi="Arial" w:cs="Arial"/>
        </w:rPr>
        <w:fldChar w:fldCharType="end"/>
      </w:r>
      <w:r w:rsidRPr="00A0478B">
        <w:rPr>
          <w:rFonts w:ascii="Arial" w:hAnsi="Arial" w:cs="Arial"/>
        </w:rPr>
        <w:fldChar w:fldCharType="begin"/>
      </w:r>
      <w:r w:rsidRPr="00A0478B">
        <w:rPr>
          <w:rFonts w:ascii="Arial" w:hAnsi="Arial" w:cs="Arial"/>
        </w:rPr>
        <w:instrText xml:space="preserve"> XE "Documentation:Revisions" </w:instrText>
      </w:r>
      <w:r w:rsidRPr="00A0478B">
        <w:rPr>
          <w:rFonts w:ascii="Arial" w:hAnsi="Arial" w:cs="Arial"/>
        </w:rPr>
        <w:fldChar w:fldCharType="end"/>
      </w:r>
    </w:p>
    <w:p w14:paraId="7868E811" w14:textId="77777777" w:rsidR="007B06CC" w:rsidRPr="00A0478B" w:rsidRDefault="007B06CC" w:rsidP="007B06CC">
      <w:pPr>
        <w:rPr>
          <w:rFonts w:ascii="Arial" w:hAnsi="Arial" w:cs="Arial"/>
        </w:rPr>
      </w:pPr>
      <w:r w:rsidRPr="00A0478B">
        <w:rPr>
          <w:rFonts w:ascii="Arial" w:hAnsi="Arial" w:cs="Arial"/>
        </w:rPr>
        <w:t>The following table displays the revision history for this document. Revisions to the documentation are based on patches and new versions released to the field.</w:t>
      </w:r>
    </w:p>
    <w:p w14:paraId="6B9BDD11" w14:textId="77777777" w:rsidR="007B06CC" w:rsidRPr="00A0478B" w:rsidRDefault="007B06CC" w:rsidP="007B06CC">
      <w:pPr>
        <w:rPr>
          <w:rFonts w:ascii="Arial" w:hAnsi="Arial" w:cs="Arial"/>
        </w:rPr>
      </w:pPr>
    </w:p>
    <w:p w14:paraId="557CCFFB" w14:textId="77777777" w:rsidR="007B06CC" w:rsidRPr="00A0478B" w:rsidRDefault="007B06CC" w:rsidP="007B06CC">
      <w:pPr>
        <w:rPr>
          <w:rFonts w:ascii="Arial" w:hAnsi="Arial" w:cs="Arial"/>
        </w:rPr>
      </w:pPr>
    </w:p>
    <w:p w14:paraId="3043C54C" w14:textId="77777777" w:rsidR="007B06CC" w:rsidRPr="00A0478B" w:rsidRDefault="007B06CC" w:rsidP="007B06CC">
      <w:pPr>
        <w:pStyle w:val="CaptionTable"/>
        <w:keepNext w:val="0"/>
        <w:keepLines w:val="0"/>
        <w:rPr>
          <w:rFonts w:ascii="Arial" w:hAnsi="Arial" w:cs="Arial"/>
        </w:rPr>
      </w:pPr>
      <w:bookmarkStart w:id="0" w:name="_Toc44314849"/>
      <w:bookmarkStart w:id="1" w:name="_Toc55291398"/>
      <w:bookmarkStart w:id="2" w:name="_Toc67130180"/>
      <w:bookmarkStart w:id="3" w:name="_Toc50638487"/>
      <w:r w:rsidRPr="00A0478B">
        <w:rPr>
          <w:rFonts w:ascii="Arial" w:hAnsi="Arial" w:cs="Arial"/>
        </w:rPr>
        <w:t>Table i. Documentation revision history</w:t>
      </w:r>
      <w:bookmarkEnd w:id="0"/>
      <w:bookmarkEnd w:id="1"/>
      <w:bookmarkEnd w:id="2"/>
      <w:bookmarkEnd w:id="3"/>
    </w:p>
    <w:tbl>
      <w:tblPr>
        <w:tblW w:w="968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760"/>
        <w:gridCol w:w="2880"/>
      </w:tblGrid>
      <w:tr w:rsidR="007B06CC" w:rsidRPr="00A0478B" w14:paraId="016CC1EA" w14:textId="77777777" w:rsidTr="002A345D">
        <w:trPr>
          <w:tblHeader/>
        </w:trPr>
        <w:tc>
          <w:tcPr>
            <w:tcW w:w="1044" w:type="dxa"/>
            <w:shd w:val="pct12" w:color="auto" w:fill="auto"/>
          </w:tcPr>
          <w:p w14:paraId="32F4CAC7" w14:textId="77777777" w:rsidR="007B06CC" w:rsidRPr="00A0478B" w:rsidRDefault="007B06CC" w:rsidP="002A34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478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760" w:type="dxa"/>
            <w:shd w:val="pct12" w:color="auto" w:fill="auto"/>
          </w:tcPr>
          <w:p w14:paraId="741409C9" w14:textId="77777777" w:rsidR="007B06CC" w:rsidRPr="00A0478B" w:rsidRDefault="007B06CC" w:rsidP="002A34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478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80" w:type="dxa"/>
            <w:shd w:val="pct12" w:color="auto" w:fill="auto"/>
          </w:tcPr>
          <w:p w14:paraId="3FC84786" w14:textId="77777777" w:rsidR="007B06CC" w:rsidRPr="00A0478B" w:rsidRDefault="007B06CC" w:rsidP="002A34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478B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</w:tr>
      <w:tr w:rsidR="006975DE" w:rsidRPr="00A0478B" w14:paraId="661084A3" w14:textId="77777777" w:rsidTr="002A345D"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5A47A" w14:textId="0413A48B" w:rsidR="006975DE" w:rsidRPr="00A0478B" w:rsidRDefault="006975DE" w:rsidP="002A345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12/2022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D3D5" w14:textId="7D912944" w:rsidR="006975DE" w:rsidRPr="00A0478B" w:rsidRDefault="006975DE" w:rsidP="002A345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the document for the XU*8*781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2616D" w14:textId="46602914" w:rsidR="006975DE" w:rsidRPr="00A0478B" w:rsidRDefault="00946B1E" w:rsidP="002A345D">
            <w:pPr>
              <w:pStyle w:val="TableText"/>
              <w:spacing w:before="120" w:after="120"/>
              <w:rPr>
                <w:rFonts w:ascii="Arial" w:hAnsi="Arial" w:cs="Arial"/>
              </w:rPr>
            </w:pPr>
            <w:r w:rsidRPr="00946B1E">
              <w:rPr>
                <w:rFonts w:ascii="Arial" w:hAnsi="Arial" w:cs="Arial"/>
                <w:highlight w:val="yellow"/>
              </w:rPr>
              <w:t>Redacted</w:t>
            </w:r>
          </w:p>
        </w:tc>
      </w:tr>
      <w:tr w:rsidR="007B06CC" w:rsidRPr="00A0478B" w14:paraId="443CA072" w14:textId="77777777" w:rsidTr="002A345D"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7E681" w14:textId="4A49D4A4" w:rsidR="007B06CC" w:rsidRPr="00A0478B" w:rsidRDefault="003E2050" w:rsidP="002A345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478B">
              <w:rPr>
                <w:rFonts w:ascii="Arial" w:hAnsi="Arial" w:cs="Arial"/>
                <w:sz w:val="20"/>
                <w:szCs w:val="20"/>
              </w:rPr>
              <w:t>11</w:t>
            </w:r>
            <w:r w:rsidR="007B06CC" w:rsidRPr="00A0478B">
              <w:rPr>
                <w:rFonts w:ascii="Arial" w:hAnsi="Arial" w:cs="Arial"/>
                <w:sz w:val="20"/>
                <w:szCs w:val="20"/>
              </w:rPr>
              <w:t>/202</w:t>
            </w:r>
            <w:r w:rsidRPr="00A04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2BB0D" w14:textId="28F0B00C" w:rsidR="007B06CC" w:rsidRPr="00A0478B" w:rsidRDefault="003E2050" w:rsidP="002A345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478B">
              <w:rPr>
                <w:rFonts w:ascii="Arial" w:hAnsi="Arial" w:cs="Arial"/>
                <w:sz w:val="20"/>
                <w:szCs w:val="20"/>
              </w:rPr>
              <w:t>Second</w:t>
            </w:r>
            <w:r w:rsidR="007B06CC" w:rsidRPr="00A0478B">
              <w:rPr>
                <w:rFonts w:ascii="Arial" w:hAnsi="Arial" w:cs="Arial"/>
                <w:sz w:val="20"/>
                <w:szCs w:val="20"/>
              </w:rPr>
              <w:t xml:space="preserve"> version of this document.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CCFCB" w14:textId="11854C18" w:rsidR="007B06CC" w:rsidRPr="00A0478B" w:rsidRDefault="00946B1E" w:rsidP="002A345D">
            <w:pPr>
              <w:pStyle w:val="TableText"/>
              <w:spacing w:before="120" w:after="120"/>
              <w:rPr>
                <w:rFonts w:ascii="Arial" w:hAnsi="Arial" w:cs="Arial"/>
              </w:rPr>
            </w:pPr>
            <w:r w:rsidRPr="00946B1E">
              <w:rPr>
                <w:rFonts w:ascii="Arial" w:hAnsi="Arial" w:cs="Arial"/>
                <w:highlight w:val="yellow"/>
              </w:rPr>
              <w:t>Redacted</w:t>
            </w:r>
          </w:p>
        </w:tc>
      </w:tr>
    </w:tbl>
    <w:p w14:paraId="64E41F70" w14:textId="77777777" w:rsidR="007B06CC" w:rsidRPr="00A0478B" w:rsidRDefault="007B06CC" w:rsidP="007B06CC">
      <w:pPr>
        <w:spacing w:after="160" w:line="259" w:lineRule="auto"/>
        <w:rPr>
          <w:rFonts w:ascii="Arial" w:hAnsi="Arial" w:cs="Arial"/>
          <w:bCs/>
          <w:kern w:val="32"/>
          <w:sz w:val="36"/>
          <w:szCs w:val="36"/>
        </w:rPr>
      </w:pPr>
    </w:p>
    <w:p w14:paraId="1E96E65A" w14:textId="77777777" w:rsidR="007B06CC" w:rsidRPr="00A0478B" w:rsidRDefault="007B06CC" w:rsidP="007B06CC">
      <w:pPr>
        <w:spacing w:after="160" w:line="259" w:lineRule="auto"/>
        <w:rPr>
          <w:rFonts w:ascii="Arial" w:hAnsi="Arial" w:cs="Arial"/>
          <w:bCs/>
          <w:kern w:val="32"/>
          <w:sz w:val="36"/>
          <w:szCs w:val="36"/>
        </w:rPr>
      </w:pPr>
      <w:r w:rsidRPr="00A0478B">
        <w:rPr>
          <w:rFonts w:ascii="Arial" w:hAnsi="Arial" w:cs="Arial"/>
          <w:bCs/>
          <w:kern w:val="32"/>
          <w:sz w:val="36"/>
          <w:szCs w:val="36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</w:rPr>
        <w:id w:val="-8349179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0FDC4B" w14:textId="77777777" w:rsidR="007B06CC" w:rsidRPr="00A0478B" w:rsidRDefault="007B06CC" w:rsidP="007B06CC">
          <w:pPr>
            <w:pStyle w:val="TOCHeading"/>
            <w:rPr>
              <w:rFonts w:ascii="Arial" w:hAnsi="Arial" w:cs="Arial"/>
              <w:color w:val="auto"/>
            </w:rPr>
          </w:pPr>
          <w:r w:rsidRPr="00A0478B">
            <w:rPr>
              <w:rFonts w:ascii="Arial" w:hAnsi="Arial" w:cs="Arial"/>
              <w:color w:val="auto"/>
            </w:rPr>
            <w:t>Table of Contents</w:t>
          </w:r>
        </w:p>
        <w:p w14:paraId="3ACD02A4" w14:textId="178B86C0" w:rsidR="003E2050" w:rsidRPr="00A0478B" w:rsidRDefault="007B06CC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r w:rsidRPr="00A0478B">
            <w:rPr>
              <w:rFonts w:ascii="Arial" w:hAnsi="Arial" w:cs="Arial"/>
              <w:sz w:val="20"/>
              <w:szCs w:val="20"/>
            </w:rPr>
            <w:fldChar w:fldCharType="begin"/>
          </w:r>
          <w:r w:rsidRPr="00A0478B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0478B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86829052" w:history="1">
            <w:r w:rsidR="003E2050" w:rsidRPr="00A0478B">
              <w:rPr>
                <w:rStyle w:val="Hyperlink"/>
              </w:rPr>
              <w:t>KAAJEE SSPI rollback</w:t>
            </w:r>
            <w:r w:rsidR="003E2050" w:rsidRPr="00A0478B">
              <w:rPr>
                <w:webHidden/>
              </w:rPr>
              <w:tab/>
            </w:r>
            <w:r w:rsidR="003E2050" w:rsidRPr="00A0478B">
              <w:rPr>
                <w:webHidden/>
              </w:rPr>
              <w:fldChar w:fldCharType="begin"/>
            </w:r>
            <w:r w:rsidR="003E2050" w:rsidRPr="00A0478B">
              <w:rPr>
                <w:webHidden/>
              </w:rPr>
              <w:instrText xml:space="preserve"> PAGEREF _Toc86829052 \h </w:instrText>
            </w:r>
            <w:r w:rsidR="003E2050" w:rsidRPr="00A0478B">
              <w:rPr>
                <w:webHidden/>
              </w:rPr>
            </w:r>
            <w:r w:rsidR="003E2050" w:rsidRPr="00A0478B">
              <w:rPr>
                <w:webHidden/>
              </w:rPr>
              <w:fldChar w:fldCharType="separate"/>
            </w:r>
            <w:r w:rsidR="003E2050" w:rsidRPr="00A0478B">
              <w:rPr>
                <w:webHidden/>
              </w:rPr>
              <w:t>4</w:t>
            </w:r>
            <w:r w:rsidR="003E2050" w:rsidRPr="00A0478B">
              <w:rPr>
                <w:webHidden/>
              </w:rPr>
              <w:fldChar w:fldCharType="end"/>
            </w:r>
          </w:hyperlink>
        </w:p>
        <w:p w14:paraId="33A15F19" w14:textId="65EB2910" w:rsidR="007B06CC" w:rsidRPr="00A0478B" w:rsidRDefault="007B06CC" w:rsidP="007B06CC">
          <w:pPr>
            <w:rPr>
              <w:rFonts w:ascii="Arial" w:hAnsi="Arial" w:cs="Arial"/>
            </w:rPr>
          </w:pPr>
          <w:r w:rsidRPr="00A0478B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50CA20B7" w14:textId="77777777" w:rsidR="007B06CC" w:rsidRPr="00A0478B" w:rsidRDefault="007B06CC" w:rsidP="007B06CC">
      <w:pPr>
        <w:spacing w:after="160" w:line="259" w:lineRule="auto"/>
        <w:rPr>
          <w:rFonts w:ascii="Arial" w:hAnsi="Arial" w:cs="Arial"/>
          <w:bCs/>
          <w:kern w:val="32"/>
          <w:sz w:val="36"/>
          <w:szCs w:val="36"/>
        </w:rPr>
      </w:pPr>
    </w:p>
    <w:p w14:paraId="7555F620" w14:textId="77777777" w:rsidR="007B06CC" w:rsidRPr="00A0478B" w:rsidRDefault="007B06CC" w:rsidP="007B06CC">
      <w:pPr>
        <w:spacing w:after="160" w:line="259" w:lineRule="auto"/>
        <w:rPr>
          <w:rFonts w:ascii="Arial" w:eastAsiaTheme="majorEastAsia" w:hAnsi="Arial" w:cs="Arial"/>
          <w:sz w:val="32"/>
          <w:szCs w:val="32"/>
        </w:rPr>
      </w:pPr>
      <w:r w:rsidRPr="00A0478B">
        <w:rPr>
          <w:rFonts w:ascii="Arial" w:eastAsiaTheme="majorEastAsia" w:hAnsi="Arial" w:cs="Arial"/>
          <w:sz w:val="32"/>
          <w:szCs w:val="32"/>
        </w:rPr>
        <w:t>List of Figures</w:t>
      </w:r>
    </w:p>
    <w:p w14:paraId="5EC8E4E9" w14:textId="107CD355" w:rsidR="007B06CC" w:rsidRPr="00A0478B" w:rsidRDefault="007B06CC" w:rsidP="007B06CC">
      <w:pPr>
        <w:spacing w:after="160" w:line="259" w:lineRule="auto"/>
        <w:rPr>
          <w:rFonts w:ascii="Arial" w:hAnsi="Arial" w:cs="Arial"/>
          <w:bCs/>
          <w:kern w:val="32"/>
          <w:sz w:val="20"/>
          <w:szCs w:val="20"/>
        </w:rPr>
      </w:pPr>
      <w:r w:rsidRPr="00A0478B">
        <w:rPr>
          <w:rFonts w:ascii="Arial" w:hAnsi="Arial" w:cs="Arial"/>
          <w:bCs/>
          <w:noProof/>
          <w:kern w:val="32"/>
          <w:sz w:val="20"/>
          <w:szCs w:val="20"/>
        </w:rPr>
        <w:fldChar w:fldCharType="begin"/>
      </w:r>
      <w:r w:rsidRPr="00A0478B">
        <w:rPr>
          <w:rFonts w:ascii="Arial" w:hAnsi="Arial" w:cs="Arial"/>
          <w:bCs/>
          <w:kern w:val="32"/>
          <w:sz w:val="20"/>
          <w:szCs w:val="20"/>
        </w:rPr>
        <w:instrText xml:space="preserve"> TOC \h \z \c "Figure" </w:instrText>
      </w:r>
      <w:r w:rsidRPr="00A0478B">
        <w:rPr>
          <w:rFonts w:ascii="Arial" w:hAnsi="Arial" w:cs="Arial"/>
          <w:bCs/>
          <w:noProof/>
          <w:kern w:val="32"/>
          <w:sz w:val="20"/>
          <w:szCs w:val="20"/>
        </w:rPr>
        <w:fldChar w:fldCharType="separate"/>
      </w:r>
      <w:r w:rsidRPr="00A0478B">
        <w:rPr>
          <w:rFonts w:ascii="Arial" w:hAnsi="Arial" w:cs="Arial"/>
          <w:b/>
          <w:noProof/>
          <w:kern w:val="32"/>
          <w:sz w:val="20"/>
          <w:szCs w:val="20"/>
        </w:rPr>
        <w:t>No table of figures entries found.</w:t>
      </w:r>
      <w:r w:rsidRPr="00A0478B">
        <w:rPr>
          <w:rFonts w:ascii="Arial" w:hAnsi="Arial" w:cs="Arial"/>
          <w:bCs/>
          <w:kern w:val="32"/>
          <w:sz w:val="20"/>
          <w:szCs w:val="20"/>
        </w:rPr>
        <w:fldChar w:fldCharType="end"/>
      </w:r>
    </w:p>
    <w:p w14:paraId="260F2B99" w14:textId="77777777" w:rsidR="007B06CC" w:rsidRPr="00A0478B" w:rsidRDefault="007B06CC" w:rsidP="007B06CC">
      <w:pPr>
        <w:pStyle w:val="Heading1b"/>
      </w:pPr>
    </w:p>
    <w:p w14:paraId="5C02B5DB" w14:textId="7E4B33CD" w:rsidR="007B06CC" w:rsidRPr="00A0478B" w:rsidRDefault="007B06CC" w:rsidP="007B06CC">
      <w:pPr>
        <w:pStyle w:val="Heading1b"/>
      </w:pPr>
      <w:r w:rsidRPr="00A0478B">
        <w:t>List of Tables</w:t>
      </w:r>
    </w:p>
    <w:p w14:paraId="6F076C05" w14:textId="77777777" w:rsidR="007B06CC" w:rsidRPr="00A0478B" w:rsidRDefault="007B06CC" w:rsidP="007B06CC"/>
    <w:p w14:paraId="16EFD65B" w14:textId="7B36BF06" w:rsidR="007B06CC" w:rsidRPr="00A0478B" w:rsidRDefault="007B06CC">
      <w:pPr>
        <w:pStyle w:val="TableofFigures"/>
        <w:rPr>
          <w:rFonts w:asciiTheme="minorHAnsi" w:eastAsiaTheme="minorEastAsia" w:hAnsiTheme="minorHAnsi" w:cstheme="minorBidi"/>
        </w:rPr>
      </w:pPr>
      <w:r w:rsidRPr="00A0478B">
        <w:rPr>
          <w:rFonts w:ascii="Arial" w:hAnsi="Arial" w:cs="Arial"/>
          <w:noProof w:val="0"/>
          <w:sz w:val="20"/>
          <w:szCs w:val="20"/>
        </w:rPr>
        <w:fldChar w:fldCharType="begin"/>
      </w:r>
      <w:r w:rsidRPr="00A0478B">
        <w:rPr>
          <w:rFonts w:ascii="Arial" w:hAnsi="Arial" w:cs="Arial"/>
          <w:noProof w:val="0"/>
          <w:sz w:val="20"/>
          <w:szCs w:val="20"/>
        </w:rPr>
        <w:instrText xml:space="preserve"> TOC \h \z \t "Caption Table" \c </w:instrText>
      </w:r>
      <w:r w:rsidRPr="00A0478B">
        <w:rPr>
          <w:rFonts w:ascii="Arial" w:hAnsi="Arial" w:cs="Arial"/>
          <w:noProof w:val="0"/>
          <w:sz w:val="20"/>
          <w:szCs w:val="20"/>
        </w:rPr>
        <w:fldChar w:fldCharType="separate"/>
      </w:r>
      <w:hyperlink w:anchor="_Toc50638487" w:history="1">
        <w:r w:rsidRPr="00A0478B">
          <w:rPr>
            <w:rStyle w:val="Hyperlink"/>
            <w:rFonts w:ascii="Arial" w:hAnsi="Arial" w:cs="Arial"/>
          </w:rPr>
          <w:t>Table i. Documentation revision history</w:t>
        </w:r>
        <w:r w:rsidRPr="00A0478B">
          <w:rPr>
            <w:webHidden/>
          </w:rPr>
          <w:tab/>
        </w:r>
        <w:r w:rsidRPr="00A0478B">
          <w:rPr>
            <w:webHidden/>
          </w:rPr>
          <w:fldChar w:fldCharType="begin"/>
        </w:r>
        <w:r w:rsidRPr="00A0478B">
          <w:rPr>
            <w:webHidden/>
          </w:rPr>
          <w:instrText xml:space="preserve"> PAGEREF _Toc50638487 \h </w:instrText>
        </w:r>
        <w:r w:rsidRPr="00A0478B">
          <w:rPr>
            <w:webHidden/>
          </w:rPr>
        </w:r>
        <w:r w:rsidRPr="00A0478B">
          <w:rPr>
            <w:webHidden/>
          </w:rPr>
          <w:fldChar w:fldCharType="separate"/>
        </w:r>
        <w:r w:rsidRPr="00A0478B">
          <w:rPr>
            <w:webHidden/>
          </w:rPr>
          <w:t>3</w:t>
        </w:r>
        <w:r w:rsidRPr="00A0478B">
          <w:rPr>
            <w:webHidden/>
          </w:rPr>
          <w:fldChar w:fldCharType="end"/>
        </w:r>
      </w:hyperlink>
    </w:p>
    <w:p w14:paraId="43D694CE" w14:textId="09FF2133" w:rsidR="007B06CC" w:rsidRPr="00A0478B" w:rsidRDefault="007B06CC" w:rsidP="007B06CC">
      <w:pPr>
        <w:spacing w:after="160" w:line="259" w:lineRule="auto"/>
      </w:pPr>
      <w:r w:rsidRPr="00A0478B">
        <w:rPr>
          <w:rFonts w:ascii="Arial" w:hAnsi="Arial" w:cs="Arial"/>
          <w:sz w:val="20"/>
          <w:szCs w:val="20"/>
        </w:rPr>
        <w:fldChar w:fldCharType="end"/>
      </w:r>
    </w:p>
    <w:p w14:paraId="2F768753" w14:textId="77777777" w:rsidR="003E2050" w:rsidRPr="00476D0E" w:rsidRDefault="007B06CC" w:rsidP="003E2050">
      <w:pPr>
        <w:pStyle w:val="Heading2"/>
        <w:ind w:left="576" w:hanging="576"/>
        <w:rPr>
          <w:rFonts w:ascii="Arial" w:hAnsi="Arial" w:cs="Arial"/>
          <w:sz w:val="32"/>
          <w:szCs w:val="32"/>
        </w:rPr>
      </w:pPr>
      <w:r w:rsidRPr="00A0478B">
        <w:br w:type="page"/>
      </w:r>
      <w:bookmarkStart w:id="4" w:name="_Toc86828608"/>
      <w:bookmarkStart w:id="5" w:name="_Toc86829052"/>
      <w:r w:rsidR="003E2050" w:rsidRPr="00476D0E">
        <w:rPr>
          <w:rFonts w:ascii="Arial" w:hAnsi="Arial" w:cs="Arial"/>
          <w:color w:val="000000" w:themeColor="text1"/>
          <w:sz w:val="32"/>
          <w:szCs w:val="32"/>
        </w:rPr>
        <w:lastRenderedPageBreak/>
        <w:t>KAAJEE SSPI rollback</w:t>
      </w:r>
      <w:bookmarkEnd w:id="4"/>
      <w:bookmarkEnd w:id="5"/>
    </w:p>
    <w:p w14:paraId="71324687" w14:textId="77777777" w:rsidR="003E2050" w:rsidRPr="00A0478B" w:rsidRDefault="003E2050" w:rsidP="003E2050"/>
    <w:p w14:paraId="30C89EE8" w14:textId="7F6F1552" w:rsidR="003E2050" w:rsidRPr="00A0478B" w:rsidRDefault="003E2050" w:rsidP="003E2050">
      <w:pPr>
        <w:pStyle w:val="ListParagraph"/>
        <w:numPr>
          <w:ilvl w:val="0"/>
          <w:numId w:val="2"/>
        </w:numPr>
      </w:pPr>
      <w:r w:rsidRPr="00A0478B">
        <w:t xml:space="preserve">Locate and </w:t>
      </w:r>
      <w:proofErr w:type="gramStart"/>
      <w:r w:rsidRPr="00A0478B">
        <w:t>Run</w:t>
      </w:r>
      <w:proofErr w:type="gramEnd"/>
      <w:r w:rsidRPr="00A0478B">
        <w:t xml:space="preserve"> the setWLSEnv.sh script on the application server</w:t>
      </w:r>
      <w:r w:rsidR="006975DE">
        <w:t>. This script will initialize the WLST environment:</w:t>
      </w:r>
    </w:p>
    <w:p w14:paraId="1B84F97C" w14:textId="77777777" w:rsidR="003E2050" w:rsidRPr="00A0478B" w:rsidRDefault="003E2050" w:rsidP="003E2050">
      <w:pPr>
        <w:pStyle w:val="ListParagraph"/>
        <w:ind w:left="645"/>
      </w:pPr>
    </w:p>
    <w:p w14:paraId="5763BD4C" w14:textId="77777777" w:rsidR="003E2050" w:rsidRPr="00A0478B" w:rsidRDefault="003E2050" w:rsidP="003E2050">
      <w:pPr>
        <w:pStyle w:val="ListParagraph"/>
        <w:ind w:left="645"/>
      </w:pPr>
      <w:r w:rsidRPr="00A0478B">
        <w:rPr>
          <w:noProof/>
        </w:rPr>
        <w:drawing>
          <wp:inline distT="0" distB="0" distL="0" distR="0" wp14:anchorId="2DF98C15" wp14:editId="597FDE04">
            <wp:extent cx="5251345" cy="691764"/>
            <wp:effectExtent l="0" t="0" r="698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7248" cy="7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EFBE" w14:textId="77777777" w:rsidR="003E2050" w:rsidRPr="00A0478B" w:rsidRDefault="003E2050" w:rsidP="003E2050"/>
    <w:p w14:paraId="50370B6A" w14:textId="77777777" w:rsidR="003E2050" w:rsidRPr="00A0478B" w:rsidRDefault="003E2050" w:rsidP="003E2050">
      <w:pPr>
        <w:ind w:left="1080"/>
      </w:pPr>
      <w:r w:rsidRPr="00A0478B">
        <w:t xml:space="preserve">The file is located under the </w:t>
      </w:r>
      <w:r w:rsidRPr="00A0478B">
        <w:rPr>
          <w:b/>
          <w:bCs/>
        </w:rPr>
        <w:t>server/bin</w:t>
      </w:r>
      <w:r w:rsidRPr="00A0478B">
        <w:t xml:space="preserve"> directory by default (Ex: /u01/app/oracle/weblogic-server-12.2.1.4/wlserver/server/bin/setWLSEnv.sh)</w:t>
      </w:r>
    </w:p>
    <w:p w14:paraId="6ABDAE9B" w14:textId="77777777" w:rsidR="003E2050" w:rsidRPr="00A0478B" w:rsidRDefault="003E2050" w:rsidP="003E2050">
      <w:pPr>
        <w:ind w:left="1080"/>
      </w:pPr>
    </w:p>
    <w:p w14:paraId="09E06CFE" w14:textId="77777777" w:rsidR="003E2050" w:rsidRPr="00A0478B" w:rsidRDefault="003E2050" w:rsidP="003E2050"/>
    <w:p w14:paraId="01C20958" w14:textId="77777777" w:rsidR="003E2050" w:rsidRPr="00A0478B" w:rsidRDefault="003E2050" w:rsidP="003E2050">
      <w:pPr>
        <w:pStyle w:val="Heading4"/>
        <w:keepLines w:val="0"/>
        <w:numPr>
          <w:ilvl w:val="0"/>
          <w:numId w:val="2"/>
        </w:numPr>
        <w:tabs>
          <w:tab w:val="left" w:pos="1620"/>
        </w:tabs>
        <w:spacing w:before="0"/>
      </w:pPr>
      <w:r w:rsidRPr="00476D0E">
        <w:rPr>
          <w:rFonts w:ascii="Times New Roman" w:hAnsi="Times New Roman" w:cs="Times New Roman"/>
          <w:i w:val="0"/>
          <w:iCs w:val="0"/>
          <w:color w:val="000000" w:themeColor="text1"/>
        </w:rPr>
        <w:t>Run the</w:t>
      </w:r>
      <w:r w:rsidRPr="00476D0E">
        <w:rPr>
          <w:color w:val="000000" w:themeColor="text1"/>
        </w:rPr>
        <w:t xml:space="preserve"> </w:t>
      </w:r>
      <w:r w:rsidRPr="00A0478B">
        <w:t xml:space="preserve">java </w:t>
      </w:r>
      <w:proofErr w:type="spellStart"/>
      <w:proofErr w:type="gramStart"/>
      <w:r w:rsidRPr="00A0478B">
        <w:t>weblogic.WLST</w:t>
      </w:r>
      <w:proofErr w:type="spellEnd"/>
      <w:proofErr w:type="gramEnd"/>
      <w:r w:rsidRPr="00A0478B">
        <w:t xml:space="preserve"> </w:t>
      </w:r>
      <w:r w:rsidRPr="00476D0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and pass the required properties file to the </w:t>
      </w:r>
      <w:r w:rsidRPr="00476D0E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>delete</w:t>
      </w:r>
      <w:r w:rsidRPr="00476D0E">
        <w:rPr>
          <w:rFonts w:ascii="Times New Roman" w:hAnsi="Times New Roman" w:cs="Times New Roman"/>
          <w:i w:val="0"/>
          <w:iCs w:val="0"/>
          <w:color w:val="000000" w:themeColor="text1"/>
        </w:rPr>
        <w:t>DSSSPI.py</w:t>
      </w:r>
    </w:p>
    <w:p w14:paraId="0BED29DF" w14:textId="77777777" w:rsidR="003E2050" w:rsidRPr="00A0478B" w:rsidRDefault="003E2050" w:rsidP="003E2050"/>
    <w:p w14:paraId="246C0CA2" w14:textId="77777777" w:rsidR="003E2050" w:rsidRPr="00A0478B" w:rsidRDefault="003E2050" w:rsidP="003E2050">
      <w:pPr>
        <w:ind w:left="1080"/>
        <w:rPr>
          <w:b/>
          <w:bCs/>
        </w:rPr>
      </w:pPr>
      <w:r w:rsidRPr="00A0478B">
        <w:rPr>
          <w:rFonts w:ascii="r_ansi" w:hAnsi="r_ansi" w:cs="r_ansi"/>
          <w:b/>
          <w:bCs/>
          <w:sz w:val="20"/>
          <w:szCs w:val="20"/>
        </w:rPr>
        <w:t xml:space="preserve">java </w:t>
      </w:r>
      <w:proofErr w:type="spellStart"/>
      <w:r w:rsidRPr="00A0478B">
        <w:rPr>
          <w:rFonts w:ascii="r_ansi" w:hAnsi="r_ansi" w:cs="r_ansi"/>
          <w:b/>
          <w:bCs/>
          <w:sz w:val="20"/>
          <w:szCs w:val="20"/>
        </w:rPr>
        <w:t>weblogic.WLST</w:t>
      </w:r>
      <w:proofErr w:type="spellEnd"/>
      <w:r w:rsidRPr="00A0478B">
        <w:rPr>
          <w:rFonts w:ascii="r_ansi" w:hAnsi="r_ansi" w:cs="r_ansi"/>
          <w:b/>
          <w:bCs/>
          <w:sz w:val="20"/>
          <w:szCs w:val="20"/>
        </w:rPr>
        <w:t xml:space="preserve"> deleteDSSSPI.py -p </w:t>
      </w:r>
      <w:proofErr w:type="spellStart"/>
      <w:r w:rsidRPr="00A0478B">
        <w:rPr>
          <w:rFonts w:ascii="r_ansi" w:hAnsi="r_ansi" w:cs="r_ansi"/>
          <w:b/>
          <w:bCs/>
          <w:sz w:val="20"/>
          <w:szCs w:val="20"/>
        </w:rPr>
        <w:t>createDSSSPI.properties</w:t>
      </w:r>
      <w:proofErr w:type="spellEnd"/>
    </w:p>
    <w:p w14:paraId="602D6B4C" w14:textId="77777777" w:rsidR="003E2050" w:rsidRPr="00A0478B" w:rsidRDefault="003E2050" w:rsidP="003E2050"/>
    <w:p w14:paraId="497A2600" w14:textId="10DE325F" w:rsidR="003E2050" w:rsidRPr="00A0478B" w:rsidRDefault="003E2050" w:rsidP="003E2050">
      <w:pPr>
        <w:pStyle w:val="Heading4"/>
        <w:ind w:left="1080"/>
      </w:pPr>
      <w:r w:rsidRPr="00A0478B">
        <w:t xml:space="preserve">The script will remove a </w:t>
      </w:r>
      <w:proofErr w:type="spellStart"/>
      <w:r w:rsidRPr="00A0478B">
        <w:t>datasource</w:t>
      </w:r>
      <w:proofErr w:type="spellEnd"/>
      <w:r w:rsidRPr="00A0478B">
        <w:t xml:space="preserve"> as well as the </w:t>
      </w:r>
      <w:proofErr w:type="spellStart"/>
      <w:r w:rsidR="00476D0E">
        <w:t>KaajeeManageable</w:t>
      </w:r>
      <w:r w:rsidRPr="00A0478B">
        <w:t>AuthenticationProvider</w:t>
      </w:r>
      <w:proofErr w:type="spellEnd"/>
      <w:r w:rsidRPr="00A0478B">
        <w:t xml:space="preserve">. It will use the same properties file. Upon successful script completion, you will be offered </w:t>
      </w:r>
      <w:r w:rsidR="006975DE">
        <w:t xml:space="preserve">an option </w:t>
      </w:r>
      <w:r w:rsidRPr="00A0478B">
        <w:t xml:space="preserve">to </w:t>
      </w:r>
      <w:proofErr w:type="spellStart"/>
      <w:r w:rsidRPr="00A0478B">
        <w:t>shutdown</w:t>
      </w:r>
      <w:proofErr w:type="spellEnd"/>
      <w:r w:rsidRPr="00A0478B">
        <w:t xml:space="preserve"> an admin server.           </w:t>
      </w:r>
    </w:p>
    <w:p w14:paraId="6E10B8FF" w14:textId="77777777" w:rsidR="003E2050" w:rsidRPr="00A0478B" w:rsidRDefault="003E2050" w:rsidP="003E2050">
      <w:pPr>
        <w:rPr>
          <w:color w:val="000000"/>
        </w:rPr>
      </w:pPr>
    </w:p>
    <w:p w14:paraId="1295F72A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>Start the server; Log onto admin console.</w:t>
      </w:r>
    </w:p>
    <w:p w14:paraId="1E37C8B9" w14:textId="77777777" w:rsidR="003E2050" w:rsidRPr="00A0478B" w:rsidRDefault="003E2050" w:rsidP="003E2050">
      <w:pPr>
        <w:rPr>
          <w:color w:val="000000"/>
        </w:rPr>
      </w:pPr>
    </w:p>
    <w:p w14:paraId="5D1C191A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>Navigate to the Authentication Directory:</w:t>
      </w:r>
    </w:p>
    <w:p w14:paraId="19FBE79E" w14:textId="77777777" w:rsidR="003E2050" w:rsidRPr="00A0478B" w:rsidRDefault="003E2050" w:rsidP="003E2050">
      <w:pPr>
        <w:numPr>
          <w:ilvl w:val="1"/>
          <w:numId w:val="2"/>
        </w:numPr>
        <w:spacing w:before="120"/>
        <w:ind w:left="720"/>
        <w:rPr>
          <w:color w:val="000000"/>
        </w:rPr>
      </w:pPr>
      <w:r w:rsidRPr="00A0478B">
        <w:rPr>
          <w:color w:val="000000"/>
        </w:rPr>
        <w:t xml:space="preserve">Select Security Realms under Domain Structure. </w:t>
      </w:r>
    </w:p>
    <w:p w14:paraId="6FF164D3" w14:textId="77777777" w:rsidR="003E2050" w:rsidRPr="00A0478B" w:rsidRDefault="003E2050" w:rsidP="003E2050">
      <w:pPr>
        <w:numPr>
          <w:ilvl w:val="1"/>
          <w:numId w:val="2"/>
        </w:numPr>
        <w:ind w:left="720"/>
        <w:rPr>
          <w:color w:val="000000"/>
        </w:rPr>
      </w:pPr>
      <w:r w:rsidRPr="00A0478B">
        <w:rPr>
          <w:color w:val="000000"/>
        </w:rPr>
        <w:t>Navigate to the Providers tab, as shown below:</w:t>
      </w:r>
    </w:p>
    <w:p w14:paraId="1AB5D6FC" w14:textId="77777777" w:rsidR="003E2050" w:rsidRPr="00A0478B" w:rsidRDefault="003E2050" w:rsidP="003E2050">
      <w:pPr>
        <w:spacing w:before="120"/>
        <w:rPr>
          <w:color w:val="000000"/>
        </w:rPr>
      </w:pPr>
      <w:r w:rsidRPr="00A0478B">
        <w:rPr>
          <w:color w:val="000000"/>
        </w:rPr>
        <w:t xml:space="preserve">             - Home &gt; Summary of Security Realms &gt; </w:t>
      </w:r>
      <w:proofErr w:type="spellStart"/>
      <w:r w:rsidRPr="00A0478B">
        <w:rPr>
          <w:color w:val="000000"/>
        </w:rPr>
        <w:t>myrealm</w:t>
      </w:r>
      <w:proofErr w:type="spellEnd"/>
      <w:r w:rsidRPr="00A0478B">
        <w:rPr>
          <w:color w:val="000000"/>
        </w:rPr>
        <w:t xml:space="preserve"> &gt; Providers &gt; Authentication tab</w:t>
      </w:r>
    </w:p>
    <w:p w14:paraId="4D053D6A" w14:textId="77777777" w:rsidR="003E2050" w:rsidRPr="00A0478B" w:rsidRDefault="003E2050" w:rsidP="003E2050">
      <w:pPr>
        <w:rPr>
          <w:color w:val="000000"/>
        </w:rPr>
      </w:pPr>
    </w:p>
    <w:p w14:paraId="5D11EA5E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 xml:space="preserve">Confirm absence of the </w:t>
      </w:r>
      <w:proofErr w:type="spellStart"/>
      <w:r w:rsidRPr="00A0478B">
        <w:rPr>
          <w:color w:val="000000"/>
        </w:rPr>
        <w:t>KaajeeManageableAuthenticator</w:t>
      </w:r>
      <w:proofErr w:type="spellEnd"/>
      <w:r w:rsidRPr="00A0478B">
        <w:rPr>
          <w:color w:val="000000"/>
        </w:rPr>
        <w:t>.</w:t>
      </w:r>
    </w:p>
    <w:p w14:paraId="1358F058" w14:textId="77777777" w:rsidR="003E2050" w:rsidRPr="00A0478B" w:rsidRDefault="003E2050" w:rsidP="003E2050">
      <w:pPr>
        <w:rPr>
          <w:color w:val="000000"/>
        </w:rPr>
      </w:pPr>
    </w:p>
    <w:p w14:paraId="56090B6D" w14:textId="77777777" w:rsidR="003E2050" w:rsidRPr="00A0478B" w:rsidRDefault="003E2050" w:rsidP="003E2050">
      <w:pPr>
        <w:numPr>
          <w:ilvl w:val="1"/>
          <w:numId w:val="2"/>
        </w:numPr>
        <w:ind w:left="720"/>
        <w:rPr>
          <w:color w:val="000000"/>
        </w:rPr>
      </w:pPr>
      <w:r w:rsidRPr="00A0478B">
        <w:rPr>
          <w:color w:val="000000"/>
        </w:rPr>
        <w:t xml:space="preserve">When returned to the Authentication page, select and edit the </w:t>
      </w:r>
      <w:proofErr w:type="spellStart"/>
      <w:r w:rsidRPr="00A0478B">
        <w:rPr>
          <w:color w:val="000000"/>
        </w:rPr>
        <w:t>DefaultAuthenticator</w:t>
      </w:r>
      <w:proofErr w:type="spellEnd"/>
      <w:r w:rsidRPr="00A0478B">
        <w:rPr>
          <w:color w:val="000000"/>
        </w:rPr>
        <w:t xml:space="preserve"> Authentication Provider. Ensure that Control Flag is '</w:t>
      </w:r>
      <w:r w:rsidRPr="00A0478B">
        <w:rPr>
          <w:b/>
          <w:bCs/>
          <w:color w:val="000000"/>
        </w:rPr>
        <w:t>REQUIRED</w:t>
      </w:r>
      <w:r w:rsidRPr="00A0478B">
        <w:rPr>
          <w:color w:val="000000"/>
        </w:rPr>
        <w:t>'.</w:t>
      </w:r>
    </w:p>
    <w:p w14:paraId="34083BED" w14:textId="77777777" w:rsidR="003E2050" w:rsidRPr="00A0478B" w:rsidRDefault="003E2050" w:rsidP="003E2050">
      <w:pPr>
        <w:rPr>
          <w:color w:val="000000"/>
        </w:rPr>
      </w:pPr>
    </w:p>
    <w:p w14:paraId="3AEFB915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>Restart the admin server, if any changes to the Authentication Providers has been made.</w:t>
      </w:r>
    </w:p>
    <w:p w14:paraId="199C2722" w14:textId="77777777" w:rsidR="003E2050" w:rsidRPr="00A0478B" w:rsidRDefault="003E2050" w:rsidP="003E2050">
      <w:pPr>
        <w:rPr>
          <w:color w:val="000000"/>
        </w:rPr>
      </w:pPr>
    </w:p>
    <w:p w14:paraId="1696084A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>Verify all Changes Have Taken Place:</w:t>
      </w:r>
    </w:p>
    <w:p w14:paraId="14C8B68F" w14:textId="77777777" w:rsidR="003E2050" w:rsidRPr="00A0478B" w:rsidRDefault="003E2050" w:rsidP="003E2050">
      <w:pPr>
        <w:rPr>
          <w:color w:val="000000"/>
        </w:rPr>
      </w:pPr>
    </w:p>
    <w:p w14:paraId="73103DD9" w14:textId="6391F9D3" w:rsidR="003E2050" w:rsidRPr="00A0478B" w:rsidRDefault="003E2050" w:rsidP="003E2050">
      <w:pPr>
        <w:numPr>
          <w:ilvl w:val="1"/>
          <w:numId w:val="2"/>
        </w:numPr>
        <w:ind w:left="720"/>
        <w:rPr>
          <w:color w:val="000000"/>
        </w:rPr>
      </w:pPr>
      <w:r w:rsidRPr="00A0478B">
        <w:rPr>
          <w:color w:val="000000"/>
        </w:rPr>
        <w:t>Use the WebLogic console software (i.e., WebLogic Server Console Login) to navigate to the following locations:</w:t>
      </w:r>
    </w:p>
    <w:p w14:paraId="5121ACFC" w14:textId="77777777" w:rsidR="003E2050" w:rsidRPr="00A0478B" w:rsidRDefault="003E2050" w:rsidP="003E2050">
      <w:pPr>
        <w:numPr>
          <w:ilvl w:val="2"/>
          <w:numId w:val="1"/>
        </w:numPr>
        <w:tabs>
          <w:tab w:val="clear" w:pos="2340"/>
          <w:tab w:val="num" w:pos="1080"/>
        </w:tabs>
        <w:spacing w:before="120"/>
        <w:ind w:left="1080"/>
        <w:rPr>
          <w:color w:val="000000"/>
        </w:rPr>
      </w:pPr>
      <w:r w:rsidRPr="00A0478B">
        <w:rPr>
          <w:color w:val="000000"/>
        </w:rPr>
        <w:t xml:space="preserve">Home &gt; Summary of Security Realms &gt; </w:t>
      </w:r>
      <w:proofErr w:type="spellStart"/>
      <w:r w:rsidRPr="00A0478B">
        <w:rPr>
          <w:color w:val="000000"/>
        </w:rPr>
        <w:t>myrealm</w:t>
      </w:r>
      <w:proofErr w:type="spellEnd"/>
      <w:r w:rsidRPr="00A0478B">
        <w:rPr>
          <w:color w:val="000000"/>
        </w:rPr>
        <w:t xml:space="preserve"> &gt; Users and Groups </w:t>
      </w:r>
      <w:r w:rsidRPr="00A0478B">
        <w:rPr>
          <w:color w:val="000000"/>
        </w:rPr>
        <w:br/>
        <w:t xml:space="preserve">  (Users tab)</w:t>
      </w:r>
    </w:p>
    <w:p w14:paraId="13F622D4" w14:textId="77777777" w:rsidR="003E2050" w:rsidRPr="00A0478B" w:rsidRDefault="003E2050" w:rsidP="003E2050">
      <w:pPr>
        <w:numPr>
          <w:ilvl w:val="2"/>
          <w:numId w:val="1"/>
        </w:numPr>
        <w:tabs>
          <w:tab w:val="clear" w:pos="2340"/>
          <w:tab w:val="num" w:pos="1080"/>
        </w:tabs>
        <w:spacing w:before="120"/>
        <w:ind w:left="1080"/>
        <w:rPr>
          <w:color w:val="000000"/>
        </w:rPr>
      </w:pPr>
      <w:r w:rsidRPr="00A0478B">
        <w:rPr>
          <w:color w:val="000000"/>
        </w:rPr>
        <w:t xml:space="preserve">Home &gt; Summary of Security Realms &gt; </w:t>
      </w:r>
      <w:proofErr w:type="spellStart"/>
      <w:r w:rsidRPr="00A0478B">
        <w:rPr>
          <w:color w:val="000000"/>
        </w:rPr>
        <w:t>myrealm</w:t>
      </w:r>
      <w:proofErr w:type="spellEnd"/>
      <w:r w:rsidRPr="00A0478B">
        <w:rPr>
          <w:color w:val="000000"/>
        </w:rPr>
        <w:t xml:space="preserve"> &gt; Users and Groups </w:t>
      </w:r>
      <w:r w:rsidRPr="00A0478B">
        <w:rPr>
          <w:color w:val="000000"/>
        </w:rPr>
        <w:br/>
        <w:t xml:space="preserve">  (Groups tab)</w:t>
      </w:r>
    </w:p>
    <w:p w14:paraId="64A2EC57" w14:textId="51DE5A86" w:rsidR="003E2050" w:rsidRPr="00A0478B" w:rsidRDefault="003E2050" w:rsidP="003E2050">
      <w:pPr>
        <w:pStyle w:val="ListParagraph"/>
        <w:numPr>
          <w:ilvl w:val="1"/>
          <w:numId w:val="1"/>
        </w:numPr>
        <w:rPr>
          <w:color w:val="000000"/>
        </w:rPr>
      </w:pPr>
      <w:r w:rsidRPr="00A0478B">
        <w:rPr>
          <w:color w:val="000000"/>
        </w:rPr>
        <w:t xml:space="preserve">Confirm </w:t>
      </w:r>
      <w:r w:rsidR="006975DE" w:rsidRPr="00A0478B">
        <w:rPr>
          <w:color w:val="000000"/>
        </w:rPr>
        <w:t>absence</w:t>
      </w:r>
      <w:r w:rsidRPr="00A0478B">
        <w:rPr>
          <w:color w:val="000000"/>
        </w:rPr>
        <w:t xml:space="preserve"> of application-level users retrieved by the </w:t>
      </w:r>
      <w:proofErr w:type="spellStart"/>
      <w:r w:rsidRPr="00A0478B">
        <w:rPr>
          <w:color w:val="000000"/>
        </w:rPr>
        <w:t>KaajeeManageableAuthenticator</w:t>
      </w:r>
      <w:proofErr w:type="spellEnd"/>
      <w:r w:rsidRPr="00A0478B">
        <w:rPr>
          <w:color w:val="000000"/>
        </w:rPr>
        <w:t xml:space="preserve"> </w:t>
      </w:r>
    </w:p>
    <w:p w14:paraId="2AF75D3E" w14:textId="5951B0D4" w:rsidR="007B06CC" w:rsidRDefault="007B06CC">
      <w:pPr>
        <w:spacing w:after="160" w:line="259" w:lineRule="auto"/>
      </w:pPr>
    </w:p>
    <w:sectPr w:rsidR="007B06CC" w:rsidSect="007B06C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A341" w14:textId="77777777" w:rsidR="00B86757" w:rsidRDefault="00B86757" w:rsidP="007B06CC">
      <w:r>
        <w:separator/>
      </w:r>
    </w:p>
  </w:endnote>
  <w:endnote w:type="continuationSeparator" w:id="0">
    <w:p w14:paraId="387C3C9F" w14:textId="77777777" w:rsidR="00B86757" w:rsidRDefault="00B86757" w:rsidP="007B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12BA" w14:textId="77777777" w:rsidR="007B06CC" w:rsidRDefault="007B06CC" w:rsidP="007B06CC">
    <w:pPr>
      <w:pStyle w:val="Footer"/>
    </w:pPr>
  </w:p>
  <w:p w14:paraId="3B5519AD" w14:textId="1229952F" w:rsidR="007B06CC" w:rsidRPr="00D75045" w:rsidRDefault="00A0478B" w:rsidP="007B06C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</w:t>
    </w:r>
    <w:r w:rsidR="003E2050">
      <w:rPr>
        <w:rFonts w:ascii="Arial" w:hAnsi="Arial" w:cs="Arial"/>
        <w:sz w:val="18"/>
        <w:szCs w:val="18"/>
      </w:rPr>
      <w:t>ember</w:t>
    </w:r>
    <w:r w:rsidR="007B06CC" w:rsidRPr="00D75045">
      <w:rPr>
        <w:rFonts w:ascii="Arial" w:hAnsi="Arial" w:cs="Arial"/>
        <w:sz w:val="18"/>
        <w:szCs w:val="18"/>
      </w:rPr>
      <w:t xml:space="preserve"> 202</w:t>
    </w:r>
    <w:r w:rsidR="006975DE">
      <w:rPr>
        <w:rFonts w:ascii="Arial" w:hAnsi="Arial" w:cs="Arial"/>
        <w:sz w:val="18"/>
        <w:szCs w:val="18"/>
      </w:rPr>
      <w:t>2</w:t>
    </w:r>
    <w:r w:rsidR="007B06CC" w:rsidRPr="00D75045">
      <w:rPr>
        <w:rFonts w:ascii="Arial" w:hAnsi="Arial" w:cs="Arial"/>
        <w:sz w:val="18"/>
        <w:szCs w:val="18"/>
      </w:rPr>
      <w:tab/>
      <w:t>S</w:t>
    </w:r>
    <w:r w:rsidR="007B06CC">
      <w:rPr>
        <w:rFonts w:ascii="Arial" w:hAnsi="Arial" w:cs="Arial"/>
        <w:sz w:val="18"/>
        <w:szCs w:val="18"/>
      </w:rPr>
      <w:t>ecurity</w:t>
    </w:r>
    <w:r w:rsidR="007B06CC" w:rsidRPr="00D75045">
      <w:rPr>
        <w:rFonts w:ascii="Arial" w:hAnsi="Arial" w:cs="Arial"/>
        <w:sz w:val="18"/>
        <w:szCs w:val="18"/>
      </w:rPr>
      <w:t xml:space="preserve"> </w:t>
    </w:r>
    <w:r w:rsidR="007B06CC">
      <w:rPr>
        <w:rFonts w:ascii="Arial" w:hAnsi="Arial" w:cs="Arial"/>
        <w:sz w:val="18"/>
        <w:szCs w:val="18"/>
      </w:rPr>
      <w:t>Service Provider Interface</w:t>
    </w:r>
    <w:r w:rsidR="007B06CC" w:rsidRPr="00D75045">
      <w:rPr>
        <w:rFonts w:ascii="Arial" w:hAnsi="Arial" w:cs="Arial"/>
        <w:sz w:val="18"/>
        <w:szCs w:val="18"/>
      </w:rPr>
      <w:t xml:space="preserve"> (SSPI)</w:t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tab/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fldChar w:fldCharType="begin"/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instrText xml:space="preserve"> PAGE </w:instrText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fldChar w:fldCharType="separate"/>
    </w:r>
    <w:r w:rsidR="007B06CC">
      <w:rPr>
        <w:rStyle w:val="PageNumber"/>
        <w:rFonts w:ascii="Arial" w:eastAsiaTheme="majorEastAsia" w:hAnsi="Arial" w:cs="Arial"/>
        <w:sz w:val="18"/>
        <w:szCs w:val="18"/>
      </w:rPr>
      <w:t>5</w:t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fldChar w:fldCharType="end"/>
    </w:r>
  </w:p>
  <w:p w14:paraId="586B81D9" w14:textId="6A6CAA2D" w:rsidR="007B06CC" w:rsidRPr="007B06CC" w:rsidRDefault="007B06CC" w:rsidP="007B06CC">
    <w:pPr>
      <w:pStyle w:val="Footer"/>
      <w:tabs>
        <w:tab w:val="clear" w:pos="9360"/>
        <w:tab w:val="left" w:pos="6630"/>
      </w:tabs>
      <w:rPr>
        <w:rFonts w:ascii="Arial" w:hAnsi="Arial" w:cs="Arial"/>
        <w:sz w:val="18"/>
        <w:szCs w:val="18"/>
      </w:rPr>
    </w:pPr>
    <w:r w:rsidRPr="00D75045">
      <w:rPr>
        <w:rFonts w:ascii="Arial" w:hAnsi="Arial" w:cs="Arial"/>
        <w:sz w:val="18"/>
        <w:szCs w:val="18"/>
      </w:rPr>
      <w:tab/>
    </w:r>
    <w:r w:rsidR="009A49DA">
      <w:rPr>
        <w:rFonts w:ascii="Arial" w:hAnsi="Arial" w:cs="Arial"/>
        <w:sz w:val="18"/>
        <w:szCs w:val="18"/>
      </w:rPr>
      <w:t>Rollback</w:t>
    </w:r>
    <w:r w:rsidRPr="00D75045">
      <w:rPr>
        <w:rFonts w:ascii="Arial" w:hAnsi="Arial" w:cs="Arial"/>
        <w:sz w:val="18"/>
        <w:szCs w:val="18"/>
      </w:rPr>
      <w:t xml:space="preserve">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7931" w14:textId="77777777" w:rsidR="00B86757" w:rsidRDefault="00B86757" w:rsidP="007B06CC">
      <w:r>
        <w:separator/>
      </w:r>
    </w:p>
  </w:footnote>
  <w:footnote w:type="continuationSeparator" w:id="0">
    <w:p w14:paraId="2896038C" w14:textId="77777777" w:rsidR="00B86757" w:rsidRDefault="00B86757" w:rsidP="007B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17040"/>
    <w:multiLevelType w:val="hybridMultilevel"/>
    <w:tmpl w:val="802EC5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A59B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35F2C"/>
    <w:multiLevelType w:val="hybridMultilevel"/>
    <w:tmpl w:val="BB6EE218"/>
    <w:lvl w:ilvl="0" w:tplc="8132CB1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7946">
    <w:abstractNumId w:val="0"/>
  </w:num>
  <w:num w:numId="2" w16cid:durableId="101373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93"/>
    <w:rsid w:val="000658B6"/>
    <w:rsid w:val="000F4E60"/>
    <w:rsid w:val="00172293"/>
    <w:rsid w:val="003E2050"/>
    <w:rsid w:val="00476D0E"/>
    <w:rsid w:val="004A1981"/>
    <w:rsid w:val="006975DE"/>
    <w:rsid w:val="007B06CC"/>
    <w:rsid w:val="008F6501"/>
    <w:rsid w:val="00946B1E"/>
    <w:rsid w:val="009A49DA"/>
    <w:rsid w:val="009B177D"/>
    <w:rsid w:val="00A0478B"/>
    <w:rsid w:val="00AD437C"/>
    <w:rsid w:val="00B86757"/>
    <w:rsid w:val="00CD0176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EF17"/>
  <w15:chartTrackingRefBased/>
  <w15:docId w15:val="{DD7B352E-FAA9-459B-8343-89D446FA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6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6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0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0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6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C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CC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7B06CC"/>
    <w:pPr>
      <w:tabs>
        <w:tab w:val="left" w:pos="1620"/>
        <w:tab w:val="right" w:leader="dot" w:pos="9360"/>
      </w:tabs>
      <w:spacing w:before="120"/>
      <w:ind w:left="1620" w:hanging="720"/>
    </w:pPr>
    <w:rPr>
      <w:noProof/>
      <w:szCs w:val="32"/>
    </w:rPr>
  </w:style>
  <w:style w:type="paragraph" w:styleId="TOC2">
    <w:name w:val="toc 2"/>
    <w:basedOn w:val="Normal"/>
    <w:next w:val="Normal"/>
    <w:autoRedefine/>
    <w:uiPriority w:val="39"/>
    <w:rsid w:val="007B06CC"/>
    <w:pPr>
      <w:tabs>
        <w:tab w:val="left" w:pos="900"/>
        <w:tab w:val="right" w:leader="dot" w:pos="9360"/>
      </w:tabs>
      <w:spacing w:before="120" w:after="120"/>
      <w:ind w:left="907" w:hanging="547"/>
    </w:pPr>
    <w:rPr>
      <w:noProof/>
      <w:szCs w:val="36"/>
    </w:rPr>
  </w:style>
  <w:style w:type="paragraph" w:styleId="TOC1">
    <w:name w:val="toc 1"/>
    <w:basedOn w:val="Normal"/>
    <w:next w:val="Normal"/>
    <w:autoRedefine/>
    <w:uiPriority w:val="39"/>
    <w:rsid w:val="007B06CC"/>
    <w:pPr>
      <w:keepNext/>
      <w:keepLines/>
      <w:tabs>
        <w:tab w:val="left" w:pos="360"/>
        <w:tab w:val="right" w:leader="dot" w:pos="9360"/>
      </w:tabs>
      <w:spacing w:before="240" w:after="120"/>
      <w:ind w:left="360" w:hanging="360"/>
    </w:pPr>
    <w:rPr>
      <w:b/>
      <w:bCs/>
      <w:noProof/>
      <w:szCs w:val="36"/>
    </w:rPr>
  </w:style>
  <w:style w:type="paragraph" w:styleId="Footer">
    <w:name w:val="footer"/>
    <w:basedOn w:val="Normal"/>
    <w:link w:val="FooterChar"/>
    <w:uiPriority w:val="99"/>
    <w:rsid w:val="007B06C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06CC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uiPriority w:val="99"/>
    <w:rsid w:val="007B06CC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7B06CC"/>
    <w:pPr>
      <w:tabs>
        <w:tab w:val="right" w:leader="dot" w:pos="9350"/>
      </w:tabs>
      <w:spacing w:before="120"/>
      <w:ind w:left="446" w:hanging="446"/>
    </w:pPr>
    <w:rPr>
      <w:noProof/>
    </w:rPr>
  </w:style>
  <w:style w:type="paragraph" w:customStyle="1" w:styleId="TableText">
    <w:name w:val="Table Text"/>
    <w:link w:val="TableTextChar"/>
    <w:rsid w:val="007B06CC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b">
    <w:name w:val="Heading 1b"/>
    <w:basedOn w:val="Heading9"/>
    <w:autoRedefine/>
    <w:rsid w:val="007B06CC"/>
    <w:pPr>
      <w:spacing w:before="0"/>
    </w:pPr>
    <w:rPr>
      <w:rFonts w:ascii="Arial" w:eastAsia="Times New Roman" w:hAnsi="Arial" w:cs="Times New Roman"/>
      <w:i w:val="0"/>
      <w:iCs w:val="0"/>
      <w:color w:val="auto"/>
      <w:sz w:val="36"/>
      <w:szCs w:val="36"/>
    </w:rPr>
  </w:style>
  <w:style w:type="character" w:customStyle="1" w:styleId="TableTextChar">
    <w:name w:val="Table Text Char"/>
    <w:link w:val="TableText"/>
    <w:rsid w:val="007B06CC"/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Table">
    <w:name w:val="Caption Table"/>
    <w:basedOn w:val="Caption"/>
    <w:qFormat/>
    <w:rsid w:val="007B06CC"/>
    <w:pPr>
      <w:keepNext/>
      <w:keepLines/>
      <w:spacing w:after="120"/>
      <w:jc w:val="center"/>
    </w:pPr>
    <w:rPr>
      <w:b/>
      <w:i w:val="0"/>
      <w:iCs w:val="0"/>
      <w:color w:val="auto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0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06CC"/>
    <w:pPr>
      <w:spacing w:line="259" w:lineRule="auto"/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B06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6C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6CC"/>
    <w:rPr>
      <w:rFonts w:ascii="Times New Roman" w:eastAsia="Times New Roman" w:hAnsi="Times New Roman" w:cs="Times New Roman"/>
    </w:rPr>
  </w:style>
  <w:style w:type="character" w:styleId="PageNumber">
    <w:name w:val="page number"/>
    <w:rsid w:val="007B06CC"/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6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readcrumb">
    <w:name w:val="breadcrumb"/>
    <w:basedOn w:val="DefaultParagraphFont"/>
    <w:rsid w:val="007B06CC"/>
  </w:style>
  <w:style w:type="character" w:customStyle="1" w:styleId="breadcrumbbold">
    <w:name w:val="breadcrumbbold"/>
    <w:basedOn w:val="DefaultParagraphFont"/>
    <w:rsid w:val="007B06CC"/>
  </w:style>
  <w:style w:type="character" w:customStyle="1" w:styleId="Heading5Char">
    <w:name w:val="Heading 5 Char"/>
    <w:basedOn w:val="DefaultParagraphFont"/>
    <w:link w:val="Heading5"/>
    <w:uiPriority w:val="9"/>
    <w:semiHidden/>
    <w:rsid w:val="003E20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0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3E20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Quintero, Adriana (Favor TechConsulting)</dc:creator>
  <cp:keywords/>
  <dc:description/>
  <cp:lastModifiedBy>Booz Allen Hamilton</cp:lastModifiedBy>
  <cp:revision>4</cp:revision>
  <dcterms:created xsi:type="dcterms:W3CDTF">2023-03-09T17:14:00Z</dcterms:created>
  <dcterms:modified xsi:type="dcterms:W3CDTF">2023-03-20T23:53:00Z</dcterms:modified>
</cp:coreProperties>
</file>