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B8" w:rsidRPr="003B7E68" w:rsidRDefault="00A24BB8" w:rsidP="00A24BB8">
      <w:pPr>
        <w:jc w:val="center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" style="width:201.75pt;height:109.5pt" fillcolor="window">
            <v:imagedata r:id="rId6" o:title=""/>
          </v:shape>
        </w:pict>
      </w: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Pr="003B7E68" w:rsidRDefault="00A24BB8" w:rsidP="00A24BB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B7E68">
        <w:rPr>
          <w:rFonts w:ascii="Arial" w:hAnsi="Arial" w:cs="Arial"/>
          <w:b/>
          <w:bCs/>
          <w:sz w:val="48"/>
          <w:szCs w:val="48"/>
        </w:rPr>
        <w:t>NETWORK HEALTH EXCHANGE</w:t>
      </w:r>
      <w:r>
        <w:rPr>
          <w:rFonts w:ascii="Arial" w:hAnsi="Arial" w:cs="Arial"/>
          <w:b/>
          <w:bCs/>
          <w:sz w:val="48"/>
          <w:szCs w:val="48"/>
        </w:rPr>
        <w:t xml:space="preserve"> (NHE)</w:t>
      </w:r>
    </w:p>
    <w:p w:rsidR="00A24BB8" w:rsidRPr="003B7E68" w:rsidRDefault="00A24BB8" w:rsidP="00A24BB8">
      <w:pPr>
        <w:jc w:val="center"/>
        <w:rPr>
          <w:rFonts w:ascii="Arial" w:hAnsi="Arial" w:cs="Arial"/>
        </w:rPr>
      </w:pPr>
    </w:p>
    <w:p w:rsidR="00010F90" w:rsidRPr="00A24BB8" w:rsidRDefault="00010F90">
      <w:pPr>
        <w:jc w:val="center"/>
        <w:rPr>
          <w:rFonts w:ascii="Arial" w:hAnsi="Arial"/>
          <w:b/>
          <w:noProof w:val="0"/>
          <w:sz w:val="48"/>
        </w:rPr>
      </w:pPr>
      <w:r w:rsidRPr="00A24BB8">
        <w:rPr>
          <w:rFonts w:ascii="Arial" w:hAnsi="Arial"/>
          <w:b/>
          <w:noProof w:val="0"/>
          <w:sz w:val="48"/>
        </w:rPr>
        <w:t>RELEASE NOTES</w:t>
      </w: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Pr="003B7E68" w:rsidRDefault="00A24BB8" w:rsidP="00A24BB8">
      <w:pPr>
        <w:jc w:val="center"/>
        <w:rPr>
          <w:rFonts w:ascii="Arial" w:hAnsi="Arial" w:cs="Arial"/>
          <w:sz w:val="48"/>
          <w:szCs w:val="48"/>
        </w:rPr>
      </w:pPr>
      <w:r w:rsidRPr="003B7E68">
        <w:rPr>
          <w:rFonts w:ascii="Arial" w:hAnsi="Arial" w:cs="Arial"/>
          <w:sz w:val="48"/>
          <w:szCs w:val="48"/>
        </w:rPr>
        <w:t>Version 5.1</w:t>
      </w:r>
    </w:p>
    <w:p w:rsidR="00A24BB8" w:rsidRPr="003B7E68" w:rsidRDefault="00A24BB8" w:rsidP="00A24BB8">
      <w:pPr>
        <w:jc w:val="center"/>
        <w:rPr>
          <w:rFonts w:ascii="Arial" w:hAnsi="Arial" w:cs="Arial"/>
        </w:rPr>
      </w:pPr>
    </w:p>
    <w:p w:rsidR="00A24BB8" w:rsidRPr="003B7E68" w:rsidRDefault="00A24BB8" w:rsidP="00A24BB8">
      <w:pPr>
        <w:jc w:val="center"/>
        <w:rPr>
          <w:rFonts w:ascii="Arial" w:hAnsi="Arial" w:cs="Arial"/>
        </w:rPr>
      </w:pPr>
      <w:r w:rsidRPr="003B7E68">
        <w:rPr>
          <w:rFonts w:ascii="Arial" w:hAnsi="Arial" w:cs="Arial"/>
          <w:sz w:val="48"/>
          <w:szCs w:val="48"/>
        </w:rPr>
        <w:t>February 1996</w:t>
      </w:r>
    </w:p>
    <w:p w:rsidR="00A24BB8" w:rsidRPr="00A24BB8" w:rsidRDefault="00A24BB8" w:rsidP="00A24BB8">
      <w:pPr>
        <w:jc w:val="center"/>
        <w:rPr>
          <w:rFonts w:ascii="Arial" w:hAnsi="Arial" w:cs="Arial"/>
        </w:rPr>
      </w:pPr>
    </w:p>
    <w:p w:rsidR="00A24BB8" w:rsidRPr="00A24BB8" w:rsidRDefault="00A24BB8" w:rsidP="00A24BB8">
      <w:pPr>
        <w:jc w:val="center"/>
        <w:rPr>
          <w:rFonts w:ascii="Arial" w:hAnsi="Arial" w:cs="Arial"/>
        </w:rPr>
      </w:pPr>
    </w:p>
    <w:p w:rsidR="00A24BB8" w:rsidRP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</w:p>
    <w:p w:rsidR="00A24BB8" w:rsidRDefault="00A24BB8" w:rsidP="00A24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Veterans Affairs</w:t>
      </w:r>
    </w:p>
    <w:p w:rsidR="00A24BB8" w:rsidRDefault="00A24BB8" w:rsidP="00A24BB8">
      <w:pPr>
        <w:jc w:val="center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VistA</w:t>
        </w:r>
      </w:smartTag>
      <w:r>
        <w:rPr>
          <w:rFonts w:ascii="Arial" w:hAnsi="Arial" w:cs="Arial"/>
        </w:rPr>
        <w:t xml:space="preserve"> Health Systems Design &amp; Development (HSD&amp;D)</w:t>
      </w:r>
    </w:p>
    <w:p w:rsidR="00A24BB8" w:rsidRDefault="00A24BB8" w:rsidP="00A24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Infrastructure and Security Services (ISS)</w:t>
      </w:r>
    </w:p>
    <w:p w:rsidR="00A24BB8" w:rsidRPr="00C819CD" w:rsidRDefault="00A24BB8" w:rsidP="00A24BB8">
      <w:r w:rsidRPr="00C819CD">
        <w:br w:type="page"/>
      </w:r>
      <w:r w:rsidRPr="00C819CD">
        <w:lastRenderedPageBreak/>
        <w:t xml:space="preserve"> </w:t>
      </w:r>
      <w:r w:rsidRPr="00C819CD">
        <w:tab/>
      </w:r>
    </w:p>
    <w:p w:rsidR="00A24BB8" w:rsidRDefault="00A24BB8" w:rsidP="00A24BB8"/>
    <w:p w:rsidR="00A24BB8" w:rsidRPr="00C819CD" w:rsidRDefault="00A24BB8" w:rsidP="00A24BB8"/>
    <w:p w:rsidR="00010F90" w:rsidRPr="00A24BB8" w:rsidRDefault="00010F90">
      <w:pPr>
        <w:jc w:val="center"/>
        <w:rPr>
          <w:rFonts w:ascii="Arial" w:hAnsi="Arial"/>
          <w:noProof w:val="0"/>
          <w:sz w:val="36"/>
        </w:rPr>
        <w:sectPr w:rsidR="00010F90" w:rsidRPr="00A24BB8" w:rsidSect="00925F44"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010F90" w:rsidRPr="00A24BB8" w:rsidRDefault="00010F90" w:rsidP="00A24BB8">
      <w:pPr>
        <w:keepNext/>
        <w:keepLines/>
        <w:rPr>
          <w:rFonts w:ascii="Arial" w:hAnsi="Arial"/>
          <w:noProof w:val="0"/>
          <w:sz w:val="36"/>
        </w:rPr>
      </w:pPr>
      <w:r w:rsidRPr="00A24BB8">
        <w:rPr>
          <w:rFonts w:ascii="Arial" w:hAnsi="Arial"/>
          <w:noProof w:val="0"/>
          <w:sz w:val="36"/>
        </w:rPr>
        <w:lastRenderedPageBreak/>
        <w:t>Network Health Exchange</w:t>
      </w:r>
    </w:p>
    <w:p w:rsidR="00010F90" w:rsidRPr="00A24BB8" w:rsidRDefault="00010F90" w:rsidP="00A24BB8">
      <w:pPr>
        <w:keepNext/>
        <w:keepLines/>
        <w:rPr>
          <w:rFonts w:ascii="Arial" w:hAnsi="Arial"/>
          <w:noProof w:val="0"/>
          <w:sz w:val="36"/>
        </w:rPr>
      </w:pPr>
      <w:r w:rsidRPr="00A24BB8">
        <w:rPr>
          <w:rFonts w:ascii="Arial" w:hAnsi="Arial"/>
          <w:noProof w:val="0"/>
          <w:sz w:val="36"/>
        </w:rPr>
        <w:t>Version 5.1</w:t>
      </w:r>
    </w:p>
    <w:p w:rsidR="00010F90" w:rsidRPr="00A24BB8" w:rsidRDefault="00010F90" w:rsidP="00A24BB8">
      <w:pPr>
        <w:keepNext/>
        <w:keepLines/>
        <w:rPr>
          <w:rFonts w:ascii="Arial" w:hAnsi="Arial"/>
          <w:noProof w:val="0"/>
          <w:sz w:val="36"/>
        </w:rPr>
      </w:pPr>
      <w:r w:rsidRPr="00A24BB8">
        <w:rPr>
          <w:rFonts w:ascii="Arial" w:hAnsi="Arial"/>
          <w:noProof w:val="0"/>
          <w:sz w:val="36"/>
        </w:rPr>
        <w:t>Release Notes</w:t>
      </w:r>
    </w:p>
    <w:p w:rsidR="00010F90" w:rsidRDefault="00010F90" w:rsidP="00A24BB8">
      <w:pPr>
        <w:keepNext/>
        <w:keepLines/>
        <w:rPr>
          <w:noProof w:val="0"/>
        </w:rPr>
      </w:pPr>
    </w:p>
    <w:p w:rsidR="00A24BB8" w:rsidRDefault="00A24BB8" w:rsidP="00A24BB8">
      <w:pPr>
        <w:keepNext/>
        <w:keepLines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The Network Health Exchange (NHE) was created by the Chicago Westside Veterans Affairs Medical Center (VAMC) and has gone through several iterations</w:t>
      </w:r>
      <w:r w:rsidR="00A24BB8">
        <w:rPr>
          <w:noProof w:val="0"/>
        </w:rPr>
        <w:t xml:space="preserve">. </w:t>
      </w:r>
      <w:r>
        <w:rPr>
          <w:noProof w:val="0"/>
        </w:rPr>
        <w:t>This version of the software is being released as an interim bridge to a more fully integrated clinical patient data exchange system</w:t>
      </w:r>
      <w:r w:rsidR="00A24BB8">
        <w:rPr>
          <w:noProof w:val="0"/>
        </w:rPr>
        <w:t xml:space="preserve">. </w:t>
      </w:r>
      <w:r>
        <w:rPr>
          <w:noProof w:val="0"/>
        </w:rPr>
        <w:t>Network Health Exchange</w:t>
      </w:r>
      <w:r w:rsidR="00B510E3">
        <w:rPr>
          <w:noProof w:val="0"/>
        </w:rPr>
        <w:t xml:space="preserve"> (NHE)</w:t>
      </w:r>
      <w:r>
        <w:rPr>
          <w:noProof w:val="0"/>
        </w:rPr>
        <w:t xml:space="preserve"> allows VAMC clinicians easy access to clinical patient data</w:t>
      </w:r>
      <w:r w:rsidR="00A24BB8">
        <w:rPr>
          <w:noProof w:val="0"/>
        </w:rPr>
        <w:t xml:space="preserve">. </w:t>
      </w:r>
      <w:r>
        <w:rPr>
          <w:noProof w:val="0"/>
        </w:rPr>
        <w:t xml:space="preserve">The requester is notified of returned patient data through an alert that appears within the </w:t>
      </w:r>
      <w:r w:rsidR="00A24BB8">
        <w:t>Veterans Health Information Systems and Technology Architecture (</w:t>
      </w:r>
      <w:smartTag w:uri="urn:schemas-microsoft-com:office:smarttags" w:element="place">
        <w:r w:rsidR="00A24BB8">
          <w:t>VistA</w:t>
        </w:r>
      </w:smartTag>
      <w:r w:rsidR="00A24BB8">
        <w:t>)</w:t>
      </w:r>
      <w:r>
        <w:rPr>
          <w:noProof w:val="0"/>
        </w:rPr>
        <w:t xml:space="preserve"> menu system</w:t>
      </w:r>
      <w:r w:rsidR="00A24BB8">
        <w:rPr>
          <w:noProof w:val="0"/>
        </w:rPr>
        <w:t xml:space="preserve">. </w:t>
      </w:r>
      <w:r>
        <w:rPr>
          <w:noProof w:val="0"/>
        </w:rPr>
        <w:t>The patient data can be viewed on</w:t>
      </w:r>
      <w:r w:rsidR="00B510E3">
        <w:rPr>
          <w:noProof w:val="0"/>
        </w:rPr>
        <w:t>s</w:t>
      </w:r>
      <w:r>
        <w:rPr>
          <w:noProof w:val="0"/>
        </w:rPr>
        <w:t>creen or printed</w:t>
      </w:r>
      <w:r w:rsidR="00A24BB8">
        <w:rPr>
          <w:noProof w:val="0"/>
        </w:rPr>
        <w:t xml:space="preserve">. </w:t>
      </w:r>
      <w:r>
        <w:rPr>
          <w:noProof w:val="0"/>
        </w:rPr>
        <w:t xml:space="preserve">It is displayed in a format </w:t>
      </w:r>
      <w:proofErr w:type="gramStart"/>
      <w:r>
        <w:rPr>
          <w:noProof w:val="0"/>
        </w:rPr>
        <w:t>similar to</w:t>
      </w:r>
      <w:proofErr w:type="gramEnd"/>
      <w:r>
        <w:rPr>
          <w:noProof w:val="0"/>
        </w:rPr>
        <w:t xml:space="preserve"> the integrated clinical reports in Health Summary.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The Network Health Exchange</w:t>
      </w:r>
      <w:r w:rsidR="00B510E3">
        <w:rPr>
          <w:noProof w:val="0"/>
        </w:rPr>
        <w:t xml:space="preserve"> (NHE)</w:t>
      </w:r>
      <w:r>
        <w:rPr>
          <w:noProof w:val="0"/>
        </w:rPr>
        <w:t xml:space="preserve"> is another tool, </w:t>
      </w:r>
      <w:proofErr w:type="gramStart"/>
      <w:r>
        <w:rPr>
          <w:noProof w:val="0"/>
        </w:rPr>
        <w:t>similar to</w:t>
      </w:r>
      <w:proofErr w:type="gramEnd"/>
      <w:r>
        <w:rPr>
          <w:noProof w:val="0"/>
        </w:rPr>
        <w:t xml:space="preserve"> Patient Data Exchange (</w:t>
      </w:r>
      <w:smartTag w:uri="urn:schemas-microsoft-com:office:smarttags" w:element="stockticker">
        <w:r>
          <w:rPr>
            <w:noProof w:val="0"/>
          </w:rPr>
          <w:t>PDX</w:t>
        </w:r>
      </w:smartTag>
      <w:r>
        <w:rPr>
          <w:noProof w:val="0"/>
        </w:rPr>
        <w:t xml:space="preserve">), comprising the </w:t>
      </w:r>
      <w:r w:rsidR="00A24BB8">
        <w:t>VistA</w:t>
      </w:r>
      <w:r>
        <w:rPr>
          <w:noProof w:val="0"/>
        </w:rPr>
        <w:t xml:space="preserve"> </w:t>
      </w:r>
      <w:r w:rsidR="00A24BB8">
        <w:rPr>
          <w:noProof w:val="0"/>
        </w:rPr>
        <w:t xml:space="preserve">Master Patient Index (MPI). </w:t>
      </w:r>
      <w:r>
        <w:rPr>
          <w:noProof w:val="0"/>
        </w:rPr>
        <w:t xml:space="preserve">As compared to </w:t>
      </w:r>
      <w:smartTag w:uri="urn:schemas-microsoft-com:office:smarttags" w:element="stockticker">
        <w:r>
          <w:rPr>
            <w:noProof w:val="0"/>
          </w:rPr>
          <w:t>PDX</w:t>
        </w:r>
      </w:smartTag>
      <w:r>
        <w:rPr>
          <w:noProof w:val="0"/>
        </w:rPr>
        <w:t>, Network Health Exchange</w:t>
      </w:r>
      <w:r w:rsidR="00B510E3">
        <w:rPr>
          <w:noProof w:val="0"/>
        </w:rPr>
        <w:t xml:space="preserve"> (NHE)</w:t>
      </w:r>
      <w:r>
        <w:rPr>
          <w:noProof w:val="0"/>
        </w:rPr>
        <w:t xml:space="preserve"> offers fewer retrieval options requiring less input by the user</w:t>
      </w:r>
      <w:r w:rsidR="00A24BB8">
        <w:rPr>
          <w:noProof w:val="0"/>
        </w:rPr>
        <w:t xml:space="preserve">. </w:t>
      </w:r>
      <w:r>
        <w:rPr>
          <w:noProof w:val="0"/>
        </w:rPr>
        <w:t>This results in a simpler, faster access to patient data using predefined formats</w:t>
      </w:r>
      <w:r w:rsidR="00A24BB8">
        <w:rPr>
          <w:noProof w:val="0"/>
        </w:rPr>
        <w:t xml:space="preserve">. </w:t>
      </w:r>
      <w:r>
        <w:rPr>
          <w:noProof w:val="0"/>
        </w:rPr>
        <w:t xml:space="preserve">Clinicians have reported that </w:t>
      </w:r>
      <w:r w:rsidR="00B510E3">
        <w:rPr>
          <w:noProof w:val="0"/>
        </w:rPr>
        <w:t>NHE</w:t>
      </w:r>
      <w:r>
        <w:rPr>
          <w:noProof w:val="0"/>
        </w:rPr>
        <w:t xml:space="preserve"> is easy to learn and use.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</w:p>
    <w:p w:rsidR="00010F90" w:rsidRDefault="00010F90" w:rsidP="00A24BB8">
      <w:pPr>
        <w:pStyle w:val="Heading3"/>
        <w:pBdr>
          <w:bottom w:val="single" w:sz="8" w:space="1" w:color="auto"/>
        </w:pBdr>
      </w:pPr>
      <w:r>
        <w:t>Simple User Interface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Network Health Exchange offers a simple user interface to retrieve and print patient data</w:t>
      </w:r>
      <w:r w:rsidR="00A24BB8">
        <w:rPr>
          <w:noProof w:val="0"/>
        </w:rPr>
        <w:t xml:space="preserve">. </w:t>
      </w:r>
      <w:r>
        <w:rPr>
          <w:noProof w:val="0"/>
        </w:rPr>
        <w:t>Users simply select the data type (Clinical or Pharmacy only) and amount of patient data (full or 12 months) they would like returned, then enter the patient</w:t>
      </w:r>
      <w:r w:rsidR="00B510E3">
        <w:rPr>
          <w:noProof w:val="0"/>
        </w:rPr>
        <w:t>'</w:t>
      </w:r>
      <w:r>
        <w:rPr>
          <w:noProof w:val="0"/>
        </w:rPr>
        <w:t>s name (last,first) or Social Security Number</w:t>
      </w:r>
      <w:r w:rsidR="00B510E3">
        <w:rPr>
          <w:noProof w:val="0"/>
        </w:rPr>
        <w:t xml:space="preserve"> (</w:t>
      </w:r>
      <w:smartTag w:uri="urn:schemas-microsoft-com:office:smarttags" w:element="stockticker">
        <w:r w:rsidR="00B510E3">
          <w:rPr>
            <w:noProof w:val="0"/>
          </w:rPr>
          <w:t>SSN</w:t>
        </w:r>
      </w:smartTag>
      <w:r w:rsidR="00B510E3">
        <w:rPr>
          <w:noProof w:val="0"/>
        </w:rPr>
        <w:t>)</w:t>
      </w:r>
      <w:r>
        <w:rPr>
          <w:noProof w:val="0"/>
        </w:rPr>
        <w:t>, in order to initiate the request for data from another VA facility.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</w:p>
    <w:p w:rsidR="00010F90" w:rsidRDefault="00010F90" w:rsidP="00A24BB8">
      <w:pPr>
        <w:pStyle w:val="Heading3"/>
        <w:pBdr>
          <w:bottom w:val="single" w:sz="8" w:space="1" w:color="auto"/>
        </w:pBdr>
      </w:pPr>
      <w:r>
        <w:t>Retrieval and Printing of Patient Data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Clinicians can use the Network Health Exchange menu to select Pharmacy or Medical Record information for patients, either a comprehensive history or limited to activity within the last 12 months</w:t>
      </w:r>
      <w:r w:rsidR="00A24BB8">
        <w:rPr>
          <w:noProof w:val="0"/>
        </w:rPr>
        <w:t xml:space="preserve">. </w:t>
      </w:r>
      <w:r>
        <w:rPr>
          <w:noProof w:val="0"/>
        </w:rPr>
        <w:t>Retrieved patient data can be printed or viewed onscreen.</w:t>
      </w:r>
    </w:p>
    <w:p w:rsidR="00A24BB8" w:rsidRDefault="00A24BB8" w:rsidP="00A24BB8"/>
    <w:p w:rsidR="00A24BB8" w:rsidRDefault="00A24BB8" w:rsidP="00A24BB8"/>
    <w:p w:rsidR="00010F90" w:rsidRDefault="00010F90" w:rsidP="00A24BB8">
      <w:pPr>
        <w:pStyle w:val="Heading3"/>
        <w:pBdr>
          <w:bottom w:val="single" w:sz="8" w:space="1" w:color="auto"/>
        </w:pBdr>
      </w:pPr>
      <w:r>
        <w:t>Quick Response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A24BB8">
      <w:pPr>
        <w:rPr>
          <w:noProof w:val="0"/>
        </w:rPr>
      </w:pPr>
      <w:r>
        <w:t>VistA</w:t>
      </w:r>
      <w:r w:rsidR="00010F90">
        <w:rPr>
          <w:noProof w:val="0"/>
        </w:rPr>
        <w:t xml:space="preserve"> Network Health Exchange</w:t>
      </w:r>
      <w:r>
        <w:rPr>
          <w:noProof w:val="0"/>
        </w:rPr>
        <w:t xml:space="preserve"> (NHE)</w:t>
      </w:r>
      <w:r w:rsidR="00010F90">
        <w:rPr>
          <w:noProof w:val="0"/>
        </w:rPr>
        <w:t xml:space="preserve"> is a fully automated process</w:t>
      </w:r>
      <w:r>
        <w:rPr>
          <w:noProof w:val="0"/>
        </w:rPr>
        <w:t xml:space="preserve">. </w:t>
      </w:r>
      <w:r w:rsidR="00010F90">
        <w:rPr>
          <w:noProof w:val="0"/>
        </w:rPr>
        <w:t xml:space="preserve">Unlike </w:t>
      </w:r>
      <w:smartTag w:uri="urn:schemas-microsoft-com:office:smarttags" w:element="stockticker">
        <w:r w:rsidR="00010F90">
          <w:rPr>
            <w:noProof w:val="0"/>
          </w:rPr>
          <w:t>PDX</w:t>
        </w:r>
      </w:smartTag>
      <w:r w:rsidR="00010F90">
        <w:rPr>
          <w:noProof w:val="0"/>
        </w:rPr>
        <w:t>, a user</w:t>
      </w:r>
      <w:r w:rsidR="00B510E3">
        <w:rPr>
          <w:noProof w:val="0"/>
        </w:rPr>
        <w:t>'</w:t>
      </w:r>
      <w:r w:rsidR="00010F90">
        <w:rPr>
          <w:noProof w:val="0"/>
        </w:rPr>
        <w:t xml:space="preserve">s request for a clinical patient data is </w:t>
      </w:r>
      <w:r w:rsidR="00010F90" w:rsidRPr="00B510E3">
        <w:rPr>
          <w:i/>
          <w:noProof w:val="0"/>
        </w:rPr>
        <w:t>not</w:t>
      </w:r>
      <w:r w:rsidR="00010F90">
        <w:rPr>
          <w:noProof w:val="0"/>
        </w:rPr>
        <w:t xml:space="preserve"> subject to human intervention or review</w:t>
      </w:r>
      <w:r>
        <w:rPr>
          <w:noProof w:val="0"/>
        </w:rPr>
        <w:t xml:space="preserve">. </w:t>
      </w:r>
      <w:r w:rsidR="00010F90">
        <w:rPr>
          <w:noProof w:val="0"/>
        </w:rPr>
        <w:t xml:space="preserve">Thus, responses to user requests are generally fulfilled in a matter of minutes by the responding </w:t>
      </w:r>
      <w:smartTag w:uri="urn:schemas-microsoft-com:office:smarttags" w:element="place">
        <w:r>
          <w:t>VistA</w:t>
        </w:r>
      </w:smartTag>
      <w:r w:rsidR="00010F90">
        <w:rPr>
          <w:noProof w:val="0"/>
        </w:rPr>
        <w:t xml:space="preserve"> computer system.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</w:p>
    <w:p w:rsidR="00010F90" w:rsidRDefault="00010F90" w:rsidP="00A24BB8">
      <w:pPr>
        <w:pStyle w:val="Heading3"/>
        <w:pBdr>
          <w:bottom w:val="single" w:sz="8" w:space="1" w:color="auto"/>
        </w:pBdr>
      </w:pPr>
      <w:r>
        <w:lastRenderedPageBreak/>
        <w:t xml:space="preserve">Data Returned in </w:t>
      </w:r>
      <w:smartTag w:uri="urn:schemas-microsoft-com:office:smarttags" w:element="place">
        <w:r w:rsidR="00A24BB8">
          <w:t>VistA</w:t>
        </w:r>
      </w:smartTag>
      <w:r>
        <w:t xml:space="preserve"> Health Summary Format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B510E3">
      <w:pPr>
        <w:rPr>
          <w:noProof w:val="0"/>
        </w:rPr>
      </w:pPr>
      <w:r>
        <w:rPr>
          <w:noProof w:val="0"/>
        </w:rPr>
        <w:t>Patient data is returned in a</w:t>
      </w:r>
      <w:r w:rsidR="00010F90">
        <w:rPr>
          <w:noProof w:val="0"/>
        </w:rPr>
        <w:t xml:space="preserve"> Network Health Exchange</w:t>
      </w:r>
      <w:r>
        <w:rPr>
          <w:noProof w:val="0"/>
        </w:rPr>
        <w:t xml:space="preserve"> (NHE)</w:t>
      </w:r>
      <w:r w:rsidR="00010F90">
        <w:rPr>
          <w:noProof w:val="0"/>
        </w:rPr>
        <w:t xml:space="preserve"> mail message, formatted similarly to the </w:t>
      </w:r>
      <w:r w:rsidR="00A24BB8">
        <w:t>VistA</w:t>
      </w:r>
      <w:r w:rsidR="00010F90">
        <w:rPr>
          <w:noProof w:val="0"/>
        </w:rPr>
        <w:t xml:space="preserve"> Health Summary</w:t>
      </w:r>
      <w:r w:rsidR="00A24BB8">
        <w:rPr>
          <w:noProof w:val="0"/>
        </w:rPr>
        <w:t xml:space="preserve">. </w:t>
      </w:r>
      <w:r w:rsidR="00010F90">
        <w:rPr>
          <w:noProof w:val="0"/>
        </w:rPr>
        <w:t>However, it is not necessary to have Health Summary installe</w:t>
      </w:r>
      <w:r w:rsidR="00A24BB8">
        <w:rPr>
          <w:noProof w:val="0"/>
        </w:rPr>
        <w:t>d in order to use this software.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NHE messages begin with patient demographics, followed by categorized medical information</w:t>
      </w:r>
      <w:r w:rsidR="00A24BB8">
        <w:rPr>
          <w:noProof w:val="0"/>
        </w:rPr>
        <w:t xml:space="preserve">. </w:t>
      </w:r>
      <w:r>
        <w:rPr>
          <w:noProof w:val="0"/>
        </w:rPr>
        <w:t>The title line of each NHE me</w:t>
      </w:r>
      <w:r w:rsidR="00B510E3">
        <w:rPr>
          <w:noProof w:val="0"/>
        </w:rPr>
        <w:t xml:space="preserve">ssage contains the name of the </w:t>
      </w:r>
      <w:r>
        <w:rPr>
          <w:noProof w:val="0"/>
        </w:rPr>
        <w:t>VA facility where the data resides</w:t>
      </w:r>
      <w:r w:rsidR="00A24BB8">
        <w:rPr>
          <w:noProof w:val="0"/>
        </w:rPr>
        <w:t xml:space="preserve">. </w:t>
      </w:r>
      <w:r>
        <w:rPr>
          <w:noProof w:val="0"/>
        </w:rPr>
        <w:t>NHE messages are reviewed by entering the NHE message number at the appropriate prompt</w:t>
      </w:r>
      <w:r w:rsidR="00A24BB8">
        <w:rPr>
          <w:noProof w:val="0"/>
        </w:rPr>
        <w:t xml:space="preserve">. </w:t>
      </w:r>
      <w:r w:rsidR="00B510E3">
        <w:rPr>
          <w:noProof w:val="0"/>
        </w:rPr>
        <w:t>The user can enter up to 10</w:t>
      </w:r>
      <w:r>
        <w:rPr>
          <w:noProof w:val="0"/>
        </w:rPr>
        <w:t xml:space="preserve"> NHE message numbers at</w:t>
      </w:r>
      <w:r w:rsidR="00A24BB8">
        <w:rPr>
          <w:noProof w:val="0"/>
        </w:rPr>
        <w:t xml:space="preserve"> one time separated by commas.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</w:p>
    <w:p w:rsidR="00010F90" w:rsidRDefault="00010F90" w:rsidP="00A24BB8">
      <w:pPr>
        <w:pStyle w:val="Heading3"/>
        <w:pBdr>
          <w:bottom w:val="single" w:sz="8" w:space="1" w:color="auto"/>
        </w:pBdr>
      </w:pPr>
      <w:r>
        <w:t>User Notification with Alerts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The user requesting patient data via Network Health Exchange</w:t>
      </w:r>
      <w:r w:rsidR="00B510E3">
        <w:rPr>
          <w:noProof w:val="0"/>
        </w:rPr>
        <w:t xml:space="preserve"> (NHE)</w:t>
      </w:r>
      <w:r>
        <w:rPr>
          <w:noProof w:val="0"/>
        </w:rPr>
        <w:t xml:space="preserve"> is notified of data receipt through an alert that appears within the </w:t>
      </w:r>
      <w:smartTag w:uri="urn:schemas-microsoft-com:office:smarttags" w:element="place">
        <w:r w:rsidR="00A24BB8">
          <w:t>VistA</w:t>
        </w:r>
      </w:smartTag>
      <w:r>
        <w:rPr>
          <w:noProof w:val="0"/>
        </w:rPr>
        <w:t xml:space="preserve"> menu system</w:t>
      </w:r>
      <w:r w:rsidR="00A24BB8">
        <w:rPr>
          <w:noProof w:val="0"/>
        </w:rPr>
        <w:t xml:space="preserve">. </w:t>
      </w:r>
      <w:r>
        <w:rPr>
          <w:noProof w:val="0"/>
        </w:rPr>
        <w:t>Alerts are notices to the user of an urgent, time-sensitive, pending matter; in this case, a returned request for patient data</w:t>
      </w:r>
      <w:r w:rsidR="00A24BB8">
        <w:rPr>
          <w:noProof w:val="0"/>
        </w:rPr>
        <w:t xml:space="preserve">. </w:t>
      </w:r>
      <w:r>
        <w:rPr>
          <w:noProof w:val="0"/>
        </w:rPr>
        <w:t xml:space="preserve">The alert can be processed onscreen or printed by entering </w:t>
      </w:r>
      <w:r w:rsidR="00B510E3" w:rsidRPr="00B510E3">
        <w:rPr>
          <w:b/>
          <w:noProof w:val="0"/>
        </w:rPr>
        <w:t>"</w:t>
      </w:r>
      <w:r w:rsidRPr="00B510E3">
        <w:rPr>
          <w:b/>
          <w:noProof w:val="0"/>
        </w:rPr>
        <w:t>VA</w:t>
      </w:r>
      <w:r>
        <w:rPr>
          <w:noProof w:val="0"/>
        </w:rPr>
        <w:t xml:space="preserve"> at the </w:t>
      </w:r>
      <w:r w:rsidR="00B510E3">
        <w:rPr>
          <w:noProof w:val="0"/>
        </w:rPr>
        <w:t>"</w:t>
      </w:r>
      <w:r>
        <w:rPr>
          <w:noProof w:val="0"/>
        </w:rPr>
        <w:t xml:space="preserve">Enter </w:t>
      </w:r>
      <w:r w:rsidR="00B510E3">
        <w:rPr>
          <w:noProof w:val="0"/>
        </w:rPr>
        <w:t>"VA VIEW ALERTS to review data" prompt.</w:t>
      </w:r>
      <w:r>
        <w:rPr>
          <w:noProof w:val="0"/>
        </w:rPr>
        <w:t xml:space="preserve"> Returned patient data is accessed through the NHE menu options.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</w:p>
    <w:p w:rsidR="00010F90" w:rsidRDefault="00010F90" w:rsidP="00A24BB8">
      <w:pPr>
        <w:pStyle w:val="Heading3"/>
        <w:pBdr>
          <w:bottom w:val="single" w:sz="8" w:space="1" w:color="auto"/>
        </w:pBdr>
      </w:pPr>
      <w:smartTag w:uri="urn:schemas-microsoft-com:office:smarttags" w:element="stockticker">
        <w:r>
          <w:t>VISN</w:t>
        </w:r>
      </w:smartTag>
      <w:r>
        <w:t xml:space="preserve"> Network Health Exchange Partners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Network Health Exchange</w:t>
      </w:r>
      <w:r w:rsidR="00B510E3">
        <w:rPr>
          <w:noProof w:val="0"/>
        </w:rPr>
        <w:t xml:space="preserve"> (NHE)</w:t>
      </w:r>
      <w:r>
        <w:rPr>
          <w:noProof w:val="0"/>
        </w:rPr>
        <w:t xml:space="preserve"> allows patient data to be exchanged between VA facilities</w:t>
      </w:r>
      <w:r w:rsidR="00A24BB8">
        <w:rPr>
          <w:noProof w:val="0"/>
        </w:rPr>
        <w:t xml:space="preserve">. </w:t>
      </w:r>
      <w:smartTag w:uri="urn:schemas-microsoft-com:office:smarttags" w:element="stockticker">
        <w:r>
          <w:rPr>
            <w:noProof w:val="0"/>
          </w:rPr>
          <w:t>VISN</w:t>
        </w:r>
      </w:smartTag>
      <w:r>
        <w:rPr>
          <w:noProof w:val="0"/>
        </w:rPr>
        <w:t xml:space="preserve"> sites can establish groups for patient data exchange among VA facilities within the </w:t>
      </w:r>
      <w:smartTag w:uri="urn:schemas-microsoft-com:office:smarttags" w:element="stockticker">
        <w:r>
          <w:rPr>
            <w:noProof w:val="0"/>
          </w:rPr>
          <w:t>VISN</w:t>
        </w:r>
      </w:smartTag>
      <w:r w:rsidR="00A24BB8">
        <w:rPr>
          <w:noProof w:val="0"/>
        </w:rPr>
        <w:t xml:space="preserve">. </w:t>
      </w:r>
      <w:r>
        <w:rPr>
          <w:noProof w:val="0"/>
        </w:rPr>
        <w:t xml:space="preserve">The VAMC </w:t>
      </w:r>
      <w:r w:rsidR="00B510E3">
        <w:rPr>
          <w:noProof w:val="0"/>
        </w:rPr>
        <w:t>NETWORK HEALTH AUTHORIZED SITES</w:t>
      </w:r>
      <w:r>
        <w:rPr>
          <w:noProof w:val="0"/>
        </w:rPr>
        <w:t xml:space="preserve"> file (#537025) is comprised of domain names for authorized VA sites.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</w:p>
    <w:p w:rsidR="00010F90" w:rsidRDefault="00010F90" w:rsidP="00A24BB8">
      <w:pPr>
        <w:pStyle w:val="Heading3"/>
        <w:pBdr>
          <w:bottom w:val="single" w:sz="8" w:space="1" w:color="auto"/>
        </w:pBdr>
      </w:pPr>
      <w:r>
        <w:t>Purging Retrieved Patient Data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010F90" w:rsidP="00A24BB8">
      <w:pPr>
        <w:rPr>
          <w:noProof w:val="0"/>
        </w:rPr>
      </w:pPr>
      <w:r>
        <w:rPr>
          <w:noProof w:val="0"/>
        </w:rPr>
        <w:t>Network Health Exchange</w:t>
      </w:r>
      <w:r w:rsidR="00B510E3">
        <w:rPr>
          <w:noProof w:val="0"/>
        </w:rPr>
        <w:t xml:space="preserve"> (NHE)</w:t>
      </w:r>
      <w:r>
        <w:rPr>
          <w:noProof w:val="0"/>
        </w:rPr>
        <w:t xml:space="preserve"> provides an option to purge the retrieved patient data messages nightly</w:t>
      </w:r>
      <w:r w:rsidR="00A24BB8">
        <w:rPr>
          <w:noProof w:val="0"/>
        </w:rPr>
        <w:t xml:space="preserve">. </w:t>
      </w:r>
      <w:r>
        <w:rPr>
          <w:noProof w:val="0"/>
        </w:rPr>
        <w:t>This provides sites with the means to control disk space usage.</w:t>
      </w:r>
    </w:p>
    <w:p w:rsidR="00010F90" w:rsidRDefault="00010F90">
      <w:pPr>
        <w:rPr>
          <w:noProof w:val="0"/>
        </w:rPr>
      </w:pPr>
    </w:p>
    <w:p w:rsidR="00010F90" w:rsidRDefault="00010F90">
      <w:pPr>
        <w:rPr>
          <w:noProof w:val="0"/>
        </w:rPr>
      </w:pPr>
    </w:p>
    <w:p w:rsidR="00010F90" w:rsidRDefault="00010F90" w:rsidP="00A24BB8">
      <w:pPr>
        <w:pStyle w:val="Heading3"/>
        <w:pBdr>
          <w:bottom w:val="single" w:sz="8" w:space="1" w:color="auto"/>
        </w:pBdr>
      </w:pPr>
      <w:r>
        <w:t>Special Security Features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This system is intended for use by health professionals who have direct patient care responsibilities and have need for clinical information.</w:t>
      </w:r>
    </w:p>
    <w:p w:rsidR="00010F90" w:rsidRDefault="00010F90">
      <w:pPr>
        <w:ind w:left="360" w:hanging="360"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>Network Health Exchange</w:t>
      </w:r>
      <w:r w:rsidR="00B510E3">
        <w:rPr>
          <w:noProof w:val="0"/>
        </w:rPr>
        <w:t xml:space="preserve"> (NHE)</w:t>
      </w:r>
      <w:r>
        <w:rPr>
          <w:noProof w:val="0"/>
        </w:rPr>
        <w:t xml:space="preserve"> generates a bulletin if data is requested for a </w:t>
      </w:r>
      <w:r>
        <w:rPr>
          <w:i/>
          <w:noProof w:val="0"/>
        </w:rPr>
        <w:t>sensitive</w:t>
      </w:r>
      <w:r>
        <w:rPr>
          <w:noProof w:val="0"/>
        </w:rPr>
        <w:t xml:space="preserve"> patient</w:t>
      </w:r>
      <w:r w:rsidR="00A24BB8">
        <w:rPr>
          <w:noProof w:val="0"/>
        </w:rPr>
        <w:t xml:space="preserve">. </w:t>
      </w:r>
      <w:r>
        <w:rPr>
          <w:noProof w:val="0"/>
        </w:rPr>
        <w:t xml:space="preserve">This bulletin is directed to the same user group that currently reviews notices about access to </w:t>
      </w:r>
      <w:r>
        <w:rPr>
          <w:i/>
          <w:noProof w:val="0"/>
        </w:rPr>
        <w:t>sensitive</w:t>
      </w:r>
      <w:r>
        <w:rPr>
          <w:noProof w:val="0"/>
        </w:rPr>
        <w:t xml:space="preserve"> patient records.</w:t>
      </w:r>
    </w:p>
    <w:p w:rsidR="00A24BB8" w:rsidRDefault="00A24BB8" w:rsidP="00A24BB8">
      <w:pPr>
        <w:ind w:left="360" w:hanging="360"/>
        <w:rPr>
          <w:noProof w:val="0"/>
        </w:rPr>
      </w:pPr>
    </w:p>
    <w:p w:rsidR="00A24BB8" w:rsidRDefault="00A24BB8" w:rsidP="00A24BB8">
      <w:pPr>
        <w:rPr>
          <w:noProof w:val="0"/>
        </w:rPr>
      </w:pPr>
    </w:p>
    <w:p w:rsidR="00010F90" w:rsidRDefault="00A24BB8" w:rsidP="00A24BB8">
      <w:pPr>
        <w:pStyle w:val="Heading3"/>
        <w:pBdr>
          <w:bottom w:val="single" w:sz="8" w:space="1" w:color="auto"/>
        </w:pBdr>
      </w:pPr>
      <w:r>
        <w:lastRenderedPageBreak/>
        <w:t xml:space="preserve">Software </w:t>
      </w:r>
      <w:r w:rsidR="00010F90">
        <w:t>Management</w:t>
      </w:r>
    </w:p>
    <w:p w:rsidR="00010F90" w:rsidRDefault="00010F90" w:rsidP="00A24BB8">
      <w:pPr>
        <w:keepNext/>
        <w:keepLines/>
        <w:rPr>
          <w:noProof w:val="0"/>
        </w:rPr>
      </w:pPr>
    </w:p>
    <w:p w:rsidR="00010F90" w:rsidRDefault="00010F90">
      <w:pPr>
        <w:rPr>
          <w:noProof w:val="0"/>
        </w:rPr>
      </w:pPr>
      <w:r>
        <w:rPr>
          <w:noProof w:val="0"/>
        </w:rPr>
        <w:t xml:space="preserve">The availability of </w:t>
      </w:r>
      <w:r w:rsidR="00A24BB8">
        <w:t>VistA</w:t>
      </w:r>
      <w:r>
        <w:rPr>
          <w:noProof w:val="0"/>
        </w:rPr>
        <w:t xml:space="preserve"> Network Health Exchange</w:t>
      </w:r>
      <w:r w:rsidR="00A24BB8">
        <w:rPr>
          <w:noProof w:val="0"/>
        </w:rPr>
        <w:t xml:space="preserve"> (NHE)</w:t>
      </w:r>
      <w:r>
        <w:rPr>
          <w:noProof w:val="0"/>
        </w:rPr>
        <w:t xml:space="preserve"> options is based on the level of menu access granted to each user.</w:t>
      </w:r>
    </w:p>
    <w:p w:rsidR="00010F90" w:rsidRDefault="00010F90">
      <w:pPr>
        <w:ind w:left="360" w:hanging="360"/>
        <w:rPr>
          <w:noProof w:val="0"/>
        </w:rPr>
      </w:pPr>
    </w:p>
    <w:p w:rsidR="00B510E3" w:rsidRDefault="00B510E3">
      <w:pPr>
        <w:ind w:left="360" w:hanging="360"/>
        <w:rPr>
          <w:noProof w:val="0"/>
        </w:rPr>
      </w:pPr>
    </w:p>
    <w:p w:rsidR="00B510E3" w:rsidRDefault="00B510E3">
      <w:pPr>
        <w:ind w:left="360" w:hanging="360"/>
        <w:rPr>
          <w:noProof w:val="0"/>
        </w:rPr>
      </w:pPr>
      <w:r>
        <w:rPr>
          <w:noProof w:val="0"/>
        </w:rPr>
        <w:br w:type="page"/>
      </w:r>
    </w:p>
    <w:p w:rsidR="00B510E3" w:rsidRDefault="00B510E3">
      <w:pPr>
        <w:ind w:left="360" w:hanging="360"/>
        <w:rPr>
          <w:noProof w:val="0"/>
        </w:rPr>
      </w:pPr>
    </w:p>
    <w:p w:rsidR="00010F90" w:rsidRDefault="00010F90">
      <w:pPr>
        <w:rPr>
          <w:noProof w:val="0"/>
        </w:rPr>
      </w:pPr>
      <w:bookmarkStart w:id="0" w:name="_GoBack"/>
      <w:bookmarkEnd w:id="0"/>
    </w:p>
    <w:sectPr w:rsidR="00010F90" w:rsidSect="00925F4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0A" w:rsidRDefault="00F52F0A">
      <w:r>
        <w:separator/>
      </w:r>
    </w:p>
  </w:endnote>
  <w:endnote w:type="continuationSeparator" w:id="0">
    <w:p w:rsidR="00F52F0A" w:rsidRDefault="00F5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90" w:rsidRDefault="00010F90" w:rsidP="00925F44">
    <w:pPr>
      <w:pStyle w:val="Footer"/>
    </w:pPr>
    <w:r>
      <w:t>February 1996</w:t>
    </w:r>
    <w:r>
      <w:tab/>
      <w:t>Network Health Exchange</w:t>
    </w:r>
    <w:r w:rsidR="00925F44">
      <w:t xml:space="preserve"> (NHE)</w:t>
    </w:r>
    <w:r>
      <w:t xml:space="preserve"> </w:t>
    </w:r>
    <w:r w:rsidR="00925F44">
      <w:t>Release Notes</w:t>
    </w:r>
    <w:r>
      <w:tab/>
    </w:r>
    <w:r>
      <w:pgNum/>
    </w:r>
  </w:p>
  <w:p w:rsidR="00010F90" w:rsidRDefault="00010F90" w:rsidP="00925F44">
    <w:pPr>
      <w:pStyle w:val="Footer"/>
    </w:pPr>
    <w:r>
      <w:tab/>
      <w:t xml:space="preserve"> </w:t>
    </w:r>
    <w:r w:rsidR="00925F44">
      <w:t>Version 5.1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90" w:rsidRDefault="00010F90" w:rsidP="00925F44">
    <w:pPr>
      <w:pStyle w:val="Footer"/>
    </w:pPr>
    <w:r>
      <w:t>February 1996</w:t>
    </w:r>
    <w:r>
      <w:tab/>
    </w:r>
    <w:r w:rsidR="00925F44">
      <w:t>Network Health Exchange (NHE) Release Notes</w:t>
    </w:r>
    <w:r>
      <w:tab/>
    </w:r>
    <w:r>
      <w:pgNum/>
    </w:r>
  </w:p>
  <w:p w:rsidR="00010F90" w:rsidRDefault="00010F90" w:rsidP="00925F44">
    <w:pPr>
      <w:pStyle w:val="Footer"/>
    </w:pPr>
    <w:r>
      <w:tab/>
    </w:r>
    <w:r w:rsidR="00925F44">
      <w:t>Version 5.1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90" w:rsidRDefault="00010F90" w:rsidP="00925F44">
    <w:pPr>
      <w:pStyle w:val="Footer"/>
      <w:rPr>
        <w:noProof w:val="0"/>
      </w:rPr>
    </w:pPr>
    <w:r>
      <w:rPr>
        <w:noProof w:val="0"/>
      </w:rPr>
      <w:t>February 1996</w:t>
    </w:r>
    <w:r>
      <w:rPr>
        <w:noProof w:val="0"/>
      </w:rPr>
      <w:tab/>
      <w:t>Network Health Exchange</w:t>
    </w:r>
    <w:r w:rsidR="00925F44">
      <w:rPr>
        <w:noProof w:val="0"/>
      </w:rPr>
      <w:t xml:space="preserve"> (NHE)</w:t>
    </w:r>
    <w:r>
      <w:rPr>
        <w:noProof w:val="0"/>
      </w:rPr>
      <w:t xml:space="preserve"> </w:t>
    </w:r>
    <w:r w:rsidR="00925F44">
      <w:rPr>
        <w:noProof w:val="0"/>
      </w:rPr>
      <w:t>Release Notes</w:t>
    </w:r>
    <w:r>
      <w:rPr>
        <w:noProof w:val="0"/>
      </w:rPr>
      <w:tab/>
    </w:r>
    <w:r>
      <w:rPr>
        <w:noProof w:val="0"/>
      </w:rPr>
      <w:pgNum/>
    </w:r>
  </w:p>
  <w:p w:rsidR="00010F90" w:rsidRDefault="00010F90" w:rsidP="00925F44">
    <w:pPr>
      <w:pStyle w:val="Footer"/>
      <w:rPr>
        <w:noProof w:val="0"/>
      </w:rPr>
    </w:pPr>
    <w:r>
      <w:rPr>
        <w:noProof w:val="0"/>
      </w:rPr>
      <w:tab/>
    </w:r>
    <w:r w:rsidR="00925F44">
      <w:rPr>
        <w:noProof w:val="0"/>
      </w:rPr>
      <w:t>Version 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0A" w:rsidRDefault="00F52F0A">
      <w:r>
        <w:separator/>
      </w:r>
    </w:p>
  </w:footnote>
  <w:footnote w:type="continuationSeparator" w:id="0">
    <w:p w:rsidR="00F52F0A" w:rsidRDefault="00F5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90" w:rsidRDefault="00010F90" w:rsidP="00925F44">
    <w:pPr>
      <w:pStyle w:val="Header"/>
    </w:pPr>
    <w:r>
      <w:t>Release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90" w:rsidRDefault="00010F90" w:rsidP="00925F44">
    <w:pPr>
      <w:pStyle w:val="Header"/>
    </w:pPr>
    <w:r>
      <w:tab/>
    </w:r>
    <w:r>
      <w:tab/>
      <w:t>Release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spaceForUL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BB8"/>
    <w:rsid w:val="00010F90"/>
    <w:rsid w:val="005C6096"/>
    <w:rsid w:val="00925F44"/>
    <w:rsid w:val="00A24BB8"/>
    <w:rsid w:val="00B510E3"/>
    <w:rsid w:val="00F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A6238-E210-46B4-91CB-B5BAAA76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2"/>
      <w:szCs w:val="22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i/>
      <w:smallCap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New York" w:hAnsi="New York"/>
      <w:sz w:val="36"/>
    </w:rPr>
  </w:style>
  <w:style w:type="paragraph" w:styleId="Heading3">
    <w:name w:val="heading 3"/>
    <w:basedOn w:val="Normal"/>
    <w:next w:val="Normal"/>
    <w:autoRedefine/>
    <w:qFormat/>
    <w:rsid w:val="00A24BB8"/>
    <w:pPr>
      <w:keepNext/>
      <w:keepLines/>
      <w:outlineLvl w:val="2"/>
    </w:pPr>
    <w:rPr>
      <w:rFonts w:ascii="Times New Roman Bold" w:hAnsi="Times New Roman Bold"/>
      <w:b/>
      <w:noProof w:val="0"/>
      <w:sz w:val="32"/>
      <w:szCs w:val="32"/>
    </w:rPr>
  </w:style>
  <w:style w:type="paragraph" w:styleId="Heading4">
    <w:name w:val="heading 4"/>
    <w:basedOn w:val="Normal"/>
    <w:next w:val="Normal"/>
    <w:qFormat/>
    <w:pPr>
      <w:tabs>
        <w:tab w:val="left" w:pos="36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tabs>
        <w:tab w:val="left" w:pos="360"/>
        <w:tab w:val="left" w:pos="2880"/>
      </w:tabs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tabs>
        <w:tab w:val="left" w:pos="2880"/>
        <w:tab w:val="left" w:pos="4320"/>
      </w:tabs>
      <w:spacing w:after="60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after="40"/>
      <w:ind w:left="72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7">
    <w:name w:val="toc 7"/>
    <w:basedOn w:val="Normal"/>
    <w:next w:val="Normal"/>
    <w:semiHidden/>
    <w:pPr>
      <w:tabs>
        <w:tab w:val="left" w:leader="dot" w:pos="8900"/>
        <w:tab w:val="right" w:pos="9360"/>
      </w:tabs>
      <w:ind w:left="1440"/>
    </w:pPr>
  </w:style>
  <w:style w:type="paragraph" w:styleId="TOC6">
    <w:name w:val="toc 6"/>
    <w:basedOn w:val="Normal"/>
    <w:next w:val="Normal"/>
    <w:semiHidden/>
    <w:pPr>
      <w:tabs>
        <w:tab w:val="left" w:pos="2160"/>
        <w:tab w:val="left" w:leader="dot" w:pos="8360"/>
        <w:tab w:val="right" w:pos="8820"/>
      </w:tabs>
      <w:spacing w:before="80"/>
      <w:ind w:left="1880" w:right="540" w:hanging="280"/>
    </w:pPr>
  </w:style>
  <w:style w:type="paragraph" w:styleId="TOC5">
    <w:name w:val="toc 5"/>
    <w:basedOn w:val="Normal"/>
    <w:next w:val="Normal"/>
    <w:semiHidden/>
    <w:pPr>
      <w:tabs>
        <w:tab w:val="left" w:leader="dot" w:pos="8360"/>
        <w:tab w:val="right" w:pos="8820"/>
      </w:tabs>
      <w:spacing w:before="80"/>
      <w:ind w:left="1520" w:right="540" w:hanging="28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pacing w:before="80"/>
      <w:ind w:left="720" w:hanging="18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leader="dot" w:pos="9360"/>
      </w:tabs>
      <w:spacing w:before="100"/>
    </w:pPr>
  </w:style>
  <w:style w:type="paragraph" w:styleId="TOC2">
    <w:name w:val="toc 2"/>
    <w:basedOn w:val="Normal"/>
    <w:next w:val="Normal"/>
    <w:semiHidden/>
    <w:pPr>
      <w:tabs>
        <w:tab w:val="left" w:leader="dot" w:pos="8460"/>
        <w:tab w:val="right" w:pos="8640"/>
      </w:tabs>
      <w:spacing w:before="120"/>
      <w:ind w:left="440"/>
    </w:pPr>
  </w:style>
  <w:style w:type="paragraph" w:styleId="TOC1">
    <w:name w:val="toc 1"/>
    <w:basedOn w:val="Normal"/>
    <w:next w:val="Normal"/>
    <w:semiHidden/>
    <w:pPr>
      <w:tabs>
        <w:tab w:val="left" w:leader="dot" w:pos="8460"/>
        <w:tab w:val="right" w:pos="8640"/>
      </w:tabs>
      <w:spacing w:before="120"/>
      <w:ind w:left="260" w:hanging="260"/>
    </w:pPr>
    <w:rPr>
      <w:rFonts w:ascii="New York" w:hAnsi="New York"/>
      <w:sz w:val="28"/>
    </w:rPr>
  </w:style>
  <w:style w:type="paragraph" w:styleId="Footer">
    <w:name w:val="footer"/>
    <w:basedOn w:val="Normal"/>
    <w:autoRedefine/>
    <w:rsid w:val="00925F44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autoRedefine/>
    <w:rsid w:val="00925F44"/>
    <w:pPr>
      <w:tabs>
        <w:tab w:val="center" w:pos="4680"/>
        <w:tab w:val="right" w:pos="9360"/>
      </w:tabs>
    </w:pPr>
    <w:rPr>
      <w:sz w:val="20"/>
      <w:szCs w:val="20"/>
    </w:rPr>
  </w:style>
  <w:style w:type="paragraph" w:customStyle="1" w:styleId="DEFAULT">
    <w:name w:val="DEFAULT"/>
    <w:basedOn w:val="Normal"/>
    <w:rPr>
      <w:rFonts w:ascii="New York" w:hAnsi="New York"/>
      <w:sz w:val="20"/>
    </w:rPr>
  </w:style>
  <w:style w:type="paragraph" w:customStyle="1" w:styleId="menubox">
    <w:name w:val="menu 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540"/>
        <w:tab w:val="left" w:pos="900"/>
        <w:tab w:val="left" w:pos="1260"/>
        <w:tab w:val="left" w:pos="1620"/>
        <w:tab w:val="left" w:pos="1980"/>
        <w:tab w:val="right" w:pos="9180"/>
      </w:tabs>
      <w:ind w:left="180" w:right="180"/>
    </w:pPr>
    <w:rPr>
      <w:rFonts w:ascii="New York" w:hAnsi="New York"/>
      <w:sz w:val="20"/>
    </w:rPr>
  </w:style>
  <w:style w:type="paragraph" w:customStyle="1" w:styleId="2ndindent">
    <w:name w:val="2nd indent"/>
    <w:basedOn w:val="Normal"/>
    <w:pPr>
      <w:tabs>
        <w:tab w:val="left" w:pos="1440"/>
      </w:tabs>
      <w:ind w:left="2520" w:hanging="2520"/>
    </w:pPr>
  </w:style>
  <w:style w:type="paragraph" w:customStyle="1" w:styleId="1stindent">
    <w:name w:val="1st indent"/>
    <w:basedOn w:val="Normal"/>
    <w:pPr>
      <w:ind w:left="1440" w:hanging="1440"/>
    </w:pPr>
  </w:style>
  <w:style w:type="paragraph" w:customStyle="1" w:styleId="screendump">
    <w:name w:val="screen dump"/>
    <w:basedOn w:val="Normal"/>
    <w:pPr>
      <w:jc w:val="center"/>
    </w:pPr>
    <w:rPr>
      <w:rFonts w:ascii="New York" w:hAnsi="New York"/>
      <w:b/>
      <w:sz w:val="20"/>
    </w:rPr>
  </w:style>
  <w:style w:type="paragraph" w:customStyle="1" w:styleId="helpframe">
    <w:name w:val="help frame"/>
    <w:basedOn w:val="screendump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80" w:right="180"/>
      <w:jc w:val="left"/>
    </w:pPr>
    <w:rPr>
      <w:b w:val="0"/>
    </w:rPr>
  </w:style>
  <w:style w:type="paragraph" w:customStyle="1" w:styleId="MENU">
    <w:name w:val="MENU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</w:pPr>
    <w:rPr>
      <w:rFonts w:ascii="New York" w:hAnsi="New York"/>
      <w:sz w:val="20"/>
    </w:rPr>
  </w:style>
  <w:style w:type="paragraph" w:customStyle="1" w:styleId="call">
    <w:name w:val="call"/>
    <w:basedOn w:val="1stindent"/>
    <w:pPr>
      <w:tabs>
        <w:tab w:val="left" w:pos="360"/>
        <w:tab w:val="left" w:pos="2880"/>
      </w:tabs>
      <w:spacing w:after="160"/>
      <w:ind w:left="0" w:firstLine="0"/>
    </w:pPr>
  </w:style>
  <w:style w:type="paragraph" w:customStyle="1" w:styleId="parameters">
    <w:name w:val="parameters"/>
    <w:basedOn w:val="Normal"/>
    <w:pPr>
      <w:tabs>
        <w:tab w:val="left" w:pos="1800"/>
      </w:tabs>
      <w:ind w:left="2880" w:hanging="2520"/>
    </w:pPr>
  </w:style>
  <w:style w:type="paragraph" w:customStyle="1" w:styleId="aprgphMark12pt">
    <w:name w:val="a prgph. Mark 12 pt"/>
    <w:basedOn w:val="TOC2"/>
    <w:pPr>
      <w:tabs>
        <w:tab w:val="clear" w:pos="8460"/>
        <w:tab w:val="clear" w:pos="8640"/>
        <w:tab w:val="left" w:leader="dot" w:pos="8360"/>
        <w:tab w:val="right" w:pos="9000"/>
      </w:tabs>
      <w:spacing w:before="0"/>
      <w:ind w:left="360" w:right="360"/>
    </w:pPr>
  </w:style>
  <w:style w:type="paragraph" w:customStyle="1" w:styleId="toctitleheading">
    <w:name w:val="toc title heading"/>
    <w:basedOn w:val="Normal"/>
    <w:rPr>
      <w:rFonts w:ascii="New York" w:hAnsi="New York"/>
      <w:sz w:val="36"/>
    </w:rPr>
  </w:style>
  <w:style w:type="paragraph" w:customStyle="1" w:styleId="msgbox">
    <w:name w:val="msg box"/>
    <w:basedOn w:val="Normal"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NHE Release Notes V. 1.0</vt:lpstr>
    </vt:vector>
  </TitlesOfParts>
  <Company>DVA,VHA,SAN FRANCISCO IRMFO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NHE Release Notes V. 1.0</dc:title>
  <dc:subject/>
  <dc:creator>KA347EDZ34</dc:creator>
  <cp:keywords/>
  <dc:description/>
  <cp:lastModifiedBy>Lowery, Cindy</cp:lastModifiedBy>
  <cp:revision>2</cp:revision>
  <cp:lastPrinted>1996-03-06T20:54:00Z</cp:lastPrinted>
  <dcterms:created xsi:type="dcterms:W3CDTF">2020-11-20T18:33:00Z</dcterms:created>
  <dcterms:modified xsi:type="dcterms:W3CDTF">2020-11-20T18:33:00Z</dcterms:modified>
</cp:coreProperties>
</file>